
<file path=[Content_Types].xml><?xml version="1.0" encoding="utf-8"?>
<Types xmlns="http://schemas.openxmlformats.org/package/2006/content-types">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word/media/image10.png" ContentType="image/png"/>
  <Override PartName="/word/media/image9.png" ContentType="image/png"/>
  <Override PartName="/word/media/image8.png" ContentType="image/png"/>
  <Override PartName="/word/media/image7.png" ContentType="image/png"/>
  <Override PartName="/word/media/image2.jpeg" ContentType="image/jpeg"/>
  <Override PartName="/word/media/image1.png" ContentType="image/png"/>
  <Override PartName="/word/media/image3.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280" w:after="280"/>
        <w:jc w:val="center"/>
        <w:rPr>
          <w:rFonts w:ascii="Times New Roman" w:hAnsi="Times New Roman"/>
        </w:rPr>
      </w:pPr>
      <w:r>
        <w:rPr>
          <w:rFonts w:ascii="Times New Roman" w:hAnsi="Times New Roman"/>
        </w:rPr>
        <w:t>Supporting Information for</w:t>
      </w:r>
    </w:p>
    <w:p>
      <w:pPr>
        <w:pStyle w:val="Normal"/>
        <w:spacing w:before="280" w:after="280"/>
        <w:jc w:val="center"/>
        <w:rPr>
          <w:rFonts w:ascii="Times New Roman" w:hAnsi="Times New Roman"/>
          <w:b/>
          <w:b/>
          <w:bCs/>
          <w:lang w:val="en-GB"/>
        </w:rPr>
      </w:pPr>
      <w:r>
        <w:rPr>
          <w:rFonts w:ascii="Times New Roman" w:hAnsi="Times New Roman"/>
          <w:b/>
          <w:lang w:val="en-GB"/>
        </w:rPr>
        <w:t>I</w:t>
      </w:r>
      <w:r>
        <w:rPr>
          <w:rFonts w:ascii="Times New Roman" w:hAnsi="Times New Roman"/>
          <w:b/>
          <w:bCs/>
          <w:lang w:val="en-GB"/>
        </w:rPr>
        <w:t>mpact of projected sea surface temperature biases on tropical cyclones projections in the South Pacific</w:t>
      </w:r>
    </w:p>
    <w:p>
      <w:pPr>
        <w:pStyle w:val="Normal"/>
        <w:spacing w:before="280" w:after="280"/>
        <w:jc w:val="center"/>
        <w:rPr>
          <w:rFonts w:ascii="Times New Roman" w:hAnsi="Times New Roman" w:cs="Times New Roman"/>
          <w:color w:val="000000"/>
          <w:vertAlign w:val="superscript"/>
          <w:lang w:val="fr-FR"/>
        </w:rPr>
      </w:pPr>
      <w:r>
        <w:rPr>
          <w:rFonts w:cs="Times New Roman" w:ascii="Times New Roman" w:hAnsi="Times New Roman"/>
          <w:color w:val="000000"/>
          <w:lang w:val="fr-FR"/>
        </w:rPr>
        <w:t>Cyril Dutheil</w:t>
      </w:r>
      <w:r>
        <w:rPr>
          <w:rFonts w:cs="Times New Roman" w:ascii="Times New Roman" w:hAnsi="Times New Roman"/>
          <w:color w:val="000000"/>
          <w:vertAlign w:val="superscript"/>
          <w:lang w:val="fr-FR"/>
        </w:rPr>
        <w:t>1</w:t>
      </w:r>
      <w:r>
        <w:rPr>
          <w:rFonts w:cs="Times New Roman" w:ascii="Times New Roman" w:hAnsi="Times New Roman"/>
          <w:color w:val="000000"/>
          <w:lang w:val="fr-FR"/>
        </w:rPr>
        <w:t>, Lengaigne M.</w:t>
      </w:r>
      <w:r>
        <w:rPr>
          <w:rFonts w:cs="Times New Roman" w:ascii="Times New Roman" w:hAnsi="Times New Roman"/>
          <w:color w:val="000000"/>
          <w:vertAlign w:val="superscript"/>
          <w:lang w:val="fr-FR"/>
        </w:rPr>
        <w:t>2</w:t>
      </w:r>
      <w:r>
        <w:rPr>
          <w:rFonts w:cs="Times New Roman" w:ascii="Times New Roman" w:hAnsi="Times New Roman"/>
          <w:color w:val="000000"/>
          <w:lang w:val="fr-FR"/>
        </w:rPr>
        <w:t>, Bador M.</w:t>
      </w:r>
      <w:r>
        <w:rPr>
          <w:rFonts w:cs="Times New Roman" w:ascii="Times New Roman" w:hAnsi="Times New Roman"/>
          <w:color w:val="000000"/>
          <w:vertAlign w:val="superscript"/>
          <w:lang w:val="fr-FR"/>
        </w:rPr>
        <w:t>3</w:t>
      </w:r>
      <w:r>
        <w:rPr>
          <w:rFonts w:cs="Times New Roman" w:ascii="Times New Roman" w:hAnsi="Times New Roman"/>
          <w:color w:val="000000"/>
          <w:lang w:val="fr-FR"/>
        </w:rPr>
        <w:t>, Vialard J.</w:t>
      </w:r>
      <w:r>
        <w:rPr>
          <w:rFonts w:cs="Times New Roman" w:ascii="Times New Roman" w:hAnsi="Times New Roman"/>
          <w:color w:val="000000"/>
          <w:vertAlign w:val="superscript"/>
          <w:lang w:val="fr-FR"/>
        </w:rPr>
        <w:t>2</w:t>
      </w:r>
      <w:r>
        <w:rPr>
          <w:rFonts w:cs="Times New Roman" w:ascii="Times New Roman" w:hAnsi="Times New Roman"/>
          <w:color w:val="000000"/>
          <w:lang w:val="fr-FR"/>
        </w:rPr>
        <w:t>,</w:t>
      </w:r>
      <w:r>
        <w:rPr>
          <w:rFonts w:cs="Times New Roman" w:ascii="Times New Roman" w:hAnsi="Times New Roman"/>
          <w:color w:val="000000"/>
          <w:vertAlign w:val="superscript"/>
          <w:lang w:val="fr-FR"/>
        </w:rPr>
        <w:t xml:space="preserve"> </w:t>
      </w:r>
      <w:r>
        <w:rPr>
          <w:rFonts w:cs="Times New Roman" w:ascii="Times New Roman" w:hAnsi="Times New Roman"/>
          <w:color w:val="000000"/>
          <w:lang w:val="fr-FR"/>
        </w:rPr>
        <w:t>Lefevre J.</w:t>
      </w:r>
      <w:r>
        <w:rPr>
          <w:rFonts w:cs="Times New Roman" w:ascii="Times New Roman" w:hAnsi="Times New Roman"/>
          <w:color w:val="000000"/>
          <w:vertAlign w:val="superscript"/>
          <w:lang w:val="fr-FR"/>
        </w:rPr>
        <w:t>1</w:t>
      </w:r>
      <w:r>
        <w:rPr>
          <w:rFonts w:cs="Times New Roman" w:ascii="Times New Roman" w:hAnsi="Times New Roman"/>
          <w:color w:val="000000"/>
          <w:lang w:val="fr-FR"/>
        </w:rPr>
        <w:t>, Jourdain N.</w:t>
      </w:r>
      <w:r>
        <w:rPr>
          <w:rFonts w:cs="Times New Roman" w:ascii="Times New Roman" w:hAnsi="Times New Roman"/>
          <w:color w:val="000000"/>
          <w:vertAlign w:val="superscript"/>
          <w:lang w:val="fr-FR"/>
        </w:rPr>
        <w:t>4</w:t>
      </w:r>
      <w:r>
        <w:rPr>
          <w:rFonts w:cs="Times New Roman" w:ascii="Times New Roman" w:hAnsi="Times New Roman"/>
          <w:color w:val="000000"/>
          <w:lang w:val="fr-FR"/>
        </w:rPr>
        <w:t>, Jullien S.</w:t>
      </w:r>
      <w:r>
        <w:rPr>
          <w:rFonts w:cs="Times New Roman" w:ascii="Times New Roman" w:hAnsi="Times New Roman"/>
          <w:color w:val="000000"/>
          <w:vertAlign w:val="superscript"/>
          <w:lang w:val="fr-FR"/>
        </w:rPr>
        <w:t>5</w:t>
      </w:r>
      <w:r>
        <w:rPr>
          <w:rFonts w:cs="Times New Roman" w:ascii="Times New Roman" w:hAnsi="Times New Roman"/>
          <w:color w:val="000000"/>
          <w:lang w:val="fr-FR"/>
        </w:rPr>
        <w:t>, Peltier A.</w:t>
      </w:r>
      <w:r>
        <w:rPr>
          <w:rFonts w:cs="Times New Roman" w:ascii="Times New Roman" w:hAnsi="Times New Roman"/>
          <w:color w:val="000000"/>
          <w:vertAlign w:val="superscript"/>
          <w:lang w:val="fr-FR"/>
        </w:rPr>
        <w:t>6</w:t>
      </w:r>
      <w:r>
        <w:rPr>
          <w:rFonts w:cs="Times New Roman" w:ascii="Times New Roman" w:hAnsi="Times New Roman"/>
          <w:color w:val="000000"/>
          <w:lang w:val="fr-FR"/>
        </w:rPr>
        <w:t>, Sultan. B</w:t>
      </w:r>
      <w:r>
        <w:rPr>
          <w:rFonts w:cs="Times New Roman" w:ascii="Times New Roman" w:hAnsi="Times New Roman"/>
          <w:color w:val="000000"/>
          <w:vertAlign w:val="superscript"/>
          <w:lang w:val="fr-FR"/>
        </w:rPr>
        <w:t>7</w:t>
      </w:r>
      <w:r>
        <w:rPr>
          <w:rFonts w:cs="Times New Roman" w:ascii="Times New Roman" w:hAnsi="Times New Roman"/>
          <w:color w:val="000000"/>
          <w:lang w:val="fr-FR"/>
        </w:rPr>
        <w:t xml:space="preserve"> and Menkes</w:t>
      </w:r>
      <w:r>
        <w:rPr>
          <w:rFonts w:cs="Times New Roman" w:ascii="Times New Roman" w:hAnsi="Times New Roman"/>
          <w:color w:val="000000"/>
          <w:vertAlign w:val="superscript"/>
          <w:lang w:val="fr-FR"/>
        </w:rPr>
        <w:t xml:space="preserve"> </w:t>
      </w:r>
      <w:r>
        <w:rPr>
          <w:rFonts w:cs="Times New Roman" w:ascii="Times New Roman" w:hAnsi="Times New Roman"/>
          <w:color w:val="000000"/>
          <w:lang w:val="fr-FR"/>
        </w:rPr>
        <w:t>C</w:t>
      </w:r>
      <w:r>
        <w:rPr>
          <w:rFonts w:cs="Times New Roman" w:ascii="Times New Roman" w:hAnsi="Times New Roman"/>
          <w:color w:val="000000"/>
          <w:vertAlign w:val="superscript"/>
          <w:lang w:val="fr-FR"/>
        </w:rPr>
        <w:t>8</w:t>
      </w:r>
    </w:p>
    <w:p>
      <w:pPr>
        <w:pStyle w:val="Normal"/>
        <w:spacing w:lineRule="auto" w:line="360"/>
        <w:jc w:val="center"/>
        <w:rPr>
          <w:rFonts w:ascii="Times New Roman" w:hAnsi="Times New Roman"/>
          <w:lang w:val="fr-FR"/>
        </w:rPr>
      </w:pPr>
      <w:r>
        <w:rPr>
          <w:rFonts w:ascii="Times New Roman" w:hAnsi="Times New Roman"/>
          <w:vertAlign w:val="superscript"/>
          <w:lang w:val="fr-FR"/>
        </w:rPr>
        <w:t>1</w:t>
      </w:r>
      <w:r>
        <w:rPr>
          <w:rFonts w:ascii="Times New Roman" w:hAnsi="Times New Roman"/>
          <w:lang w:val="fr-FR"/>
        </w:rPr>
        <w:t xml:space="preserve"> IRD (Institut de Recherche pour le Développement)-Sorbonne Universités (UPMC, Université Paris 06)-CNRS-MNHN-IPSL,  LOCEAN Laboratory, IRD</w:t>
      </w:r>
      <w:r>
        <w:rPr>
          <w:rFonts w:eastAsia="MS Mincho;‚l‚r –¾’©" w:cs="Calibri" w:ascii="Times New Roman" w:hAnsi="Times New Roman"/>
          <w:color w:val="000000"/>
          <w:lang w:val="fr-FR"/>
        </w:rPr>
        <w:t xml:space="preserve"> </w:t>
      </w:r>
      <w:r>
        <w:rPr>
          <w:rFonts w:ascii="Times New Roman" w:hAnsi="Times New Roman"/>
          <w:lang w:val="fr-FR"/>
        </w:rPr>
        <w:t>Nouméa BP A5, 98848 Nouméa cedex, New Caledonia.</w:t>
      </w:r>
    </w:p>
    <w:p>
      <w:pPr>
        <w:pStyle w:val="Normal"/>
        <w:spacing w:lineRule="auto" w:line="360"/>
        <w:jc w:val="center"/>
        <w:rPr>
          <w:rFonts w:ascii="Times New Roman" w:hAnsi="Times New Roman"/>
          <w:lang w:val="fr-FR"/>
        </w:rPr>
      </w:pPr>
      <w:r>
        <w:rPr>
          <w:rFonts w:ascii="Times New Roman" w:hAnsi="Times New Roman"/>
          <w:vertAlign w:val="superscript"/>
          <w:lang w:val="fr-FR"/>
        </w:rPr>
        <w:t xml:space="preserve">2 </w:t>
      </w:r>
      <w:r>
        <w:rPr>
          <w:rFonts w:ascii="Times New Roman" w:hAnsi="Times New Roman"/>
          <w:lang w:val="fr-FR"/>
        </w:rPr>
        <w:t>LOCEAN-IPSL, Sorbonne Universités, UPMC, Université Paris 06, CNRS-IRD-MNHN, Paris, France.</w:t>
      </w:r>
    </w:p>
    <w:p>
      <w:pPr>
        <w:pStyle w:val="Normal"/>
        <w:spacing w:lineRule="auto" w:line="360"/>
        <w:jc w:val="center"/>
        <w:rPr>
          <w:rFonts w:ascii="Times New Roman" w:hAnsi="Times New Roman"/>
          <w:lang w:val="en-AU"/>
        </w:rPr>
      </w:pPr>
      <w:r>
        <w:rPr>
          <w:rFonts w:ascii="Times New Roman" w:hAnsi="Times New Roman"/>
          <w:vertAlign w:val="superscript"/>
          <w:lang w:val="en-GB"/>
        </w:rPr>
        <w:t xml:space="preserve">3 </w:t>
      </w:r>
      <w:r>
        <w:rPr>
          <w:rFonts w:ascii="Times New Roman" w:hAnsi="Times New Roman"/>
          <w:lang w:val="en-AU"/>
        </w:rPr>
        <w:t>Climate Change Research Centre and ARC Centre of Excelle</w:t>
      </w:r>
      <w:r>
        <w:rPr>
          <w:rFonts w:ascii="Times New Roman" w:hAnsi="Times New Roman"/>
          <w:color w:val="000000"/>
          <w:lang w:val="en-AU"/>
        </w:rPr>
        <w:t>nce f</w:t>
      </w:r>
      <w:r>
        <w:rPr>
          <w:rFonts w:ascii="Times New Roman" w:hAnsi="Times New Roman"/>
          <w:color w:val="000000"/>
          <w:lang w:val="en-GB"/>
        </w:rPr>
        <w:t>or Climate Extremes</w:t>
      </w:r>
      <w:r>
        <w:rPr>
          <w:rFonts w:ascii="Times New Roman" w:hAnsi="Times New Roman"/>
          <w:color w:val="000000"/>
          <w:lang w:val="en-AU"/>
        </w:rPr>
        <w:t>, School of B</w:t>
      </w:r>
      <w:r>
        <w:rPr>
          <w:rFonts w:ascii="Times New Roman" w:hAnsi="Times New Roman"/>
          <w:lang w:val="en-AU"/>
        </w:rPr>
        <w:t>EES, University of New South Wales, Sydney, New South Wales, Australia.</w:t>
      </w:r>
    </w:p>
    <w:p>
      <w:pPr>
        <w:pStyle w:val="Normal"/>
        <w:spacing w:lineRule="auto" w:line="360"/>
        <w:jc w:val="center"/>
        <w:rPr>
          <w:rFonts w:ascii="Times New Roman" w:hAnsi="Times New Roman"/>
          <w:i/>
          <w:i/>
          <w:iCs/>
          <w:lang w:val="fr-FR"/>
        </w:rPr>
      </w:pPr>
      <w:r>
        <w:rPr>
          <w:rFonts w:ascii="Times New Roman" w:hAnsi="Times New Roman"/>
          <w:vertAlign w:val="superscript"/>
          <w:lang w:val="fr-FR"/>
        </w:rPr>
        <w:t>4</w:t>
      </w:r>
      <w:r>
        <w:rPr>
          <w:rFonts w:ascii="Times New Roman" w:hAnsi="Times New Roman"/>
          <w:lang w:val="fr-FR"/>
        </w:rPr>
        <w:t xml:space="preserve"> Univ. Grenoble Alpes, CNRS, IRD, G-INP, IGE, Grenoble, France</w:t>
      </w:r>
      <w:r>
        <w:rPr>
          <w:rFonts w:ascii="Times New Roman" w:hAnsi="Times New Roman"/>
          <w:i/>
          <w:iCs/>
          <w:lang w:val="fr-FR"/>
        </w:rPr>
        <w:t> </w:t>
      </w:r>
    </w:p>
    <w:p>
      <w:pPr>
        <w:pStyle w:val="Normal"/>
        <w:spacing w:lineRule="auto" w:line="360"/>
        <w:jc w:val="center"/>
        <w:rPr>
          <w:rFonts w:ascii="Times New Roman" w:hAnsi="Times New Roman"/>
          <w:lang w:val="fr-FR"/>
        </w:rPr>
      </w:pPr>
      <w:r>
        <w:rPr>
          <w:rFonts w:ascii="Times New Roman" w:hAnsi="Times New Roman"/>
          <w:vertAlign w:val="superscript"/>
          <w:lang w:val="fr-FR"/>
        </w:rPr>
        <w:t>5</w:t>
      </w:r>
      <w:r>
        <w:rPr>
          <w:rFonts w:ascii="Times New Roman" w:hAnsi="Times New Roman"/>
          <w:lang w:val="fr-FR"/>
        </w:rPr>
        <w:t xml:space="preserve"> Ifremer, Univ. Brest, CNRS, IRD, Laboratoire d’Océanographie Physique et Spatiale (LOPS), IUEM, Plouzané, France </w:t>
      </w:r>
    </w:p>
    <w:p>
      <w:pPr>
        <w:pStyle w:val="Normal"/>
        <w:spacing w:lineRule="auto" w:line="360"/>
        <w:jc w:val="center"/>
        <w:rPr>
          <w:rFonts w:ascii="Times New Roman" w:hAnsi="Times New Roman"/>
          <w:bCs/>
          <w:lang w:val="fr-FR"/>
        </w:rPr>
      </w:pPr>
      <w:r>
        <w:rPr>
          <w:rFonts w:ascii="Times New Roman" w:hAnsi="Times New Roman"/>
          <w:bCs/>
          <w:vertAlign w:val="superscript"/>
          <w:lang w:val="fr-FR"/>
        </w:rPr>
        <w:t>6</w:t>
      </w:r>
      <w:r>
        <w:rPr>
          <w:rFonts w:ascii="Times New Roman" w:hAnsi="Times New Roman"/>
          <w:bCs/>
          <w:lang w:val="fr-FR"/>
        </w:rPr>
        <w:t xml:space="preserve"> Météo France, Nouvelle Calédonie</w:t>
      </w:r>
    </w:p>
    <w:p>
      <w:pPr>
        <w:pStyle w:val="Normal"/>
        <w:spacing w:lineRule="auto" w:line="360"/>
        <w:jc w:val="center"/>
        <w:rPr>
          <w:rFonts w:ascii="Times New Roman" w:hAnsi="Times New Roman"/>
          <w:bCs/>
          <w:lang w:val="fr-FR"/>
        </w:rPr>
      </w:pPr>
      <w:r>
        <w:rPr>
          <w:rFonts w:ascii="Times New Roman" w:hAnsi="Times New Roman"/>
          <w:bCs/>
          <w:vertAlign w:val="superscript"/>
          <w:lang w:val="fr-FR"/>
        </w:rPr>
        <w:t>7</w:t>
      </w:r>
      <w:r>
        <w:rPr>
          <w:rFonts w:ascii="Times New Roman" w:hAnsi="Times New Roman"/>
          <w:bCs/>
          <w:lang w:val="fr-FR"/>
        </w:rPr>
        <w:t xml:space="preserve"> ESPACE-DEV, Univ Montpellier, IRD, Univ Guyane, Univ Reunion, Univ Antilles, Univ Avignon, France</w:t>
      </w:r>
    </w:p>
    <w:p>
      <w:pPr>
        <w:pStyle w:val="Normal"/>
        <w:spacing w:lineRule="auto" w:line="360"/>
        <w:jc w:val="center"/>
        <w:rPr>
          <w:rFonts w:ascii="Times New Roman" w:hAnsi="Times New Roman"/>
          <w:color w:val="000000"/>
        </w:rPr>
      </w:pPr>
      <w:r>
        <w:rPr>
          <w:rFonts w:ascii="Times New Roman" w:hAnsi="Times New Roman"/>
          <w:color w:val="000000"/>
          <w:vertAlign w:val="superscript"/>
        </w:rPr>
        <w:t xml:space="preserve">8 </w:t>
      </w:r>
      <w:r>
        <w:rPr>
          <w:rFonts w:ascii="Times New Roman" w:hAnsi="Times New Roman"/>
          <w:color w:val="000000"/>
        </w:rPr>
        <w:t>IRD, ENTROPIE (UMR 9220), BP A5, 98848 Nouméa cedex, New-Caledonia</w:t>
      </w:r>
    </w:p>
    <w:p>
      <w:pPr>
        <w:pStyle w:val="Normal"/>
        <w:spacing w:before="280" w:after="280"/>
        <w:jc w:val="center"/>
        <w:rPr>
          <w:rFonts w:ascii="Times New Roman" w:hAnsi="Times New Roman"/>
        </w:rPr>
      </w:pPr>
      <w:r>
        <w:rPr>
          <w:rFonts w:ascii="Times New Roman" w:hAnsi="Times New Roman"/>
        </w:rPr>
      </w:r>
    </w:p>
    <w:p>
      <w:pPr>
        <w:pStyle w:val="Normal"/>
        <w:rPr>
          <w:rFonts w:ascii="Times New Roman" w:hAnsi="Times New Roman"/>
          <w:b/>
          <w:b/>
        </w:rPr>
      </w:pPr>
      <w:r>
        <w:rPr>
          <w:rFonts w:ascii="Times New Roman" w:hAnsi="Times New Roman"/>
          <w:b/>
        </w:rPr>
        <w:t xml:space="preserve">Contents of this file </w:t>
      </w:r>
    </w:p>
    <w:p>
      <w:pPr>
        <w:pStyle w:val="Normal"/>
        <w:rPr/>
      </w:pPr>
      <w:r>
        <w:rPr>
          <w:rFonts w:ascii="Times New Roman" w:hAnsi="Times New Roman"/>
        </w:rPr>
        <w:t xml:space="preserve">         </w:t>
      </w:r>
      <w:r>
        <w:rPr>
          <w:rFonts w:ascii="Times New Roman" w:hAnsi="Times New Roman"/>
        </w:rPr>
        <w:t>Figures S1 to S10</w:t>
      </w:r>
    </w:p>
    <w:p>
      <w:pPr>
        <w:pStyle w:val="Normal"/>
        <w:rPr>
          <w:rFonts w:ascii="Times New Roman" w:hAnsi="Times New Roman"/>
        </w:rPr>
      </w:pPr>
      <w:r>
        <w:rPr>
          <w:rFonts w:ascii="Times New Roman" w:hAnsi="Times New Roman"/>
        </w:rPr>
        <w:tab/>
      </w:r>
    </w:p>
    <w:p>
      <w:pPr>
        <w:pStyle w:val="Normal"/>
        <w:ind w:left="720" w:right="0" w:hanging="0"/>
        <w:rPr>
          <w:rFonts w:ascii="Times New Roman" w:hAnsi="Times New Roman"/>
          <w:sz w:val="22"/>
          <w:szCs w:val="22"/>
        </w:rPr>
      </w:pPr>
      <w:r>
        <w:rPr>
          <w:rFonts w:ascii="Times New Roman" w:hAnsi="Times New Roman"/>
          <w:sz w:val="22"/>
          <w:szCs w:val="22"/>
        </w:rPr>
        <w:t xml:space="preserve"> </w:t>
      </w:r>
    </w:p>
    <w:p>
      <w:pPr>
        <w:pStyle w:val="Normal"/>
        <w:ind w:left="720" w:right="0" w:hanging="0"/>
        <w:rPr>
          <w:rFonts w:ascii="Times New Roman" w:hAnsi="Times New Roman"/>
        </w:rPr>
      </w:pPr>
      <w:r>
        <w:rPr>
          <w:rFonts w:ascii="Times New Roman" w:hAnsi="Times New Roman"/>
        </w:rPr>
      </w:r>
    </w:p>
    <w:p>
      <w:pPr>
        <w:pStyle w:val="Normal"/>
        <w:ind w:left="720" w:right="0" w:hanging="0"/>
        <w:rPr>
          <w:rFonts w:ascii="Times New Roman" w:hAnsi="Times New Roman"/>
        </w:rPr>
      </w:pPr>
      <w:r>
        <w:rPr>
          <w:rFonts w:ascii="Times New Roman" w:hAnsi="Times New Roman"/>
        </w:rPr>
      </w:r>
    </w:p>
    <w:p>
      <w:pPr>
        <w:pStyle w:val="Normal"/>
        <w:ind w:left="720" w:right="0" w:hanging="0"/>
        <w:rPr>
          <w:rFonts w:ascii="Times New Roman" w:hAnsi="Times New Roman"/>
        </w:rPr>
      </w:pPr>
      <w:r>
        <w:rPr>
          <w:rFonts w:ascii="Times New Roman" w:hAnsi="Times New Roman"/>
        </w:rPr>
      </w:r>
    </w:p>
    <w:p>
      <w:pPr>
        <w:pStyle w:val="Normal"/>
        <w:ind w:left="720" w:right="0" w:hanging="0"/>
        <w:rPr>
          <w:rFonts w:ascii="Times New Roman" w:hAnsi="Times New Roman"/>
        </w:rPr>
      </w:pPr>
      <w:r>
        <w:rPr>
          <w:rFonts w:ascii="Times New Roman" w:hAnsi="Times New Roman"/>
        </w:rPr>
      </w:r>
    </w:p>
    <w:p>
      <w:pPr>
        <w:pStyle w:val="Normal"/>
        <w:ind w:left="720" w:right="0" w:hanging="0"/>
        <w:rPr>
          <w:rFonts w:ascii="Times New Roman" w:hAnsi="Times New Roman"/>
        </w:rPr>
      </w:pPr>
      <w:r>
        <w:rPr>
          <w:rFonts w:ascii="Times New Roman" w:hAnsi="Times New Roman"/>
        </w:rPr>
      </w:r>
    </w:p>
    <w:p>
      <w:pPr>
        <w:pStyle w:val="Normal"/>
        <w:ind w:left="720" w:right="0" w:hanging="0"/>
        <w:rPr>
          <w:rFonts w:ascii="Times New Roman" w:hAnsi="Times New Roman"/>
        </w:rPr>
      </w:pPr>
      <w:r>
        <w:rPr>
          <w:rFonts w:ascii="Times New Roman" w:hAnsi="Times New Roman"/>
        </w:rPr>
      </w:r>
    </w:p>
    <w:p>
      <w:pPr>
        <w:pStyle w:val="Normal"/>
        <w:ind w:left="720" w:right="0" w:hanging="0"/>
        <w:rPr>
          <w:rFonts w:ascii="Times New Roman" w:hAnsi="Times New Roman"/>
        </w:rPr>
      </w:pPr>
      <w:r>
        <w:rPr>
          <w:rFonts w:ascii="Times New Roman" w:hAnsi="Times New Roman"/>
        </w:rPr>
      </w:r>
    </w:p>
    <w:p>
      <w:pPr>
        <w:pStyle w:val="Normal"/>
        <w:ind w:left="720" w:right="0" w:hanging="0"/>
        <w:rPr>
          <w:rFonts w:ascii="Times New Roman" w:hAnsi="Times New Roman"/>
        </w:rPr>
      </w:pPr>
      <w:r>
        <w:rPr>
          <w:rFonts w:ascii="Times New Roman" w:hAnsi="Times New Roman"/>
        </w:rPr>
      </w:r>
    </w:p>
    <w:p>
      <w:pPr>
        <w:pStyle w:val="Normal"/>
        <w:ind w:left="720" w:right="0" w:hanging="0"/>
        <w:rPr>
          <w:rFonts w:ascii="Times New Roman" w:hAnsi="Times New Roman"/>
        </w:rPr>
      </w:pPr>
      <w:r>
        <w:rPr>
          <w:rFonts w:ascii="Times New Roman" w:hAnsi="Times New Roman"/>
        </w:rPr>
      </w:r>
    </w:p>
    <w:p>
      <w:pPr>
        <w:pStyle w:val="Illustration"/>
        <w:jc w:val="both"/>
        <w:rPr>
          <w:rFonts w:ascii="Times New Roman" w:hAnsi="Times New Roman"/>
          <w:i w:val="false"/>
          <w:i w:val="false"/>
          <w:iCs w:val="false"/>
          <w:color w:val="000000"/>
        </w:rPr>
      </w:pPr>
      <w:r>
        <w:rPr>
          <w:rFonts w:ascii="Times New Roman" w:hAnsi="Times New Roman"/>
          <w:b/>
          <w:bCs/>
          <w:i w:val="false"/>
          <w:iCs w:val="false"/>
        </w:rPr>
        <w:t xml:space="preserve">Figure S1. </w:t>
      </w:r>
      <w:r>
        <w:rPr>
          <w:rFonts w:ascii="Times New Roman" w:hAnsi="Times New Roman"/>
          <w:i w:val="false"/>
          <w:iCs w:val="false"/>
          <w:color w:val="000000"/>
        </w:rPr>
        <w:t>Composite of the probability distribution functions (PDFs) of TC genesis anomalies in the observations (left column; IBTrACS) and in PD simulation (right column) for El Nino (first row) and La Nina (2</w:t>
      </w:r>
      <w:r>
        <w:rPr>
          <w:rFonts w:ascii="Times New Roman" w:hAnsi="Times New Roman"/>
          <w:i w:val="false"/>
          <w:iCs w:val="false"/>
          <w:color w:val="000000"/>
          <w:vertAlign w:val="superscript"/>
        </w:rPr>
        <w:t>nd</w:t>
      </w:r>
      <w:r>
        <w:drawing>
          <wp:anchor behindDoc="0" distT="0" distB="0" distL="0" distR="0" simplePos="0" locked="0" layoutInCell="1" allowOverlap="1" relativeHeight="2">
            <wp:simplePos x="0" y="0"/>
            <wp:positionH relativeFrom="column">
              <wp:align>center</wp:align>
            </wp:positionH>
            <wp:positionV relativeFrom="paragraph">
              <wp:posOffset>635</wp:posOffset>
            </wp:positionV>
            <wp:extent cx="5486400" cy="2991485"/>
            <wp:effectExtent l="0" t="0" r="0" b="0"/>
            <wp:wrapSquare wrapText="largest"/>
            <wp:docPr id="1"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
                    <pic:cNvPicPr>
                      <a:picLocks noChangeAspect="1" noChangeArrowheads="1"/>
                    </pic:cNvPicPr>
                  </pic:nvPicPr>
                  <pic:blipFill>
                    <a:blip r:embed="rId2"/>
                    <a:srcRect l="0" t="20149" r="0" b="24931"/>
                    <a:stretch>
                      <a:fillRect/>
                    </a:stretch>
                  </pic:blipFill>
                  <pic:spPr bwMode="auto">
                    <a:xfrm>
                      <a:off x="0" y="0"/>
                      <a:ext cx="5486400" cy="2991485"/>
                    </a:xfrm>
                    <a:prstGeom prst="rect">
                      <a:avLst/>
                    </a:prstGeom>
                  </pic:spPr>
                </pic:pic>
              </a:graphicData>
            </a:graphic>
          </wp:anchor>
        </w:drawing>
      </w:r>
      <w:r>
        <w:rPr>
          <w:rFonts w:ascii="Times New Roman" w:hAnsi="Times New Roman"/>
          <w:i w:val="false"/>
          <w:iCs w:val="false"/>
          <w:color w:val="000000"/>
        </w:rPr>
        <w:t xml:space="preserve"> </w:t>
      </w:r>
      <w:r>
        <w:rPr>
          <w:rFonts w:ascii="Times New Roman" w:hAnsi="Times New Roman"/>
          <w:i w:val="false"/>
          <w:iCs w:val="false"/>
          <w:color w:val="000000"/>
        </w:rPr>
        <w:t>row) phases. To generate PDFs, we compute anisotropic Gaussian functions, with an associated standard deviation in meridional and zonal directions respectively of 2.5° and 5°.</w:t>
      </w:r>
    </w:p>
    <w:p>
      <w:pPr>
        <w:pStyle w:val="Illustration"/>
        <w:jc w:val="both"/>
        <w:rPr>
          <w:rFonts w:ascii="Times New Roman" w:hAnsi="Times New Roman"/>
        </w:rPr>
      </w:pPr>
      <w:r>
        <w:rPr>
          <w:rFonts w:ascii="Times New Roman" w:hAnsi="Times New Roman"/>
        </w:rPr>
      </w:r>
    </w:p>
    <w:p>
      <w:pPr>
        <w:pStyle w:val="Illustration"/>
        <w:jc w:val="both"/>
        <w:rPr>
          <w:rFonts w:ascii="Times New Roman" w:hAnsi="Times New Roman"/>
        </w:rPr>
      </w:pPr>
      <w:r>
        <w:rPr>
          <w:rFonts w:ascii="Times New Roman" w:hAnsi="Times New Roman"/>
        </w:rPr>
      </w:r>
    </w:p>
    <w:p>
      <w:pPr>
        <w:pStyle w:val="Illustration"/>
        <w:jc w:val="both"/>
        <w:rPr>
          <w:rFonts w:ascii="Times New Roman" w:hAnsi="Times New Roman"/>
        </w:rPr>
      </w:pPr>
      <w:r>
        <w:rPr>
          <w:rFonts w:ascii="Times New Roman" w:hAnsi="Times New Roman"/>
        </w:rPr>
      </w:r>
    </w:p>
    <w:p>
      <w:pPr>
        <w:pStyle w:val="Illustration"/>
        <w:jc w:val="both"/>
        <w:rPr>
          <w:rFonts w:ascii="Times New Roman" w:hAnsi="Times New Roman"/>
        </w:rPr>
      </w:pPr>
      <w:r>
        <w:rPr>
          <w:rFonts w:ascii="Times New Roman" w:hAnsi="Times New Roman"/>
        </w:rPr>
      </w:r>
    </w:p>
    <w:p>
      <w:pPr>
        <w:pStyle w:val="Normal"/>
        <w:spacing w:lineRule="auto" w:line="360"/>
        <w:jc w:val="both"/>
        <w:rPr>
          <w:color w:val="000000"/>
          <w:lang w:val="en-GB"/>
        </w:rPr>
      </w:pPr>
      <w:r>
        <w:rPr>
          <w:color w:val="000000"/>
          <w:lang w:val="en-GB"/>
        </w:rPr>
        <w:t>To assess the sensitivity of our results to index selection, we compared the TCGI with two others cyclogenesis index (Fig. S2), the GPI and GPI* defined as follows:</w:t>
      </w:r>
    </w:p>
    <w:p>
      <w:pPr>
        <w:pStyle w:val="TextBody"/>
        <w:spacing w:lineRule="auto" w:line="360"/>
        <w:jc w:val="both"/>
        <w:rPr/>
      </w:pPr>
      <w:r>
        <w:rPr/>
      </w:r>
      <m:oMath xmlns:m="http://schemas.openxmlformats.org/officeDocument/2006/math">
        <m:r>
          <w:rPr>
            <w:rFonts w:ascii="Cambria Math" w:hAnsi="Cambria Math"/>
          </w:rPr>
          <m:t xml:space="preserve">GPI</m:t>
        </m:r>
        <m:r>
          <w:rPr>
            <w:rFonts w:ascii="Cambria Math" w:hAnsi="Cambria Math"/>
          </w:rPr>
          <m:t xml:space="preserve">=</m:t>
        </m:r>
        <m:sSup>
          <m:e>
            <m:d>
              <m:dPr>
                <m:begChr m:val="|"/>
                <m:endChr m:val="|"/>
              </m:dPr>
              <m:e>
                <m:sSup>
                  <m:e>
                    <m:r>
                      <w:rPr>
                        <w:rFonts w:ascii="Cambria Math" w:hAnsi="Cambria Math"/>
                      </w:rPr>
                      <m:t xml:space="preserve">10</m:t>
                    </m:r>
                  </m:e>
                  <m:sup>
                    <m:r>
                      <w:rPr>
                        <w:rFonts w:ascii="Cambria Math" w:hAnsi="Cambria Math"/>
                      </w:rPr>
                      <m:t xml:space="preserve">5</m:t>
                    </m:r>
                  </m:sup>
                </m:sSup>
                <m:r>
                  <w:rPr>
                    <w:rFonts w:ascii="Cambria Math" w:hAnsi="Cambria Math"/>
                  </w:rPr>
                  <m:t xml:space="preserve">η</m:t>
                </m:r>
              </m:e>
            </m:d>
          </m:e>
          <m:sup>
            <m:f>
              <m:fPr>
                <m:type m:val="lin"/>
              </m:fPr>
              <m:num>
                <m:r>
                  <w:rPr>
                    <w:rFonts w:ascii="Cambria Math" w:hAnsi="Cambria Math"/>
                  </w:rPr>
                  <m:t xml:space="preserve">3</m:t>
                </m:r>
              </m:num>
              <m:den>
                <m:r>
                  <w:rPr>
                    <w:rFonts w:ascii="Cambria Math" w:hAnsi="Cambria Math"/>
                  </w:rPr>
                  <m:t xml:space="preserve">2</m:t>
                </m:r>
              </m:den>
            </m:f>
          </m:sup>
        </m:sSup>
        <m:sSup>
          <m:e>
            <m:d>
              <m:dPr>
                <m:begChr m:val="("/>
                <m:endChr m:val=")"/>
              </m:dPr>
              <m:e>
                <m:f>
                  <m:num>
                    <m:r>
                      <w:rPr>
                        <w:rFonts w:ascii="Cambria Math" w:hAnsi="Cambria Math"/>
                      </w:rPr>
                      <m:t xml:space="preserve">RH</m:t>
                    </m:r>
                  </m:num>
                  <m:den>
                    <m:r>
                      <w:rPr>
                        <w:rFonts w:ascii="Cambria Math" w:hAnsi="Cambria Math"/>
                      </w:rPr>
                      <m:t xml:space="preserve">50</m:t>
                    </m:r>
                  </m:den>
                </m:f>
              </m:e>
            </m:d>
          </m:e>
          <m:sup>
            <m:r>
              <w:rPr>
                <w:rFonts w:ascii="Cambria Math" w:hAnsi="Cambria Math"/>
              </w:rPr>
              <m:t xml:space="preserve">3</m:t>
            </m:r>
          </m:sup>
        </m:sSup>
        <m:sSup>
          <m:e>
            <m:d>
              <m:dPr>
                <m:begChr m:val="("/>
                <m:endChr m:val=")"/>
              </m:dPr>
              <m:e>
                <m:f>
                  <m:num>
                    <m:sSub>
                      <m:e>
                        <m:r>
                          <w:rPr>
                            <w:rFonts w:ascii="Cambria Math" w:hAnsi="Cambria Math"/>
                          </w:rPr>
                          <m:t xml:space="preserve">V</m:t>
                        </m:r>
                      </m:e>
                      <m:sub>
                        <m:r>
                          <w:rPr>
                            <w:rFonts w:ascii="Cambria Math" w:hAnsi="Cambria Math"/>
                          </w:rPr>
                          <m:t xml:space="preserve">pot</m:t>
                        </m:r>
                      </m:sub>
                    </m:sSub>
                  </m:num>
                  <m:den>
                    <m:r>
                      <w:rPr>
                        <w:rFonts w:ascii="Cambria Math" w:hAnsi="Cambria Math"/>
                      </w:rPr>
                      <m:t xml:space="preserve">70</m:t>
                    </m:r>
                  </m:den>
                </m:f>
              </m:e>
            </m:d>
          </m:e>
          <m:sup>
            <m:r>
              <w:rPr>
                <w:rFonts w:ascii="Cambria Math" w:hAnsi="Cambria Math"/>
              </w:rPr>
              <m:t xml:space="preserve">3</m:t>
            </m:r>
          </m:sup>
        </m:sSup>
        <m:sSup>
          <m:e>
            <m:d>
              <m:dPr>
                <m:begChr m:val="("/>
                <m:endChr m:val=")"/>
              </m:dPr>
              <m:e>
                <m:r>
                  <w:rPr>
                    <w:rFonts w:ascii="Cambria Math" w:hAnsi="Cambria Math"/>
                  </w:rPr>
                  <m:t xml:space="preserve">1</m:t>
                </m:r>
                <m:r>
                  <w:rPr>
                    <w:rFonts w:ascii="Cambria Math" w:hAnsi="Cambria Math"/>
                  </w:rPr>
                  <m:t xml:space="preserve">+</m:t>
                </m:r>
                <m:r>
                  <w:rPr>
                    <w:rFonts w:ascii="Cambria Math" w:hAnsi="Cambria Math"/>
                  </w:rPr>
                  <m:t xml:space="preserve">0.1</m:t>
                </m:r>
                <m:sSub>
                  <m:e>
                    <m:r>
                      <w:rPr>
                        <w:rFonts w:ascii="Cambria Math" w:hAnsi="Cambria Math"/>
                      </w:rPr>
                      <m:t xml:space="preserve">V</m:t>
                    </m:r>
                  </m:e>
                  <m:sub>
                    <m:r>
                      <w:rPr>
                        <w:rFonts w:ascii="Cambria Math" w:hAnsi="Cambria Math"/>
                      </w:rPr>
                      <m:t xml:space="preserve">s</m:t>
                    </m:r>
                  </m:sub>
                </m:sSub>
              </m:e>
            </m:d>
          </m:e>
          <m:sup>
            <m:r>
              <w:rPr>
                <w:rFonts w:ascii="Cambria Math" w:hAnsi="Cambria Math"/>
              </w:rPr>
              <m:t xml:space="preserve">−</m:t>
            </m:r>
            <m:r>
              <w:rPr>
                <w:rFonts w:ascii="Cambria Math" w:hAnsi="Cambria Math"/>
              </w:rPr>
              <m:t xml:space="preserve">2</m:t>
            </m:r>
          </m:sup>
        </m:sSup>
      </m:oMath>
    </w:p>
    <w:p>
      <w:pPr>
        <w:pStyle w:val="TextBody"/>
        <w:spacing w:lineRule="auto" w:line="360"/>
        <w:jc w:val="both"/>
        <w:rPr/>
      </w:pPr>
      <w:r>
        <w:rPr/>
        <w:t>and,</w:t>
      </w:r>
    </w:p>
    <w:p>
      <w:pPr>
        <w:pStyle w:val="TextBody"/>
        <w:spacing w:lineRule="auto" w:line="360"/>
        <w:jc w:val="both"/>
        <w:rPr>
          <w:color w:val="000000"/>
          <w:lang w:val="en-GB"/>
        </w:rPr>
      </w:pPr>
      <w:r>
        <w:rPr/>
      </w:r>
      <m:oMath xmlns:m="http://schemas.openxmlformats.org/officeDocument/2006/math">
        <m:sSup>
          <m:e>
            <m:r>
              <w:rPr>
                <w:rFonts w:ascii="Cambria Math" w:hAnsi="Cambria Math"/>
              </w:rPr>
              <m:t xml:space="preserve">GPI</m:t>
            </m:r>
          </m:e>
          <m:sup>
            <m:r>
              <w:rPr>
                <w:rFonts w:ascii="Cambria Math" w:hAnsi="Cambria Math"/>
              </w:rPr>
              <m:t xml:space="preserve">☼</m:t>
            </m:r>
          </m:sup>
        </m:sSup>
        <m:r>
          <w:rPr>
            <w:rFonts w:ascii="Cambria Math" w:hAnsi="Cambria Math"/>
          </w:rPr>
          <m:t xml:space="preserve">=</m:t>
        </m:r>
        <m:sSup>
          <m:e>
            <m:d>
              <m:dPr>
                <m:begChr m:val="|"/>
                <m:endChr m:val="|"/>
              </m:dPr>
              <m:e>
                <m:sSup>
                  <m:e>
                    <m:r>
                      <w:rPr>
                        <w:rFonts w:ascii="Cambria Math" w:hAnsi="Cambria Math"/>
                      </w:rPr>
                      <m:t xml:space="preserve">10</m:t>
                    </m:r>
                  </m:e>
                  <m:sup>
                    <m:r>
                      <w:rPr>
                        <w:rFonts w:ascii="Cambria Math" w:hAnsi="Cambria Math"/>
                      </w:rPr>
                      <m:t xml:space="preserve">5</m:t>
                    </m:r>
                  </m:sup>
                </m:sSup>
                <m:r>
                  <w:rPr>
                    <w:rFonts w:ascii="Cambria Math" w:hAnsi="Cambria Math"/>
                  </w:rPr>
                  <m:t xml:space="preserve">η</m:t>
                </m:r>
              </m:e>
            </m:d>
          </m:e>
          <m:sup>
            <m:f>
              <m:fPr>
                <m:type m:val="lin"/>
              </m:fPr>
              <m:num>
                <m:r>
                  <w:rPr>
                    <w:rFonts w:ascii="Cambria Math" w:hAnsi="Cambria Math"/>
                  </w:rPr>
                  <m:t xml:space="preserve">3</m:t>
                </m:r>
              </m:num>
              <m:den>
                <m:r>
                  <w:rPr>
                    <w:rFonts w:ascii="Cambria Math" w:hAnsi="Cambria Math"/>
                  </w:rPr>
                  <m:t xml:space="preserve">2</m:t>
                </m:r>
              </m:den>
            </m:f>
          </m:sup>
        </m:sSup>
        <m:sSup>
          <m:e>
            <m:d>
              <m:dPr>
                <m:begChr m:val="("/>
                <m:endChr m:val=")"/>
              </m:dPr>
              <m:e>
                <m:f>
                  <m:num>
                    <m:r>
                      <w:rPr>
                        <w:rFonts w:ascii="Cambria Math" w:hAnsi="Cambria Math"/>
                      </w:rPr>
                      <m:t xml:space="preserve">RH</m:t>
                    </m:r>
                  </m:num>
                  <m:den>
                    <m:r>
                      <w:rPr>
                        <w:rFonts w:ascii="Cambria Math" w:hAnsi="Cambria Math"/>
                      </w:rPr>
                      <m:t xml:space="preserve">50</m:t>
                    </m:r>
                  </m:den>
                </m:f>
              </m:e>
            </m:d>
          </m:e>
          <m:sup>
            <m:r>
              <w:rPr>
                <w:rFonts w:ascii="Cambria Math" w:hAnsi="Cambria Math"/>
              </w:rPr>
              <m:t xml:space="preserve">3</m:t>
            </m:r>
          </m:sup>
        </m:sSup>
        <m:sSup>
          <m:e>
            <m:d>
              <m:dPr>
                <m:begChr m:val="("/>
                <m:endChr m:val=")"/>
              </m:dPr>
              <m:e>
                <m:f>
                  <m:num>
                    <m:sSub>
                      <m:e>
                        <m:r>
                          <w:rPr>
                            <w:rFonts w:ascii="Cambria Math" w:hAnsi="Cambria Math"/>
                          </w:rPr>
                          <m:t xml:space="preserve">V</m:t>
                        </m:r>
                      </m:e>
                      <m:sub>
                        <m:r>
                          <w:rPr>
                            <w:rFonts w:ascii="Cambria Math" w:hAnsi="Cambria Math"/>
                          </w:rPr>
                          <m:t xml:space="preserve">pot</m:t>
                        </m:r>
                      </m:sub>
                    </m:sSub>
                  </m:num>
                  <m:den>
                    <m:r>
                      <w:rPr>
                        <w:rFonts w:ascii="Cambria Math" w:hAnsi="Cambria Math"/>
                      </w:rPr>
                      <m:t xml:space="preserve">70</m:t>
                    </m:r>
                  </m:den>
                </m:f>
              </m:e>
            </m:d>
          </m:e>
          <m:sup>
            <m:r>
              <w:rPr>
                <w:rFonts w:ascii="Cambria Math" w:hAnsi="Cambria Math"/>
              </w:rPr>
              <m:t xml:space="preserve">3</m:t>
            </m:r>
          </m:sup>
        </m:sSup>
        <m:sSup>
          <m:e>
            <m:d>
              <m:dPr>
                <m:begChr m:val="("/>
                <m:endChr m:val=")"/>
              </m:dPr>
              <m:e>
                <m:r>
                  <w:rPr>
                    <w:rFonts w:ascii="Cambria Math" w:hAnsi="Cambria Math"/>
                  </w:rPr>
                  <m:t xml:space="preserve">1</m:t>
                </m:r>
                <m:r>
                  <w:rPr>
                    <w:rFonts w:ascii="Cambria Math" w:hAnsi="Cambria Math"/>
                  </w:rPr>
                  <m:t xml:space="preserve">+</m:t>
                </m:r>
                <m:r>
                  <w:rPr>
                    <w:rFonts w:ascii="Cambria Math" w:hAnsi="Cambria Math"/>
                  </w:rPr>
                  <m:t xml:space="preserve">0.1</m:t>
                </m:r>
                <m:sSub>
                  <m:e>
                    <m:r>
                      <w:rPr>
                        <w:rFonts w:ascii="Cambria Math" w:hAnsi="Cambria Math"/>
                      </w:rPr>
                      <m:t xml:space="preserve">V</m:t>
                    </m:r>
                  </m:e>
                  <m:sub>
                    <m:r>
                      <w:rPr>
                        <w:rFonts w:ascii="Cambria Math" w:hAnsi="Cambria Math"/>
                      </w:rPr>
                      <m:t xml:space="preserve">s</m:t>
                    </m:r>
                  </m:sub>
                </m:sSub>
              </m:e>
            </m:d>
          </m:e>
          <m:sup>
            <m:r>
              <w:rPr>
                <w:rFonts w:ascii="Cambria Math" w:hAnsi="Cambria Math"/>
              </w:rPr>
              <m:t xml:space="preserve">−</m:t>
            </m:r>
            <m:r>
              <w:rPr>
                <w:rFonts w:ascii="Cambria Math" w:hAnsi="Cambria Math"/>
              </w:rPr>
              <m:t xml:space="preserve">2</m:t>
            </m:r>
          </m:sup>
        </m:sSup>
        <m:d>
          <m:dPr>
            <m:begChr m:val="("/>
            <m:endChr m:val=")"/>
          </m:dPr>
          <m:e>
            <m:f>
              <m:num>
                <m:r>
                  <w:rPr>
                    <w:rFonts w:ascii="Cambria Math" w:hAnsi="Cambria Math"/>
                  </w:rPr>
                  <m:t xml:space="preserve">−</m:t>
                </m:r>
                <m:r>
                  <w:rPr>
                    <w:rFonts w:ascii="Cambria Math" w:hAnsi="Cambria Math"/>
                  </w:rPr>
                  <m:t xml:space="preserve">ω</m:t>
                </m:r>
                <m:r>
                  <w:rPr>
                    <w:rFonts w:ascii="Cambria Math" w:hAnsi="Cambria Math"/>
                  </w:rPr>
                  <m:t xml:space="preserve">+</m:t>
                </m:r>
                <m:r>
                  <w:rPr>
                    <w:rFonts w:ascii="Cambria Math" w:hAnsi="Cambria Math"/>
                  </w:rPr>
                  <m:t xml:space="preserve">0.1</m:t>
                </m:r>
              </m:num>
              <m:den>
                <m:r>
                  <w:rPr>
                    <w:rFonts w:ascii="Cambria Math" w:hAnsi="Cambria Math"/>
                  </w:rPr>
                  <m:t xml:space="preserve">0.1</m:t>
                </m:r>
              </m:den>
            </m:f>
          </m:e>
        </m:d>
      </m:oMath>
      <w:r>
        <w:rPr>
          <w:color w:val="000000"/>
          <w:lang w:val="en-GB"/>
        </w:rPr>
        <w:t>,</w:t>
      </w:r>
    </w:p>
    <w:p>
      <w:pPr>
        <w:pStyle w:val="TextBody"/>
        <w:spacing w:lineRule="auto" w:line="360"/>
        <w:jc w:val="both"/>
        <w:rPr>
          <w:rFonts w:ascii="Times New Roman" w:hAnsi="Times New Roman"/>
          <w:color w:val="000000"/>
          <w:lang w:val="en-GB"/>
        </w:rPr>
      </w:pPr>
      <w:r>
        <w:rPr>
          <w:rFonts w:ascii="Times New Roman" w:hAnsi="Times New Roman"/>
          <w:color w:val="000000"/>
          <w:lang w:val="en-GB"/>
        </w:rPr>
        <w:t>where</w:t>
      </w:r>
      <w:r>
        <w:rPr>
          <w:rFonts w:ascii="Times New Roman" w:hAnsi="Times New Roman"/>
          <w:color w:val="000000"/>
        </w:rPr>
        <w:t xml:space="preserve"> η is  </w:t>
      </w:r>
      <w:r>
        <w:rPr>
          <w:rFonts w:ascii="Times New Roman" w:hAnsi="Times New Roman"/>
          <w:color w:val="000000"/>
          <w:lang w:val="en-GB"/>
        </w:rPr>
        <w:t>the absolute vorticity at 850hPa (s</w:t>
      </w:r>
      <w:r>
        <w:rPr>
          <w:rFonts w:ascii="Times New Roman" w:hAnsi="Times New Roman"/>
          <w:color w:val="000000"/>
          <w:vertAlign w:val="superscript"/>
          <w:lang w:val="en-GB"/>
        </w:rPr>
        <w:t>-1</w:t>
      </w:r>
      <w:r>
        <w:rPr>
          <w:rFonts w:ascii="Times New Roman" w:hAnsi="Times New Roman"/>
          <w:color w:val="000000"/>
          <w:lang w:val="en-GB"/>
        </w:rPr>
        <w:t>), RH is the relative humidity at 700hPa (%), V</w:t>
      </w:r>
      <w:r>
        <w:rPr>
          <w:rFonts w:ascii="Times New Roman" w:hAnsi="Times New Roman"/>
          <w:color w:val="000000"/>
          <w:vertAlign w:val="subscript"/>
          <w:lang w:val="en-GB"/>
        </w:rPr>
        <w:t>pot</w:t>
      </w:r>
      <w:r>
        <w:rPr>
          <w:rFonts w:ascii="Times New Roman" w:hAnsi="Times New Roman"/>
          <w:color w:val="000000"/>
          <w:lang w:val="en-GB"/>
        </w:rPr>
        <w:t xml:space="preserve"> is the maximum potential intensity (m.s</w:t>
      </w:r>
      <w:r>
        <w:rPr>
          <w:rFonts w:ascii="Times New Roman" w:hAnsi="Times New Roman"/>
          <w:color w:val="000000"/>
          <w:vertAlign w:val="superscript"/>
          <w:lang w:val="en-GB"/>
        </w:rPr>
        <w:t>-1</w:t>
      </w:r>
      <w:r>
        <w:rPr>
          <w:rFonts w:ascii="Times New Roman" w:hAnsi="Times New Roman"/>
          <w:color w:val="000000"/>
          <w:lang w:val="en-GB"/>
        </w:rPr>
        <w:t>), V</w:t>
      </w:r>
      <w:r>
        <w:rPr>
          <w:rFonts w:ascii="Times New Roman" w:hAnsi="Times New Roman"/>
          <w:color w:val="000000"/>
          <w:vertAlign w:val="subscript"/>
          <w:lang w:val="en-GB"/>
        </w:rPr>
        <w:t>s</w:t>
      </w:r>
      <w:r>
        <w:rPr>
          <w:rFonts w:ascii="Times New Roman" w:hAnsi="Times New Roman"/>
          <w:color w:val="000000"/>
          <w:lang w:val="en-GB"/>
        </w:rPr>
        <w:t xml:space="preserve">  is the magnitude of the vertical wind shear between 850 and 200 hPa (m.s</w:t>
      </w:r>
      <w:r>
        <w:rPr>
          <w:rFonts w:ascii="Times New Roman" w:hAnsi="Times New Roman"/>
          <w:color w:val="000000"/>
          <w:vertAlign w:val="superscript"/>
          <w:lang w:val="en-GB"/>
        </w:rPr>
        <w:t>-1</w:t>
      </w:r>
      <w:r>
        <w:rPr>
          <w:rFonts w:ascii="Times New Roman" w:hAnsi="Times New Roman"/>
          <w:color w:val="000000"/>
          <w:lang w:val="en-GB"/>
        </w:rPr>
        <w:t>), and ω is the vertical wind velocity (Pa.s</w:t>
      </w:r>
      <w:r>
        <w:rPr>
          <w:rFonts w:ascii="Times New Roman" w:hAnsi="Times New Roman"/>
          <w:color w:val="000000"/>
          <w:vertAlign w:val="superscript"/>
          <w:lang w:val="en-GB"/>
        </w:rPr>
        <w:t>-1</w:t>
      </w:r>
      <w:r>
        <w:rPr>
          <w:rFonts w:ascii="Times New Roman" w:hAnsi="Times New Roman"/>
          <w:color w:val="000000"/>
          <w:lang w:val="en-GB"/>
        </w:rPr>
        <w:t>).</w:t>
      </w:r>
    </w:p>
    <w:p>
      <w:pPr>
        <w:pStyle w:val="SMHeading"/>
        <w:jc w:val="both"/>
        <w:rPr>
          <w:rFonts w:ascii="Times New Roman" w:hAnsi="Times New Roman"/>
          <w:i/>
          <w:i/>
          <w:sz w:val="22"/>
          <w:szCs w:val="22"/>
        </w:rPr>
      </w:pPr>
      <w:r>
        <w:rPr>
          <w:rFonts w:ascii="Times New Roman" w:hAnsi="Times New Roman"/>
          <w:i/>
          <w:sz w:val="22"/>
          <w:szCs w:val="22"/>
        </w:rPr>
        <w:drawing>
          <wp:anchor behindDoc="0" distT="0" distB="0" distL="0" distR="0" simplePos="0" locked="0" layoutInCell="1" allowOverlap="1" relativeHeight="3">
            <wp:simplePos x="0" y="0"/>
            <wp:positionH relativeFrom="column">
              <wp:posOffset>46990</wp:posOffset>
            </wp:positionH>
            <wp:positionV relativeFrom="paragraph">
              <wp:posOffset>635</wp:posOffset>
            </wp:positionV>
            <wp:extent cx="5486400" cy="7541895"/>
            <wp:effectExtent l="0" t="0" r="0" b="0"/>
            <wp:wrapSquare wrapText="largest"/>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3"/>
                    <a:srcRect l="0" t="1669" r="0" b="1343"/>
                    <a:stretch>
                      <a:fillRect/>
                    </a:stretch>
                  </pic:blipFill>
                  <pic:spPr bwMode="auto">
                    <a:xfrm>
                      <a:off x="0" y="0"/>
                      <a:ext cx="5486400" cy="7541895"/>
                    </a:xfrm>
                    <a:prstGeom prst="rect">
                      <a:avLst/>
                    </a:prstGeom>
                  </pic:spPr>
                </pic:pic>
              </a:graphicData>
            </a:graphic>
          </wp:anchor>
        </w:drawing>
      </w:r>
    </w:p>
    <w:p>
      <w:pPr>
        <w:pStyle w:val="Illustration"/>
        <w:jc w:val="both"/>
        <w:rPr>
          <w:rFonts w:ascii="Times New Roman" w:hAnsi="Times New Roman"/>
          <w:b/>
          <w:b/>
          <w:bCs/>
          <w:i w:val="false"/>
          <w:i w:val="false"/>
          <w:iCs w:val="false"/>
        </w:rPr>
      </w:pPr>
      <w:r>
        <w:rPr>
          <w:rFonts w:ascii="Times New Roman" w:hAnsi="Times New Roman"/>
          <w:b/>
          <w:bCs/>
          <w:i w:val="false"/>
          <w:iCs w:val="false"/>
        </w:rPr>
        <w:t>Figure S2:</w:t>
      </w:r>
      <w:r>
        <w:rPr>
          <w:rFonts w:ascii="Times New Roman" w:hAnsi="Times New Roman"/>
          <w:i w:val="false"/>
          <w:iCs w:val="false"/>
        </w:rPr>
        <w:t xml:space="preserve">  Same as figure 3 but for the 3 TC genesis indices: TCGI, GPI and GPI*. In GPI* the contribution of vertical wind velocity at 500hPa is also evaluated (red bar).</w:t>
      </w:r>
      <w:r>
        <w:rPr>
          <w:rFonts w:ascii="Times New Roman" w:hAnsi="Times New Roman"/>
          <w:b/>
          <w:bCs/>
          <w:i w:val="false"/>
          <w:iCs w:val="false"/>
        </w:rPr>
        <w:t xml:space="preserve">  </w:t>
      </w:r>
      <w:r>
        <w:br w:type="page"/>
      </w:r>
    </w:p>
    <w:p>
      <w:pPr>
        <w:pStyle w:val="Normal"/>
        <w:spacing w:lineRule="auto" w:line="360"/>
        <w:jc w:val="both"/>
        <w:rPr>
          <w:rFonts w:ascii="Times New Roman" w:hAnsi="Times New Roman"/>
          <w:sz w:val="22"/>
          <w:szCs w:val="22"/>
        </w:rPr>
      </w:pPr>
      <w:r>
        <w:rPr>
          <w:rFonts w:ascii="Times New Roman" w:hAnsi="Times New Roman"/>
          <w:sz w:val="22"/>
          <w:szCs w:val="22"/>
        </w:rPr>
        <w:drawing>
          <wp:anchor behindDoc="0" distT="0" distB="0" distL="0" distR="0" simplePos="0" locked="0" layoutInCell="1" allowOverlap="1" relativeHeight="4">
            <wp:simplePos x="0" y="0"/>
            <wp:positionH relativeFrom="column">
              <wp:posOffset>-66675</wp:posOffset>
            </wp:positionH>
            <wp:positionV relativeFrom="paragraph">
              <wp:posOffset>92710</wp:posOffset>
            </wp:positionV>
            <wp:extent cx="5486400" cy="4058920"/>
            <wp:effectExtent l="0" t="0" r="0" b="0"/>
            <wp:wrapTopAndBottom/>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4"/>
                    <a:stretch>
                      <a:fillRect/>
                    </a:stretch>
                  </pic:blipFill>
                  <pic:spPr bwMode="auto">
                    <a:xfrm>
                      <a:off x="0" y="0"/>
                      <a:ext cx="5486400" cy="4058920"/>
                    </a:xfrm>
                    <a:prstGeom prst="rect">
                      <a:avLst/>
                    </a:prstGeom>
                  </pic:spPr>
                </pic:pic>
              </a:graphicData>
            </a:graphic>
          </wp:anchor>
        </w:drawing>
      </w:r>
    </w:p>
    <w:p>
      <w:pPr>
        <w:pStyle w:val="Illustration"/>
        <w:jc w:val="both"/>
        <w:rPr>
          <w:rFonts w:ascii="Times New Roman" w:hAnsi="Times New Roman"/>
          <w:i w:val="false"/>
          <w:i w:val="false"/>
          <w:iCs w:val="false"/>
          <w:sz w:val="22"/>
          <w:szCs w:val="22"/>
        </w:rPr>
      </w:pPr>
      <w:r>
        <w:rPr>
          <w:rFonts w:ascii="Times New Roman" w:hAnsi="Times New Roman"/>
          <w:b/>
          <w:bCs/>
          <w:i w:val="false"/>
          <w:iCs w:val="false"/>
          <w:sz w:val="22"/>
          <w:szCs w:val="22"/>
        </w:rPr>
        <w:t xml:space="preserve">Figure S3. </w:t>
      </w:r>
      <w:r>
        <w:rPr>
          <w:rFonts w:ascii="Times New Roman" w:hAnsi="Times New Roman"/>
          <w:i w:val="false"/>
          <w:iCs w:val="false"/>
          <w:sz w:val="22"/>
          <w:szCs w:val="22"/>
        </w:rPr>
        <w:t>Precipitation under TCs (in mm.day</w:t>
      </w:r>
      <w:r>
        <w:rPr>
          <w:rFonts w:ascii="Times New Roman" w:hAnsi="Times New Roman"/>
          <w:i w:val="false"/>
          <w:iCs w:val="false"/>
          <w:sz w:val="22"/>
          <w:szCs w:val="22"/>
          <w:vertAlign w:val="superscript"/>
        </w:rPr>
        <w:t>-1</w:t>
      </w:r>
      <w:r>
        <w:rPr>
          <w:rFonts w:ascii="Times New Roman" w:hAnsi="Times New Roman"/>
          <w:i w:val="false"/>
          <w:iCs w:val="false"/>
          <w:sz w:val="22"/>
          <w:szCs w:val="22"/>
        </w:rPr>
        <w:t>) as a function of the 10m wind speed category (in m.s</w:t>
      </w:r>
      <w:r>
        <w:rPr>
          <w:rFonts w:ascii="Times New Roman" w:hAnsi="Times New Roman"/>
          <w:i w:val="false"/>
          <w:iCs w:val="false"/>
          <w:sz w:val="22"/>
          <w:szCs w:val="22"/>
          <w:vertAlign w:val="superscript"/>
        </w:rPr>
        <w:t>-1</w:t>
      </w:r>
      <w:r>
        <w:rPr>
          <w:rFonts w:ascii="Times New Roman" w:hAnsi="Times New Roman"/>
          <w:i w:val="false"/>
          <w:iCs w:val="false"/>
          <w:sz w:val="22"/>
          <w:szCs w:val="22"/>
        </w:rPr>
        <w:t>) for PD (blue), CC (red) and COR (green) simulations.</w:t>
      </w:r>
      <w:r>
        <w:br w:type="page"/>
      </w:r>
    </w:p>
    <w:p>
      <w:pPr>
        <w:pStyle w:val="Illustration"/>
        <w:jc w:val="both"/>
        <w:rPr>
          <w:rFonts w:ascii="Times New Roman" w:hAnsi="Times New Roman"/>
          <w:b/>
          <w:b/>
          <w:sz w:val="22"/>
          <w:szCs w:val="22"/>
        </w:rPr>
      </w:pPr>
      <w:r>
        <w:rPr>
          <w:rFonts w:ascii="Times New Roman" w:hAnsi="Times New Roman"/>
          <w:b/>
          <w:sz w:val="22"/>
          <w:szCs w:val="22"/>
        </w:rPr>
      </w:r>
    </w:p>
    <w:p>
      <w:pPr>
        <w:pStyle w:val="Illustration"/>
        <w:jc w:val="both"/>
        <w:rPr>
          <w:rFonts w:ascii="Times New Roman" w:hAnsi="Times New Roman"/>
        </w:rPr>
      </w:pPr>
      <w:r>
        <w:rPr>
          <w:rFonts w:ascii="Times New Roman" w:hAnsi="Times New Roman"/>
        </w:rPr>
        <w:drawing>
          <wp:anchor behindDoc="0" distT="0" distB="0" distL="0" distR="0" simplePos="0" locked="0" layoutInCell="1" allowOverlap="1" relativeHeight="9">
            <wp:simplePos x="0" y="0"/>
            <wp:positionH relativeFrom="column">
              <wp:align>center</wp:align>
            </wp:positionH>
            <wp:positionV relativeFrom="paragraph">
              <wp:posOffset>635</wp:posOffset>
            </wp:positionV>
            <wp:extent cx="5486400" cy="3804920"/>
            <wp:effectExtent l="0" t="0" r="0" b="0"/>
            <wp:wrapSquare wrapText="largest"/>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5"/>
                    <a:srcRect l="0" t="14954" r="0" b="14954"/>
                    <a:stretch>
                      <a:fillRect/>
                    </a:stretch>
                  </pic:blipFill>
                  <pic:spPr bwMode="auto">
                    <a:xfrm>
                      <a:off x="0" y="0"/>
                      <a:ext cx="5486400" cy="3804920"/>
                    </a:xfrm>
                    <a:prstGeom prst="rect">
                      <a:avLst/>
                    </a:prstGeom>
                  </pic:spPr>
                </pic:pic>
              </a:graphicData>
            </a:graphic>
          </wp:anchor>
        </w:drawing>
      </w:r>
    </w:p>
    <w:p>
      <w:pPr>
        <w:pStyle w:val="Illustration"/>
        <w:jc w:val="both"/>
        <w:rPr>
          <w:rFonts w:ascii="Times New Roman" w:hAnsi="Times New Roman"/>
          <w:i w:val="false"/>
          <w:i w:val="false"/>
          <w:iCs w:val="false"/>
        </w:rPr>
      </w:pPr>
      <w:r>
        <w:rPr>
          <w:rFonts w:ascii="Times New Roman" w:hAnsi="Times New Roman"/>
          <w:b/>
          <w:bCs/>
          <w:i w:val="false"/>
          <w:iCs w:val="false"/>
        </w:rPr>
        <w:t xml:space="preserve">Figure S4. </w:t>
      </w:r>
      <w:r>
        <w:rPr>
          <w:rFonts w:ascii="Times New Roman" w:hAnsi="Times New Roman"/>
          <w:i w:val="false"/>
          <w:iCs w:val="false"/>
        </w:rPr>
        <w:t>Top: Probability Density Function of TC genesis (shading) and occurrence (contour lines) for a) observations (IBTrACS), and (b) PD</w:t>
      </w:r>
      <w:r>
        <w:rPr>
          <w:rFonts w:ascii="Times New Roman" w:hAnsi="Times New Roman"/>
          <w:i w:val="false"/>
          <w:iCs w:val="false"/>
          <w:vertAlign w:val="subscript"/>
        </w:rPr>
        <w:t xml:space="preserve">BMJ </w:t>
      </w:r>
      <w:r>
        <w:rPr>
          <w:rFonts w:ascii="Times New Roman" w:hAnsi="Times New Roman"/>
          <w:i w:val="false"/>
          <w:iCs w:val="false"/>
        </w:rPr>
        <w:t>simulation. The annual mean TC genesis and occurrence are annotated in the corresponding panel. Bottom: (c) Annual mean frequency of TC occurrence (in TC.days .year</w:t>
      </w:r>
      <w:r>
        <w:rPr>
          <w:rFonts w:ascii="Times New Roman" w:hAnsi="Times New Roman"/>
          <w:i w:val="false"/>
          <w:iCs w:val="false"/>
          <w:vertAlign w:val="superscript"/>
        </w:rPr>
        <w:t>-1</w:t>
      </w:r>
      <w:r>
        <w:rPr>
          <w:rFonts w:ascii="Times New Roman" w:hAnsi="Times New Roman"/>
          <w:i w:val="false"/>
          <w:iCs w:val="false"/>
        </w:rPr>
        <w:t>) as a function of the maximum 10-m wind speed  (in m.s</w:t>
      </w:r>
      <w:r>
        <w:rPr>
          <w:rFonts w:ascii="Times New Roman" w:hAnsi="Times New Roman"/>
          <w:i w:val="false"/>
          <w:iCs w:val="false"/>
          <w:vertAlign w:val="superscript"/>
        </w:rPr>
        <w:t>-1</w:t>
      </w:r>
      <w:r>
        <w:rPr>
          <w:rFonts w:ascii="Times New Roman" w:hAnsi="Times New Roman"/>
          <w:i w:val="false"/>
          <w:iCs w:val="false"/>
        </w:rPr>
        <w:t>) and (d) the seasonal cycle of monthly TC genesis number (in TC.year</w:t>
      </w:r>
      <w:r>
        <w:rPr>
          <w:rFonts w:ascii="Times New Roman" w:hAnsi="Times New Roman"/>
          <w:i w:val="false"/>
          <w:iCs w:val="false"/>
          <w:vertAlign w:val="superscript"/>
        </w:rPr>
        <w:t>-1</w:t>
      </w:r>
      <w:r>
        <w:rPr>
          <w:rFonts w:ascii="Times New Roman" w:hAnsi="Times New Roman"/>
          <w:i w:val="false"/>
          <w:iCs w:val="false"/>
        </w:rPr>
        <w:t>) for observations (gold) and PD</w:t>
      </w:r>
      <w:r>
        <w:rPr>
          <w:rFonts w:ascii="Times New Roman" w:hAnsi="Times New Roman"/>
          <w:i w:val="false"/>
          <w:iCs w:val="false"/>
          <w:vertAlign w:val="subscript"/>
        </w:rPr>
        <w:t>BMJ</w:t>
      </w:r>
      <w:r>
        <w:rPr>
          <w:rFonts w:ascii="Times New Roman" w:hAnsi="Times New Roman"/>
          <w:i w:val="false"/>
          <w:iCs w:val="false"/>
        </w:rPr>
        <w:t xml:space="preserve"> (blue) simulation.</w:t>
      </w:r>
    </w:p>
    <w:p>
      <w:pPr>
        <w:pStyle w:val="Illustration"/>
        <w:jc w:val="both"/>
        <w:rPr>
          <w:rFonts w:ascii="Times New Roman" w:hAnsi="Times New Roman"/>
        </w:rPr>
      </w:pPr>
      <w:r>
        <w:rPr>
          <w:rFonts w:ascii="Times New Roman" w:hAnsi="Times New Roman"/>
        </w:rPr>
      </w:r>
    </w:p>
    <w:p>
      <w:pPr>
        <w:pStyle w:val="Illustration"/>
        <w:jc w:val="both"/>
        <w:rPr>
          <w:rFonts w:ascii="Times New Roman" w:hAnsi="Times New Roman"/>
        </w:rPr>
      </w:pPr>
      <w:r>
        <w:rPr>
          <w:rFonts w:ascii="Times New Roman" w:hAnsi="Times New Roman"/>
        </w:rPr>
      </w:r>
    </w:p>
    <w:p>
      <w:pPr>
        <w:pStyle w:val="Illustration"/>
        <w:jc w:val="both"/>
        <w:rPr>
          <w:rFonts w:ascii="Times New Roman" w:hAnsi="Times New Roman"/>
        </w:rPr>
      </w:pPr>
      <w:r>
        <w:rPr>
          <w:rFonts w:ascii="Times New Roman" w:hAnsi="Times New Roman"/>
        </w:rPr>
      </w:r>
    </w:p>
    <w:p>
      <w:pPr>
        <w:pStyle w:val="Illustration"/>
        <w:jc w:val="both"/>
        <w:rPr>
          <w:rFonts w:ascii="Times New Roman" w:hAnsi="Times New Roman"/>
        </w:rPr>
      </w:pPr>
      <w:r>
        <w:rPr>
          <w:rFonts w:ascii="Times New Roman" w:hAnsi="Times New Roman"/>
        </w:rPr>
      </w:r>
    </w:p>
    <w:p>
      <w:pPr>
        <w:pStyle w:val="Illustration"/>
        <w:jc w:val="both"/>
        <w:rPr>
          <w:rFonts w:ascii="Times New Roman" w:hAnsi="Times New Roman"/>
        </w:rPr>
      </w:pPr>
      <w:r>
        <w:rPr>
          <w:rFonts w:ascii="Times New Roman" w:hAnsi="Times New Roman"/>
        </w:rPr>
      </w:r>
      <w:r>
        <w:br w:type="page"/>
      </w:r>
    </w:p>
    <w:p>
      <w:pPr>
        <w:pStyle w:val="Illustration"/>
        <w:jc w:val="both"/>
        <w:rPr>
          <w:rFonts w:ascii="Times New Roman" w:hAnsi="Times New Roman"/>
        </w:rPr>
      </w:pPr>
      <w:r>
        <w:rPr>
          <w:rFonts w:ascii="Times New Roman" w:hAnsi="Times New Roman"/>
        </w:rPr>
        <w:drawing>
          <wp:anchor behindDoc="0" distT="0" distB="0" distL="0" distR="0" simplePos="0" locked="0" layoutInCell="1" allowOverlap="1" relativeHeight="10">
            <wp:simplePos x="0" y="0"/>
            <wp:positionH relativeFrom="column">
              <wp:align>center</wp:align>
            </wp:positionH>
            <wp:positionV relativeFrom="paragraph">
              <wp:posOffset>635</wp:posOffset>
            </wp:positionV>
            <wp:extent cx="5486400" cy="5486400"/>
            <wp:effectExtent l="0" t="0" r="0" b="0"/>
            <wp:wrapSquare wrapText="largest"/>
            <wp:docPr id="5"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descr=""/>
                    <pic:cNvPicPr>
                      <a:picLocks noChangeAspect="1" noChangeArrowheads="1"/>
                    </pic:cNvPicPr>
                  </pic:nvPicPr>
                  <pic:blipFill>
                    <a:blip r:embed="rId6"/>
                    <a:stretch>
                      <a:fillRect/>
                    </a:stretch>
                  </pic:blipFill>
                  <pic:spPr bwMode="auto">
                    <a:xfrm>
                      <a:off x="0" y="0"/>
                      <a:ext cx="5486400" cy="5486400"/>
                    </a:xfrm>
                    <a:prstGeom prst="rect">
                      <a:avLst/>
                    </a:prstGeom>
                  </pic:spPr>
                </pic:pic>
              </a:graphicData>
            </a:graphic>
          </wp:anchor>
        </w:drawing>
      </w:r>
    </w:p>
    <w:p>
      <w:pPr>
        <w:pStyle w:val="Illustration"/>
        <w:jc w:val="both"/>
        <w:rPr>
          <w:rFonts w:ascii="Times New Roman" w:hAnsi="Times New Roman"/>
          <w:i w:val="false"/>
          <w:i w:val="false"/>
          <w:iCs w:val="false"/>
        </w:rPr>
      </w:pPr>
      <w:r>
        <w:rPr>
          <w:rFonts w:ascii="Times New Roman" w:hAnsi="Times New Roman"/>
          <w:b/>
          <w:bCs/>
          <w:i w:val="false"/>
          <w:iCs w:val="false"/>
        </w:rPr>
        <w:t>Figure S5.</w:t>
      </w:r>
      <w:r>
        <w:rPr>
          <w:rFonts w:ascii="Times New Roman" w:hAnsi="Times New Roman"/>
          <w:b/>
          <w:i w:val="false"/>
          <w:iCs w:val="false"/>
        </w:rPr>
        <w:t xml:space="preserve"> </w:t>
      </w:r>
      <w:r>
        <w:rPr>
          <w:rFonts w:ascii="Times New Roman" w:hAnsi="Times New Roman"/>
          <w:i w:val="false"/>
          <w:iCs w:val="false"/>
        </w:rPr>
        <w:t>Top: DJF climatology (shading, in °C) of (a) ΔSST</w:t>
      </w:r>
      <w:r>
        <w:rPr>
          <w:rFonts w:ascii="Times New Roman" w:hAnsi="Times New Roman"/>
          <w:i w:val="false"/>
          <w:iCs w:val="false"/>
          <w:vertAlign w:val="subscript"/>
        </w:rPr>
        <w:t>CMIP</w:t>
      </w:r>
      <w:r>
        <w:rPr>
          <w:rFonts w:ascii="Times New Roman" w:hAnsi="Times New Roman"/>
          <w:i w:val="false"/>
          <w:iCs w:val="false"/>
        </w:rPr>
        <w:t xml:space="preserve"> and (b) ΔSST</w:t>
      </w:r>
      <w:r>
        <w:rPr>
          <w:rFonts w:ascii="Times New Roman" w:hAnsi="Times New Roman"/>
          <w:i w:val="false"/>
          <w:iCs w:val="false"/>
          <w:vertAlign w:val="subscript"/>
        </w:rPr>
        <w:t>COR</w:t>
      </w:r>
      <w:r>
        <w:rPr>
          <w:rFonts w:ascii="Times New Roman" w:hAnsi="Times New Roman"/>
          <w:i w:val="false"/>
          <w:iCs w:val="false"/>
        </w:rPr>
        <w:t>. The contours represent the precipitation changes (in mm.d</w:t>
      </w:r>
      <w:r>
        <w:rPr>
          <w:rFonts w:ascii="Times New Roman" w:hAnsi="Times New Roman"/>
          <w:i w:val="false"/>
          <w:iCs w:val="false"/>
          <w:vertAlign w:val="superscript"/>
        </w:rPr>
        <w:t>-1</w:t>
      </w:r>
      <w:r>
        <w:rPr>
          <w:rFonts w:ascii="Times New Roman" w:hAnsi="Times New Roman"/>
          <w:i w:val="false"/>
          <w:iCs w:val="false"/>
        </w:rPr>
        <w:t>) between (a) CC</w:t>
      </w:r>
      <w:r>
        <w:rPr>
          <w:rFonts w:ascii="Times New Roman" w:hAnsi="Times New Roman"/>
          <w:i w:val="false"/>
          <w:iCs w:val="false"/>
          <w:vertAlign w:val="subscript"/>
        </w:rPr>
        <w:t>BMJ</w:t>
      </w:r>
      <w:r>
        <w:rPr>
          <w:rFonts w:ascii="Times New Roman" w:hAnsi="Times New Roman"/>
          <w:i w:val="false"/>
          <w:iCs w:val="false"/>
        </w:rPr>
        <w:t xml:space="preserve">  and PD</w:t>
      </w:r>
      <w:r>
        <w:rPr>
          <w:rFonts w:ascii="Times New Roman" w:hAnsi="Times New Roman"/>
          <w:i w:val="false"/>
          <w:iCs w:val="false"/>
          <w:vertAlign w:val="subscript"/>
        </w:rPr>
        <w:t>BMJ</w:t>
      </w:r>
      <w:r>
        <w:rPr>
          <w:rFonts w:ascii="Times New Roman" w:hAnsi="Times New Roman"/>
          <w:i w:val="false"/>
          <w:iCs w:val="false"/>
        </w:rPr>
        <w:t>, (b) COR</w:t>
      </w:r>
      <w:r>
        <w:rPr>
          <w:rFonts w:ascii="Times New Roman" w:hAnsi="Times New Roman"/>
          <w:i w:val="false"/>
          <w:iCs w:val="false"/>
          <w:vertAlign w:val="subscript"/>
        </w:rPr>
        <w:t>BMJ</w:t>
      </w:r>
      <w:r>
        <w:rPr>
          <w:rFonts w:ascii="Times New Roman" w:hAnsi="Times New Roman"/>
          <w:i w:val="false"/>
          <w:iCs w:val="false"/>
        </w:rPr>
        <w:t xml:space="preserve"> and PD</w:t>
      </w:r>
      <w:r>
        <w:rPr>
          <w:rFonts w:ascii="Times New Roman" w:hAnsi="Times New Roman"/>
          <w:i w:val="false"/>
          <w:iCs w:val="false"/>
          <w:vertAlign w:val="subscript"/>
        </w:rPr>
        <w:t>BMJ</w:t>
      </w:r>
      <w:r>
        <w:rPr>
          <w:rFonts w:ascii="Times New Roman" w:hAnsi="Times New Roman"/>
          <w:i w:val="false"/>
          <w:iCs w:val="false"/>
        </w:rPr>
        <w:t xml:space="preserve"> simulations. The dashed lines indicate negative values, and the thick lines indicate positive values. Middle: Probability density functions of TC genesis (shading) and occurrence (contour lines) between  (c) CC</w:t>
      </w:r>
      <w:bookmarkStart w:id="0" w:name="__DdeLink__1890_371221798"/>
      <w:r>
        <w:rPr>
          <w:rFonts w:ascii="Times New Roman" w:hAnsi="Times New Roman"/>
          <w:i w:val="false"/>
          <w:iCs w:val="false"/>
          <w:vertAlign w:val="subscript"/>
        </w:rPr>
        <w:t>BMJ</w:t>
      </w:r>
      <w:bookmarkEnd w:id="0"/>
      <w:r>
        <w:rPr>
          <w:rFonts w:ascii="Times New Roman" w:hAnsi="Times New Roman"/>
          <w:i w:val="false"/>
          <w:iCs w:val="false"/>
        </w:rPr>
        <w:t xml:space="preserve"> and PD</w:t>
      </w:r>
      <w:r>
        <w:rPr>
          <w:rFonts w:ascii="Times New Roman" w:hAnsi="Times New Roman"/>
          <w:i w:val="false"/>
          <w:iCs w:val="false"/>
          <w:vertAlign w:val="subscript"/>
        </w:rPr>
        <w:t>BMJ</w:t>
      </w:r>
      <w:r>
        <w:rPr>
          <w:rFonts w:ascii="Times New Roman" w:hAnsi="Times New Roman"/>
          <w:i w:val="false"/>
          <w:iCs w:val="false"/>
        </w:rPr>
        <w:t xml:space="preserve"> and (d) COR</w:t>
      </w:r>
      <w:r>
        <w:rPr>
          <w:rFonts w:ascii="Times New Roman" w:hAnsi="Times New Roman"/>
          <w:i w:val="false"/>
          <w:iCs w:val="false"/>
          <w:vertAlign w:val="subscript"/>
        </w:rPr>
        <w:t>BMJ</w:t>
      </w:r>
      <w:r>
        <w:rPr>
          <w:rFonts w:ascii="Times New Roman" w:hAnsi="Times New Roman"/>
          <w:i w:val="false"/>
          <w:iCs w:val="false"/>
        </w:rPr>
        <w:t xml:space="preserve"> and PD</w:t>
      </w:r>
      <w:r>
        <w:rPr>
          <w:rFonts w:ascii="Times New Roman" w:hAnsi="Times New Roman"/>
          <w:i w:val="false"/>
          <w:iCs w:val="false"/>
          <w:vertAlign w:val="subscript"/>
        </w:rPr>
        <w:t xml:space="preserve">BMJ </w:t>
      </w:r>
      <w:r>
        <w:rPr>
          <w:rFonts w:ascii="Times New Roman" w:hAnsi="Times New Roman"/>
          <w:i w:val="false"/>
          <w:iCs w:val="false"/>
        </w:rPr>
        <w:t>simulations. The values of annual mean TC genesis and occurrence are annotated in the corresponding panel. Bottom: (e) Annual mean frequency of TC occurrence (in TC.days .year</w:t>
      </w:r>
      <w:r>
        <w:rPr>
          <w:rFonts w:ascii="Times New Roman" w:hAnsi="Times New Roman"/>
          <w:i w:val="false"/>
          <w:iCs w:val="false"/>
          <w:vertAlign w:val="superscript"/>
        </w:rPr>
        <w:t>-1</w:t>
      </w:r>
      <w:r>
        <w:rPr>
          <w:rFonts w:ascii="Times New Roman" w:hAnsi="Times New Roman"/>
          <w:i w:val="false"/>
          <w:iCs w:val="false"/>
        </w:rPr>
        <w:t>) as a function of the maximum 10-m wind speed (in m.s</w:t>
      </w:r>
      <w:r>
        <w:rPr>
          <w:rFonts w:ascii="Times New Roman" w:hAnsi="Times New Roman"/>
          <w:i w:val="false"/>
          <w:iCs w:val="false"/>
          <w:vertAlign w:val="superscript"/>
        </w:rPr>
        <w:t>-1</w:t>
      </w:r>
      <w:r>
        <w:rPr>
          <w:rFonts w:ascii="Times New Roman" w:hAnsi="Times New Roman"/>
          <w:i w:val="false"/>
          <w:iCs w:val="false"/>
        </w:rPr>
        <w:t>) and (f) the seasonal cycle of monthly TC genesis number (in number of TC.year</w:t>
      </w:r>
      <w:r>
        <w:rPr>
          <w:rFonts w:ascii="Times New Roman" w:hAnsi="Times New Roman"/>
          <w:i w:val="false"/>
          <w:iCs w:val="false"/>
          <w:vertAlign w:val="superscript"/>
        </w:rPr>
        <w:t>-1</w:t>
      </w:r>
      <w:r>
        <w:rPr>
          <w:rFonts w:ascii="Times New Roman" w:hAnsi="Times New Roman"/>
          <w:i w:val="false"/>
          <w:iCs w:val="false"/>
        </w:rPr>
        <w:t>) for PD</w:t>
      </w:r>
      <w:r>
        <w:rPr>
          <w:rFonts w:ascii="Times New Roman" w:hAnsi="Times New Roman"/>
          <w:i w:val="false"/>
          <w:iCs w:val="false"/>
          <w:vertAlign w:val="subscript"/>
        </w:rPr>
        <w:t>BMJ</w:t>
      </w:r>
      <w:r>
        <w:rPr>
          <w:rFonts w:ascii="Times New Roman" w:hAnsi="Times New Roman"/>
          <w:i w:val="false"/>
          <w:iCs w:val="false"/>
        </w:rPr>
        <w:t xml:space="preserve"> (blue),  CC</w:t>
      </w:r>
      <w:r>
        <w:rPr>
          <w:rFonts w:ascii="Times New Roman" w:hAnsi="Times New Roman"/>
          <w:i w:val="false"/>
          <w:iCs w:val="false"/>
          <w:vertAlign w:val="subscript"/>
        </w:rPr>
        <w:t>BMJ</w:t>
      </w:r>
      <w:r>
        <w:rPr>
          <w:rFonts w:ascii="Times New Roman" w:hAnsi="Times New Roman"/>
          <w:i w:val="false"/>
          <w:iCs w:val="false"/>
        </w:rPr>
        <w:t xml:space="preserve"> (red) and COR</w:t>
      </w:r>
      <w:r>
        <w:rPr>
          <w:rFonts w:ascii="Times New Roman" w:hAnsi="Times New Roman"/>
          <w:i w:val="false"/>
          <w:iCs w:val="false"/>
          <w:vertAlign w:val="subscript"/>
        </w:rPr>
        <w:t xml:space="preserve">BMJ </w:t>
      </w:r>
      <w:r>
        <w:rPr>
          <w:rFonts w:ascii="Times New Roman" w:hAnsi="Times New Roman"/>
          <w:i w:val="false"/>
          <w:iCs w:val="false"/>
        </w:rPr>
        <w:t>simulations.</w:t>
      </w:r>
    </w:p>
    <w:p>
      <w:pPr>
        <w:pStyle w:val="Illustration"/>
        <w:jc w:val="both"/>
        <w:rPr>
          <w:rFonts w:ascii="Times New Roman" w:hAnsi="Times New Roman"/>
        </w:rPr>
      </w:pPr>
      <w:r>
        <w:rPr>
          <w:rFonts w:ascii="Times New Roman" w:hAnsi="Times New Roman"/>
        </w:rPr>
      </w:r>
    </w:p>
    <w:p>
      <w:pPr>
        <w:pStyle w:val="Illustration"/>
        <w:jc w:val="both"/>
        <w:rPr>
          <w:rFonts w:ascii="Times New Roman" w:hAnsi="Times New Roman"/>
        </w:rPr>
      </w:pPr>
      <w:r>
        <w:rPr>
          <w:rFonts w:ascii="Times New Roman" w:hAnsi="Times New Roman"/>
        </w:rPr>
      </w:r>
    </w:p>
    <w:p>
      <w:pPr>
        <w:pStyle w:val="Illustration"/>
        <w:jc w:val="both"/>
        <w:rPr>
          <w:rFonts w:ascii="Times New Roman" w:hAnsi="Times New Roman"/>
        </w:rPr>
      </w:pPr>
      <w:r>
        <w:rPr>
          <w:rFonts w:ascii="Times New Roman" w:hAnsi="Times New Roman"/>
        </w:rPr>
        <w:drawing>
          <wp:anchor behindDoc="0" distT="0" distB="0" distL="0" distR="0" simplePos="0" locked="0" layoutInCell="1" allowOverlap="1" relativeHeight="5">
            <wp:simplePos x="0" y="0"/>
            <wp:positionH relativeFrom="column">
              <wp:align>center</wp:align>
            </wp:positionH>
            <wp:positionV relativeFrom="paragraph">
              <wp:posOffset>635</wp:posOffset>
            </wp:positionV>
            <wp:extent cx="6120130" cy="5299075"/>
            <wp:effectExtent l="0" t="0" r="0" b="0"/>
            <wp:wrapSquare wrapText="largest"/>
            <wp:docPr id="6"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descr=""/>
                    <pic:cNvPicPr>
                      <a:picLocks noChangeAspect="1" noChangeArrowheads="1"/>
                    </pic:cNvPicPr>
                  </pic:nvPicPr>
                  <pic:blipFill>
                    <a:blip r:embed="rId7"/>
                    <a:srcRect l="0" t="3759" r="0" b="8062"/>
                    <a:stretch>
                      <a:fillRect/>
                    </a:stretch>
                  </pic:blipFill>
                  <pic:spPr bwMode="auto">
                    <a:xfrm>
                      <a:off x="0" y="0"/>
                      <a:ext cx="6120130" cy="5299075"/>
                    </a:xfrm>
                    <a:prstGeom prst="rect">
                      <a:avLst/>
                    </a:prstGeom>
                  </pic:spPr>
                </pic:pic>
              </a:graphicData>
            </a:graphic>
          </wp:anchor>
        </w:drawing>
      </w:r>
    </w:p>
    <w:p>
      <w:pPr>
        <w:pStyle w:val="Illustration"/>
        <w:jc w:val="both"/>
        <w:rPr>
          <w:rFonts w:ascii="Times New Roman" w:hAnsi="Times New Roman" w:cs="Times New Roman"/>
          <w:b w:val="false"/>
          <w:b w:val="false"/>
          <w:bCs w:val="false"/>
          <w:i w:val="false"/>
          <w:i w:val="false"/>
          <w:iCs w:val="false"/>
          <w:color w:val="000000"/>
          <w:sz w:val="24"/>
          <w:szCs w:val="24"/>
          <w:lang w:val="en-GB"/>
        </w:rPr>
      </w:pPr>
      <w:r>
        <w:rPr>
          <w:rFonts w:ascii="Times New Roman" w:hAnsi="Times New Roman"/>
          <w:b/>
          <w:bCs/>
          <w:i w:val="false"/>
          <w:iCs w:val="false"/>
        </w:rPr>
        <w:t>Figure S6.</w:t>
      </w:r>
      <w:r>
        <w:rPr>
          <w:rFonts w:ascii="Times New Roman" w:hAnsi="Times New Roman"/>
          <w:b/>
          <w:i w:val="false"/>
          <w:iCs w:val="false"/>
        </w:rPr>
        <w:t xml:space="preserve"> </w:t>
      </w:r>
      <w:r>
        <w:rPr>
          <w:rFonts w:cs="Times New Roman" w:ascii="Times New Roman" w:hAnsi="Times New Roman"/>
          <w:b w:val="false"/>
          <w:bCs w:val="false"/>
          <w:i w:val="false"/>
          <w:iCs w:val="false"/>
          <w:color w:val="000000"/>
          <w:sz w:val="24"/>
          <w:szCs w:val="24"/>
          <w:lang w:val="en-GB"/>
        </w:rPr>
        <w:t>Barplots of three metrics used to select the model for the lateral boundary condition sensitivity experiment: (a) pattern correlation between ΔSST</w:t>
      </w:r>
      <w:r>
        <w:rPr>
          <w:rFonts w:cs="Times New Roman" w:ascii="Times New Roman" w:hAnsi="Times New Roman"/>
          <w:b w:val="false"/>
          <w:bCs w:val="false"/>
          <w:i w:val="false"/>
          <w:iCs w:val="false"/>
          <w:color w:val="000000"/>
          <w:sz w:val="24"/>
          <w:szCs w:val="24"/>
          <w:vertAlign w:val="subscript"/>
          <w:lang w:val="en-GB"/>
        </w:rPr>
        <w:t>COR</w:t>
      </w:r>
      <w:r>
        <w:rPr>
          <w:rFonts w:cs="Times New Roman" w:ascii="Times New Roman" w:hAnsi="Times New Roman"/>
          <w:b w:val="false"/>
          <w:bCs w:val="false"/>
          <w:i w:val="false"/>
          <w:iCs w:val="false"/>
          <w:color w:val="000000"/>
          <w:sz w:val="24"/>
          <w:szCs w:val="24"/>
          <w:lang w:val="en-GB"/>
        </w:rPr>
        <w:t xml:space="preserve"> and ΔSST of each CMIP5 model over the entire domain; (b) difference between the area-average of ΔSST</w:t>
      </w:r>
      <w:r>
        <w:rPr>
          <w:rFonts w:cs="Times New Roman" w:ascii="Times New Roman" w:hAnsi="Times New Roman"/>
          <w:b w:val="false"/>
          <w:bCs w:val="false"/>
          <w:i w:val="false"/>
          <w:iCs w:val="false"/>
          <w:color w:val="000000"/>
          <w:sz w:val="24"/>
          <w:szCs w:val="24"/>
          <w:vertAlign w:val="subscript"/>
          <w:lang w:val="en-GB"/>
        </w:rPr>
        <w:t>COR</w:t>
      </w:r>
      <w:r>
        <w:rPr>
          <w:rFonts w:cs="Times New Roman" w:ascii="Times New Roman" w:hAnsi="Times New Roman"/>
          <w:b w:val="false"/>
          <w:bCs w:val="false"/>
          <w:i w:val="false"/>
          <w:iCs w:val="false"/>
          <w:color w:val="000000"/>
          <w:sz w:val="24"/>
          <w:szCs w:val="24"/>
          <w:lang w:val="en-GB"/>
        </w:rPr>
        <w:t xml:space="preserve"> and ΔSST of each CMIP5 model (in °C); (c) precipitation difference (in mm.day</w:t>
      </w:r>
      <w:r>
        <w:rPr>
          <w:rFonts w:cs="Times New Roman" w:ascii="Times New Roman" w:hAnsi="Times New Roman"/>
          <w:b w:val="false"/>
          <w:bCs w:val="false"/>
          <w:i w:val="false"/>
          <w:iCs w:val="false"/>
          <w:color w:val="000000"/>
          <w:sz w:val="24"/>
          <w:szCs w:val="24"/>
          <w:vertAlign w:val="superscript"/>
          <w:lang w:val="en-GB"/>
        </w:rPr>
        <w:t>-1</w:t>
      </w:r>
      <w:r>
        <w:rPr>
          <w:rFonts w:cs="Times New Roman" w:ascii="Times New Roman" w:hAnsi="Times New Roman"/>
          <w:b w:val="false"/>
          <w:bCs w:val="false"/>
          <w:i w:val="false"/>
          <w:iCs w:val="false"/>
          <w:color w:val="000000"/>
          <w:sz w:val="24"/>
          <w:szCs w:val="24"/>
          <w:lang w:val="en-GB"/>
        </w:rPr>
        <w:t>) between CMAP observations and each CMIP5 model in the Western equatorial Pacific [160°E-170°W;2°S-2°N]. For the SST warming difference and the historical precipitation bias (panels b and c), absolute values are displayed to facilitate comparison. On each panel, the red bar and dashed line shows the value of ACCESS1-0 model, which has been selected for our sensitivity test.</w:t>
      </w:r>
    </w:p>
    <w:p>
      <w:pPr>
        <w:pStyle w:val="Illustration"/>
        <w:jc w:val="both"/>
        <w:rPr>
          <w:rFonts w:ascii="Times New Roman" w:hAnsi="Times New Roman"/>
        </w:rPr>
      </w:pPr>
      <w:r>
        <w:rPr>
          <w:rFonts w:ascii="Times New Roman" w:hAnsi="Times New Roman"/>
        </w:rPr>
      </w:r>
    </w:p>
    <w:p>
      <w:pPr>
        <w:pStyle w:val="Normal"/>
        <w:widowControl/>
        <w:spacing w:lineRule="auto" w:line="360" w:before="120" w:after="120"/>
        <w:jc w:val="both"/>
        <w:rPr/>
      </w:pPr>
      <w:r>
        <w:rPr/>
      </w:r>
      <w:r>
        <w:br w:type="page"/>
      </w:r>
    </w:p>
    <w:p>
      <w:pPr>
        <w:pStyle w:val="Illustration"/>
        <w:widowControl/>
        <w:spacing w:lineRule="auto" w:line="360"/>
        <w:jc w:val="both"/>
        <w:rPr/>
      </w:pPr>
      <w:r>
        <w:rPr/>
        <w:drawing>
          <wp:anchor behindDoc="0" distT="0" distB="0" distL="0" distR="0" simplePos="0" locked="0" layoutInCell="1" allowOverlap="1" relativeHeight="6">
            <wp:simplePos x="0" y="0"/>
            <wp:positionH relativeFrom="column">
              <wp:align>center</wp:align>
            </wp:positionH>
            <wp:positionV relativeFrom="paragraph">
              <wp:posOffset>635</wp:posOffset>
            </wp:positionV>
            <wp:extent cx="6120130" cy="5680710"/>
            <wp:effectExtent l="0" t="0" r="0" b="0"/>
            <wp:wrapSquare wrapText="largest"/>
            <wp:docPr id="7"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 descr=""/>
                    <pic:cNvPicPr>
                      <a:picLocks noChangeAspect="1" noChangeArrowheads="1"/>
                    </pic:cNvPicPr>
                  </pic:nvPicPr>
                  <pic:blipFill>
                    <a:blip r:embed="rId8"/>
                    <a:srcRect l="0" t="3759" r="0" b="3759"/>
                    <a:stretch>
                      <a:fillRect/>
                    </a:stretch>
                  </pic:blipFill>
                  <pic:spPr bwMode="auto">
                    <a:xfrm>
                      <a:off x="0" y="0"/>
                      <a:ext cx="6120130" cy="5680710"/>
                    </a:xfrm>
                    <a:prstGeom prst="rect">
                      <a:avLst/>
                    </a:prstGeom>
                  </pic:spPr>
                </pic:pic>
              </a:graphicData>
            </a:graphic>
          </wp:anchor>
        </w:drawing>
      </w:r>
    </w:p>
    <w:p>
      <w:pPr>
        <w:pStyle w:val="Illustration"/>
        <w:widowControl/>
        <w:spacing w:lineRule="auto" w:line="360"/>
        <w:jc w:val="both"/>
        <w:rPr>
          <w:rStyle w:val="Marquedecommentaire1"/>
          <w:rFonts w:ascii="Times New Roman" w:hAnsi="Times New Roman" w:cs="Mangal;Devanagari Sangam MN"/>
          <w:i w:val="false"/>
          <w:i w:val="false"/>
          <w:iCs w:val="false"/>
          <w:color w:val="000000"/>
          <w:sz w:val="24"/>
          <w:szCs w:val="24"/>
          <w:lang w:val="en-GB"/>
        </w:rPr>
      </w:pPr>
      <w:r>
        <w:rPr>
          <w:rFonts w:ascii="Times New Roman" w:hAnsi="Times New Roman"/>
          <w:b/>
          <w:bCs/>
          <w:i w:val="false"/>
          <w:iCs w:val="false"/>
        </w:rPr>
        <w:t>Figure S7.</w:t>
      </w:r>
      <w:r>
        <w:rPr>
          <w:rFonts w:ascii="Times New Roman" w:hAnsi="Times New Roman"/>
          <w:i w:val="false"/>
          <w:iCs w:val="false"/>
        </w:rPr>
        <w:t xml:space="preserve"> </w:t>
      </w:r>
      <w:r>
        <w:rPr>
          <w:rStyle w:val="Marquedecommentaire1"/>
          <w:rFonts w:cs="Mangal" w:ascii="Times New Roman" w:hAnsi="Times New Roman"/>
          <w:i w:val="false"/>
          <w:iCs w:val="false"/>
          <w:color w:val="000000"/>
          <w:sz w:val="24"/>
          <w:szCs w:val="24"/>
          <w:lang w:val="en-GB"/>
        </w:rPr>
        <w:t>Annua</w:t>
      </w:r>
      <w:r>
        <w:rPr>
          <w:rStyle w:val="Marquedecommentaire1"/>
          <w:rFonts w:cs="Mangal;Devanagari Sangam MN" w:ascii="Times New Roman" w:hAnsi="Times New Roman"/>
          <w:i w:val="false"/>
          <w:iCs w:val="false"/>
          <w:color w:val="000000"/>
          <w:sz w:val="24"/>
          <w:szCs w:val="24"/>
          <w:lang w:val="en-GB"/>
        </w:rPr>
        <w:t xml:space="preserve">l </w:t>
      </w:r>
      <w:r>
        <w:rPr>
          <w:rStyle w:val="Marquedecommentaire1"/>
          <w:rFonts w:cs="Mangal" w:ascii="Times New Roman" w:hAnsi="Times New Roman"/>
          <w:i w:val="false"/>
          <w:iCs w:val="false"/>
          <w:color w:val="000000"/>
          <w:sz w:val="24"/>
          <w:szCs w:val="24"/>
          <w:lang w:val="en-GB"/>
        </w:rPr>
        <w:t>climatology of SST warming pattern (in °C) for (a) ΔSST</w:t>
      </w:r>
      <w:r>
        <w:rPr>
          <w:rStyle w:val="Marquedecommentaire1"/>
          <w:rFonts w:cs="Mangal" w:ascii="Times New Roman" w:hAnsi="Times New Roman"/>
          <w:i w:val="false"/>
          <w:iCs w:val="false"/>
          <w:color w:val="000000"/>
          <w:sz w:val="24"/>
          <w:szCs w:val="24"/>
          <w:vertAlign w:val="subscript"/>
          <w:lang w:val="en-GB"/>
        </w:rPr>
        <w:t>COR</w:t>
      </w:r>
      <w:r>
        <w:rPr>
          <w:rStyle w:val="Marquedecommentaire1"/>
          <w:rFonts w:cs="Mangal" w:ascii="Times New Roman" w:hAnsi="Times New Roman"/>
          <w:i w:val="false"/>
          <w:iCs w:val="false"/>
          <w:color w:val="000000"/>
          <w:sz w:val="24"/>
          <w:szCs w:val="24"/>
          <w:lang w:val="en-GB"/>
        </w:rPr>
        <w:t xml:space="preserve"> and (b) ΔSST</w:t>
      </w:r>
      <w:r>
        <w:rPr>
          <w:rStyle w:val="Marquedecommentaire1"/>
          <w:rFonts w:cs="Mangal" w:ascii="Times New Roman" w:hAnsi="Times New Roman"/>
          <w:i w:val="false"/>
          <w:iCs w:val="false"/>
          <w:color w:val="000000"/>
          <w:sz w:val="24"/>
          <w:szCs w:val="24"/>
          <w:vertAlign w:val="subscript"/>
          <w:lang w:val="en-GB"/>
        </w:rPr>
        <w:t>ACCESS1-0</w:t>
      </w:r>
      <w:r>
        <w:rPr>
          <w:rStyle w:val="Marquedecommentaire1"/>
          <w:rFonts w:cs="Mangal" w:ascii="Times New Roman" w:hAnsi="Times New Roman"/>
          <w:i w:val="false"/>
          <w:iCs w:val="false"/>
          <w:color w:val="000000"/>
          <w:sz w:val="24"/>
          <w:szCs w:val="24"/>
          <w:lang w:val="en-GB"/>
        </w:rPr>
        <w:t>.</w:t>
      </w:r>
      <w:r>
        <w:rPr>
          <w:rStyle w:val="Marquedecommentaire1"/>
          <w:rFonts w:cs="Mangal;Devanagari Sangam MN" w:ascii="Times New Roman" w:hAnsi="Times New Roman"/>
          <w:i w:val="false"/>
          <w:iCs w:val="false"/>
          <w:color w:val="000000"/>
          <w:sz w:val="24"/>
          <w:szCs w:val="24"/>
          <w:lang w:val="en-GB"/>
        </w:rPr>
        <w:t xml:space="preserve"> The black box on each panel represents the nested domain [145°E-130°W;32°S-2°S] over which the TCs are simulated.</w:t>
      </w:r>
      <w:r>
        <w:br w:type="page"/>
      </w:r>
    </w:p>
    <w:p>
      <w:pPr>
        <w:pStyle w:val="Illustration"/>
        <w:widowControl/>
        <w:spacing w:lineRule="auto" w:line="360"/>
        <w:jc w:val="both"/>
        <w:rPr>
          <w:rStyle w:val="Marquedecommentaire"/>
          <w:rFonts w:ascii="Times New Roman" w:hAnsi="Times New Roman" w:cs="Times New Roman"/>
          <w:i w:val="false"/>
          <w:i w:val="false"/>
          <w:iCs w:val="false"/>
          <w:color w:val="000000"/>
          <w:sz w:val="24"/>
          <w:szCs w:val="24"/>
          <w:lang w:val="en-GB"/>
        </w:rPr>
      </w:pPr>
      <w:r>
        <w:rPr>
          <w:rFonts w:ascii="Times New Roman" w:hAnsi="Times New Roman"/>
          <w:b/>
          <w:bCs/>
          <w:i w:val="false"/>
          <w:iCs w:val="false"/>
        </w:rPr>
        <w:t>Figure S8.</w:t>
      </w:r>
      <w:r>
        <w:rPr>
          <w:rFonts w:ascii="Times New Roman" w:hAnsi="Times New Roman"/>
          <w:i w:val="false"/>
          <w:iCs w:val="false"/>
        </w:rPr>
        <w:t xml:space="preserve"> </w:t>
      </w:r>
      <w:r>
        <w:rPr>
          <w:rStyle w:val="Marquedecommentaire1"/>
          <w:rFonts w:cs="Times New Roman" w:ascii="Times New Roman" w:hAnsi="Times New Roman"/>
          <w:i w:val="false"/>
          <w:iCs w:val="false"/>
          <w:color w:val="000000"/>
          <w:sz w:val="24"/>
          <w:szCs w:val="24"/>
          <w:lang w:val="en-GB"/>
        </w:rPr>
        <w:t>Annual climatology of the difference between ACCESS1-0 model and the CMIP5 MMM at each lateral boundary (west, east, south and north) for (left) air temperature (in °C) and (right) specific humidity (in kg</w:t>
      </w:r>
      <w:r>
        <w:rPr>
          <w:rStyle w:val="Marquedecommentaire1"/>
          <w:rFonts w:cs="Times New Roman" w:ascii="Times New Roman" w:hAnsi="Times New Roman"/>
          <w:i w:val="false"/>
          <w:iCs w:val="false"/>
          <w:color w:val="000000"/>
          <w:sz w:val="24"/>
          <w:szCs w:val="24"/>
          <w:vertAlign w:val="subscript"/>
          <w:lang w:val="en-GB"/>
        </w:rPr>
        <w:t>water</w:t>
      </w:r>
      <w:r>
        <w:rPr>
          <w:rStyle w:val="Marquedecommentaire1"/>
          <w:rFonts w:cs="Times New Roman" w:ascii="Times New Roman" w:hAnsi="Times New Roman"/>
          <w:i w:val="false"/>
          <w:iCs w:val="false"/>
          <w:color w:val="000000"/>
          <w:sz w:val="24"/>
          <w:szCs w:val="24"/>
          <w:lang w:val="en-GB"/>
        </w:rPr>
        <w:t>/kg</w:t>
      </w:r>
      <w:r>
        <w:rPr>
          <w:rStyle w:val="Marquedecommentaire1"/>
          <w:rFonts w:cs="Times New Roman" w:ascii="Times New Roman" w:hAnsi="Times New Roman"/>
          <w:i w:val="false"/>
          <w:iCs w:val="false"/>
          <w:color w:val="000000"/>
          <w:sz w:val="24"/>
          <w:szCs w:val="24"/>
          <w:vertAlign w:val="subscript"/>
          <w:lang w:val="en-GB"/>
        </w:rPr>
        <w:t>moist air</w:t>
      </w:r>
      <w:r>
        <w:rPr>
          <w:rStyle w:val="Marquedecommentaire1"/>
          <w:rFonts w:cs="Times New Roman" w:ascii="Times New Roman" w:hAnsi="Times New Roman"/>
          <w:i w:val="false"/>
          <w:iCs w:val="false"/>
          <w:color w:val="000000"/>
          <w:sz w:val="24"/>
          <w:szCs w:val="24"/>
          <w:lang w:val="en-GB"/>
        </w:rPr>
        <w:t>). Contours represent the projected changes for the CMIP5 MMM.</w:t>
      </w:r>
      <w:r>
        <w:drawing>
          <wp:anchor behindDoc="0" distT="0" distB="0" distL="0" distR="0" simplePos="0" locked="0" layoutInCell="1" allowOverlap="1" relativeHeight="7">
            <wp:simplePos x="0" y="0"/>
            <wp:positionH relativeFrom="column">
              <wp:align>center</wp:align>
            </wp:positionH>
            <wp:positionV relativeFrom="paragraph">
              <wp:posOffset>635</wp:posOffset>
            </wp:positionV>
            <wp:extent cx="6118225" cy="6118225"/>
            <wp:effectExtent l="0" t="0" r="0" b="0"/>
            <wp:wrapSquare wrapText="largest"/>
            <wp:docPr id="8"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 descr=""/>
                    <pic:cNvPicPr>
                      <a:picLocks noChangeAspect="1" noChangeArrowheads="1"/>
                    </pic:cNvPicPr>
                  </pic:nvPicPr>
                  <pic:blipFill>
                    <a:blip r:embed="rId9"/>
                    <a:stretch>
                      <a:fillRect/>
                    </a:stretch>
                  </pic:blipFill>
                  <pic:spPr bwMode="auto">
                    <a:xfrm>
                      <a:off x="0" y="0"/>
                      <a:ext cx="6118225" cy="6118225"/>
                    </a:xfrm>
                    <a:prstGeom prst="rect">
                      <a:avLst/>
                    </a:prstGeom>
                  </pic:spPr>
                </pic:pic>
              </a:graphicData>
            </a:graphic>
          </wp:anchor>
        </w:drawing>
      </w:r>
      <w:r>
        <w:rPr>
          <w:rStyle w:val="Marquedecommentaire"/>
          <w:rFonts w:cs="Times New Roman" w:ascii="Times New Roman" w:hAnsi="Times New Roman"/>
          <w:i w:val="false"/>
          <w:iCs w:val="false"/>
          <w:color w:val="000000"/>
          <w:sz w:val="24"/>
          <w:szCs w:val="24"/>
          <w:lang w:val="en-GB"/>
        </w:rPr>
        <w:br/>
      </w:r>
      <w:r>
        <w:br w:type="page"/>
      </w:r>
    </w:p>
    <w:p>
      <w:pPr>
        <w:pStyle w:val="Normal"/>
        <w:widowControl/>
        <w:shd w:val="clear" w:fill="FFFFFF"/>
        <w:tabs>
          <w:tab w:val="center" w:pos="4513" w:leader="none"/>
          <w:tab w:val="right" w:pos="9026" w:leader="none"/>
        </w:tabs>
        <w:spacing w:lineRule="auto" w:line="360"/>
        <w:jc w:val="both"/>
        <w:rPr/>
      </w:pPr>
      <w:r>
        <w:rPr>
          <w:rFonts w:eastAsia="Times New Roman" w:cs="Times New Roman"/>
          <w:color w:val="000000"/>
        </w:rPr>
        <w:t>Our TC projections in our bias-corrected simulation may be sensitive to the changes applied to the lateral boundary conditions.</w:t>
      </w:r>
      <w:r>
        <w:rPr>
          <w:color w:val="000000"/>
          <w:lang w:val="en-GB"/>
        </w:rPr>
        <w:t xml:space="preserve"> While we applied a correction to</w:t>
      </w:r>
      <w:r>
        <w:rPr>
          <w:rFonts w:eastAsia="Times New Roman" w:cs="Times New Roman"/>
          <w:color w:val="000000"/>
        </w:rPr>
        <w:t xml:space="preserve"> the projected SST change based on the existing statistical relation with the dry equatorial bias,</w:t>
      </w:r>
      <w:r>
        <w:rPr>
          <w:color w:val="000000"/>
          <w:lang w:val="en-GB"/>
        </w:rPr>
        <w:t xml:space="preserve"> w</w:t>
      </w:r>
      <w:r>
        <w:rPr>
          <w:rFonts w:eastAsia="Times New Roman" w:cs="Times New Roman"/>
          <w:color w:val="000000"/>
          <w:lang w:val="en-GB"/>
        </w:rPr>
        <w:t xml:space="preserve">e indeed could not apply the same type of correction to the atmospheric lateral boundaries because there no </w:t>
      </w:r>
      <w:r>
        <w:rPr>
          <w:rFonts w:eastAsia="Times New Roman" w:cs="Times New Roman"/>
          <w:color w:val="000000"/>
        </w:rPr>
        <w:t>robust statistical relationship between the lateral boundary conditions projected changes and the dry equatorial bias. To test the sensitivity of our results to the lateral boundary conditions applied,</w:t>
      </w:r>
      <w:r>
        <w:rPr>
          <w:rFonts w:cs="Times New Roman" w:ascii="Times New Roman" w:hAnsi="Times New Roman"/>
          <w:color w:val="000000"/>
        </w:rPr>
        <w:t xml:space="preserve"> </w:t>
      </w:r>
      <w:r>
        <w:rPr>
          <w:rFonts w:eastAsia="Times New Roman" w:cs="Times New Roman"/>
          <w:color w:val="000000"/>
        </w:rPr>
        <w:t xml:space="preserve">we did a sensitivity experiment where we applied the lateral boundary conditions from the ACESS1-0 model instead of the CMIP5 MMM in the COR experiment. </w:t>
      </w:r>
      <w:r>
        <w:rPr>
          <w:rFonts w:cs="Times New Roman" w:ascii="Times New Roman" w:hAnsi="Times New Roman"/>
          <w:color w:val="000000"/>
        </w:rPr>
        <w:t xml:space="preserve">We did select this specific CMIP5 model because it has a projected SST change that is closest to the bias-corrected MMM SST projection. To identify that model, we indeed </w:t>
      </w:r>
      <w:bookmarkStart w:id="1" w:name="_GoBack"/>
      <w:bookmarkEnd w:id="1"/>
      <w:r>
        <w:rPr>
          <w:rFonts w:cs="Times New Roman" w:ascii="Times New Roman" w:hAnsi="Times New Roman"/>
          <w:color w:val="000000"/>
        </w:rPr>
        <w:t>calculated three indices evaluating how close the projected SST change is from the MMM corrected SST change (pattern correlation and domain-averaged difference, Figure S6a,b), and how small the present-day precipitation bias is (domain averaged precipitation bias, Figure S6c). ACCESS1-0 has one of the closest projected SST change to that of the “COR” experiment, with a SST pattern correlation of 0.94 (1</w:t>
      </w:r>
      <w:r>
        <w:rPr>
          <w:rFonts w:cs="Times New Roman" w:ascii="Times New Roman" w:hAnsi="Times New Roman"/>
          <w:color w:val="000000"/>
          <w:vertAlign w:val="superscript"/>
        </w:rPr>
        <w:t>st</w:t>
      </w:r>
      <w:r>
        <w:rPr>
          <w:rFonts w:cs="Times New Roman" w:ascii="Times New Roman" w:hAnsi="Times New Roman"/>
          <w:color w:val="000000"/>
        </w:rPr>
        <w:t xml:space="preserve"> rank) and SST difference of 0.23°C (10</w:t>
      </w:r>
      <w:r>
        <w:rPr>
          <w:rFonts w:cs="Times New Roman" w:ascii="Times New Roman" w:hAnsi="Times New Roman"/>
          <w:color w:val="000000"/>
          <w:vertAlign w:val="superscript"/>
        </w:rPr>
        <w:t>th</w:t>
      </w:r>
      <w:r>
        <w:rPr>
          <w:rFonts w:cs="Times New Roman" w:ascii="Times New Roman" w:hAnsi="Times New Roman"/>
          <w:color w:val="000000"/>
        </w:rPr>
        <w:t xml:space="preserve"> rank). It also has one of the smallest present-day precipitation biases (0.53mm.d</w:t>
      </w:r>
      <w:r>
        <w:rPr>
          <w:rFonts w:cs="Times New Roman" w:ascii="Times New Roman" w:hAnsi="Times New Roman"/>
          <w:color w:val="000000"/>
          <w:vertAlign w:val="superscript"/>
        </w:rPr>
        <w:t>-1</w:t>
      </w:r>
      <w:r>
        <w:rPr>
          <w:rFonts w:cs="Times New Roman" w:ascii="Times New Roman" w:hAnsi="Times New Roman"/>
          <w:color w:val="000000"/>
        </w:rPr>
        <w:t>, 2</w:t>
      </w:r>
      <w:r>
        <w:rPr>
          <w:rFonts w:cs="Times New Roman" w:ascii="Times New Roman" w:hAnsi="Times New Roman"/>
          <w:color w:val="000000"/>
          <w:vertAlign w:val="superscript"/>
        </w:rPr>
        <w:t>nd</w:t>
      </w:r>
      <w:r>
        <w:rPr>
          <w:rFonts w:cs="Times New Roman" w:ascii="Times New Roman" w:hAnsi="Times New Roman"/>
          <w:color w:val="000000"/>
        </w:rPr>
        <w:t xml:space="preserve"> rank). The fact that ACCESS1-0 displays a projected SST change (Figure S7b) that is close to the corrected MMM SST change (Figure S7a) ensures that its boundary conditions are more physically consistent with the corrected MMM SST change than those of the CMIP5 MMM. As shown on Figure S8, those lateral boundary conditions deviate from the CMIP5 MMM by up to +/- 1.5°C for temperature and 0.0005 kg</w:t>
      </w:r>
      <w:r>
        <w:rPr>
          <w:rFonts w:cs="Times New Roman" w:ascii="Times New Roman" w:hAnsi="Times New Roman"/>
          <w:color w:val="000000"/>
          <w:vertAlign w:val="subscript"/>
        </w:rPr>
        <w:t>water</w:t>
      </w:r>
      <w:r>
        <w:rPr>
          <w:rFonts w:cs="Times New Roman" w:ascii="Times New Roman" w:hAnsi="Times New Roman"/>
          <w:color w:val="000000"/>
        </w:rPr>
        <w:t>/kg</w:t>
      </w:r>
      <w:r>
        <w:rPr>
          <w:rFonts w:cs="Times New Roman" w:ascii="Times New Roman" w:hAnsi="Times New Roman"/>
          <w:color w:val="000000"/>
          <w:vertAlign w:val="subscript"/>
        </w:rPr>
        <w:t>moist air</w:t>
      </w:r>
      <w:r>
        <w:rPr>
          <w:rFonts w:cs="Times New Roman" w:ascii="Times New Roman" w:hAnsi="Times New Roman"/>
          <w:color w:val="000000"/>
        </w:rPr>
        <w:t xml:space="preserve"> for specific humidity (i.e. +/-30% relative changes for both variables). </w:t>
      </w:r>
    </w:p>
    <w:p>
      <w:pPr>
        <w:pStyle w:val="Normal"/>
        <w:widowControl/>
        <w:shd w:val="clear" w:fill="FFFFFF"/>
        <w:tabs>
          <w:tab w:val="center" w:pos="4513" w:leader="none"/>
          <w:tab w:val="right" w:pos="9026" w:leader="none"/>
        </w:tabs>
        <w:spacing w:lineRule="auto" w:line="360"/>
        <w:jc w:val="both"/>
        <w:rPr>
          <w:rFonts w:ascii="Times New Roman" w:hAnsi="Times New Roman" w:cs="Times New Roman"/>
          <w:color w:val="000000"/>
        </w:rPr>
      </w:pPr>
      <w:r>
        <w:rPr>
          <w:rFonts w:cs="Times New Roman" w:ascii="Times New Roman" w:hAnsi="Times New Roman"/>
          <w:color w:val="000000"/>
        </w:rPr>
      </w:r>
    </w:p>
    <w:p>
      <w:pPr>
        <w:pStyle w:val="Normal"/>
        <w:widowControl/>
        <w:shd w:val="clear" w:fill="FFFFFF"/>
        <w:tabs>
          <w:tab w:val="center" w:pos="4513" w:leader="none"/>
          <w:tab w:val="right" w:pos="9026" w:leader="none"/>
        </w:tabs>
        <w:spacing w:lineRule="auto" w:line="360" w:before="120" w:after="120"/>
        <w:jc w:val="both"/>
        <w:rPr/>
      </w:pPr>
      <w:r>
        <w:rPr>
          <w:rFonts w:cs="Times New Roman" w:ascii="Times New Roman" w:hAnsi="Times New Roman"/>
          <w:color w:val="000000"/>
        </w:rPr>
        <w:t>We thus performed a 10-year climate-change simulation where we applied ΔSST</w:t>
      </w:r>
      <w:r>
        <w:rPr>
          <w:rFonts w:cs="Times New Roman" w:ascii="Times New Roman" w:hAnsi="Times New Roman"/>
          <w:color w:val="000000"/>
          <w:vertAlign w:val="subscript"/>
        </w:rPr>
        <w:t xml:space="preserve">COR </w:t>
      </w:r>
      <w:r>
        <w:rPr>
          <w:rFonts w:cs="Times New Roman" w:ascii="Times New Roman" w:hAnsi="Times New Roman"/>
          <w:color w:val="000000"/>
        </w:rPr>
        <w:t>at the surface and projected lateral boundary changes from ACCESS-1-0 model instead of the CMIP5 MMM, to test the sensitivity to lateral boundary conditions. As illustrated on Figure S10, our results indicate that the projected change in the TCs number is insensitive to the change of lateral boundary conditions (1.8 vs 1.7 TC.year</w:t>
      </w:r>
      <w:r>
        <w:rPr>
          <w:rFonts w:cs="Times New Roman" w:ascii="Times New Roman" w:hAnsi="Times New Roman"/>
          <w:color w:val="000000"/>
          <w:vertAlign w:val="superscript"/>
        </w:rPr>
        <w:t>-1</w:t>
      </w:r>
      <w:r>
        <w:rPr>
          <w:rFonts w:cs="Times New Roman" w:ascii="Times New Roman" w:hAnsi="Times New Roman"/>
          <w:color w:val="000000"/>
        </w:rPr>
        <w:t xml:space="preserve">), the spatial pattern being also very similar between the two experiments. I.e. the projected change in southwest Pacific TCs number is much less sensitive to changes in lateral boundary conditions than to correcting SST using the method of Li et al. (2016). </w:t>
      </w:r>
      <w:r>
        <w:rPr>
          <w:rFonts w:eastAsia="Times New Roman" w:cs="Times New Roman"/>
          <w:color w:val="000000"/>
        </w:rPr>
        <w:t>This weak sensitivity to lateral boundary conditions is likely related to the fact that</w:t>
      </w:r>
      <w:r>
        <w:rPr>
          <w:rFonts w:cs="Times New Roman" w:ascii="Times New Roman" w:hAnsi="Times New Roman"/>
          <w:color w:val="000000"/>
        </w:rPr>
        <w:t xml:space="preserve"> the lateral boundary conditions (at 42°S, 26°N, 101°E and 59°W) in our experimental setup are quite far from the southwest Pacific nested domain over which we examine the TC projections (32°S to 2°S, 145°E to 130°W).</w:t>
      </w:r>
      <w:r>
        <w:br w:type="page"/>
      </w:r>
    </w:p>
    <w:p>
      <w:pPr>
        <w:pStyle w:val="Illustration"/>
        <w:widowControl/>
        <w:spacing w:lineRule="auto" w:line="360"/>
        <w:jc w:val="both"/>
        <w:rPr/>
      </w:pPr>
      <w:r>
        <w:rPr/>
        <w:drawing>
          <wp:anchor behindDoc="0" distT="0" distB="0" distL="0" distR="0" simplePos="0" locked="0" layoutInCell="1" allowOverlap="1" relativeHeight="8">
            <wp:simplePos x="0" y="0"/>
            <wp:positionH relativeFrom="column">
              <wp:posOffset>-316230</wp:posOffset>
            </wp:positionH>
            <wp:positionV relativeFrom="paragraph">
              <wp:posOffset>74930</wp:posOffset>
            </wp:positionV>
            <wp:extent cx="6119495" cy="1696085"/>
            <wp:effectExtent l="0" t="0" r="0" b="0"/>
            <wp:wrapSquare wrapText="largest"/>
            <wp:docPr id="9"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8" descr=""/>
                    <pic:cNvPicPr>
                      <a:picLocks noChangeAspect="1" noChangeArrowheads="1"/>
                    </pic:cNvPicPr>
                  </pic:nvPicPr>
                  <pic:blipFill>
                    <a:blip r:embed="rId10"/>
                    <a:stretch>
                      <a:fillRect/>
                    </a:stretch>
                  </pic:blipFill>
                  <pic:spPr bwMode="auto">
                    <a:xfrm>
                      <a:off x="0" y="0"/>
                      <a:ext cx="6119495" cy="1696085"/>
                    </a:xfrm>
                    <a:prstGeom prst="rect">
                      <a:avLst/>
                    </a:prstGeom>
                  </pic:spPr>
                </pic:pic>
              </a:graphicData>
            </a:graphic>
          </wp:anchor>
        </w:drawing>
      </w:r>
    </w:p>
    <w:p>
      <w:pPr>
        <w:pStyle w:val="Illustration"/>
        <w:widowControl/>
        <w:spacing w:lineRule="auto" w:line="360"/>
        <w:jc w:val="both"/>
        <w:rPr/>
      </w:pPr>
      <w:r>
        <w:rPr>
          <w:rFonts w:ascii="Times New Roman" w:hAnsi="Times New Roman"/>
          <w:b/>
          <w:bCs/>
          <w:i w:val="false"/>
          <w:iCs w:val="false"/>
        </w:rPr>
        <w:t>Figure S9.</w:t>
      </w:r>
      <w:r>
        <w:rPr>
          <w:rFonts w:ascii="Times New Roman" w:hAnsi="Times New Roman"/>
          <w:i w:val="false"/>
          <w:iCs w:val="false"/>
        </w:rPr>
        <w:t xml:space="preserve"> </w:t>
      </w:r>
      <w:r>
        <w:rPr>
          <w:rStyle w:val="Marquedecommentaire1"/>
          <w:rFonts w:cs="Times New Roman" w:ascii="Times New Roman" w:hAnsi="Times New Roman"/>
          <w:i w:val="false"/>
          <w:iCs w:val="false"/>
          <w:color w:val="000000"/>
          <w:sz w:val="24"/>
          <w:szCs w:val="24"/>
          <w:lang w:val="en-GB"/>
        </w:rPr>
        <w:t xml:space="preserve">Probability Distribution Functions (PDFs) of TC genesis (shading) and occurrence (contour lines) computed over the 1980-1990 period between (a) PD and COR and (b) PD and </w:t>
      </w:r>
      <w:r>
        <w:rPr>
          <w:rFonts w:cs="Times New Roman" w:ascii="Times New Roman" w:hAnsi="Times New Roman"/>
          <w:i w:val="false"/>
          <w:iCs w:val="false"/>
          <w:color w:val="000000"/>
          <w:position w:val="0"/>
          <w:sz w:val="24"/>
          <w:sz w:val="24"/>
          <w:szCs w:val="24"/>
          <w:vertAlign w:val="baseline"/>
          <w:lang w:val="en-US"/>
        </w:rPr>
        <w:t>ACCESS1-0</w:t>
      </w:r>
      <w:r>
        <w:rPr>
          <w:rFonts w:cs="Times New Roman" w:ascii="Times New Roman" w:hAnsi="Times New Roman"/>
          <w:i w:val="false"/>
          <w:iCs w:val="false"/>
          <w:color w:val="000000"/>
          <w:sz w:val="24"/>
          <w:szCs w:val="24"/>
          <w:lang w:val="en-US"/>
        </w:rPr>
        <w:t xml:space="preserve"> (which is an </w:t>
      </w:r>
      <w:r>
        <w:rPr>
          <w:rStyle w:val="Marquedecommentaire1"/>
          <w:rFonts w:cs="Times New Roman" w:ascii="Times New Roman" w:hAnsi="Times New Roman"/>
          <w:i w:val="false"/>
          <w:iCs w:val="false"/>
          <w:color w:val="000000"/>
          <w:sz w:val="24"/>
          <w:szCs w:val="24"/>
          <w:lang w:val="en-GB"/>
        </w:rPr>
        <w:t xml:space="preserve">experiment similar to COR except that projected changes in the lateral boundary conditions are those from ACCESS1-0 model instead of CMIP5 MMM). </w:t>
      </w:r>
      <w:r>
        <w:rPr>
          <w:rFonts w:cs="Times New Roman" w:ascii="Times New Roman" w:hAnsi="Times New Roman"/>
          <w:i w:val="false"/>
          <w:iCs w:val="false"/>
          <w:color w:val="000000"/>
          <w:sz w:val="24"/>
          <w:szCs w:val="24"/>
          <w:lang w:val="en-US"/>
        </w:rPr>
        <w:t xml:space="preserve">The values of annual mean TC genesis and occurrence in COR and </w:t>
      </w:r>
      <w:r>
        <w:rPr>
          <w:rFonts w:cs="Times New Roman" w:ascii="Times New Roman" w:hAnsi="Times New Roman"/>
          <w:i w:val="false"/>
          <w:iCs w:val="false"/>
          <w:color w:val="000000"/>
          <w:position w:val="0"/>
          <w:sz w:val="24"/>
          <w:sz w:val="24"/>
          <w:szCs w:val="24"/>
          <w:vertAlign w:val="baseline"/>
          <w:lang w:val="en-US"/>
        </w:rPr>
        <w:t>ACCESS1-0</w:t>
      </w:r>
      <w:r>
        <w:rPr>
          <w:rFonts w:cs="Times New Roman" w:ascii="Times New Roman" w:hAnsi="Times New Roman"/>
          <w:i w:val="false"/>
          <w:iCs w:val="false"/>
          <w:color w:val="000000"/>
          <w:sz w:val="24"/>
          <w:szCs w:val="24"/>
          <w:vertAlign w:val="subscript"/>
          <w:lang w:val="en-US"/>
        </w:rPr>
        <w:t xml:space="preserve"> </w:t>
      </w:r>
      <w:r>
        <w:rPr>
          <w:rFonts w:cs="Times New Roman" w:ascii="Times New Roman" w:hAnsi="Times New Roman"/>
          <w:i w:val="false"/>
          <w:iCs w:val="false"/>
          <w:color w:val="000000"/>
          <w:sz w:val="24"/>
          <w:szCs w:val="24"/>
          <w:lang w:val="en-US"/>
        </w:rPr>
        <w:t>are shown in the corresponding panels.</w:t>
      </w:r>
    </w:p>
    <w:p>
      <w:pPr>
        <w:pStyle w:val="Illustration"/>
        <w:widowControl/>
        <w:spacing w:lineRule="auto" w:line="360"/>
        <w:jc w:val="both"/>
        <w:rPr/>
      </w:pPr>
      <w:r>
        <w:rPr/>
      </w:r>
      <w:r>
        <w:br w:type="page"/>
      </w:r>
    </w:p>
    <w:p>
      <w:pPr>
        <w:pStyle w:val="Illustration"/>
        <w:widowControl/>
        <w:spacing w:lineRule="auto" w:line="360" w:before="120" w:after="120"/>
        <w:jc w:val="both"/>
        <w:rPr/>
      </w:pPr>
      <w:r>
        <w:drawing>
          <wp:anchor behindDoc="0" distT="0" distB="0" distL="0" distR="0" simplePos="0" locked="0" layoutInCell="1" allowOverlap="1" relativeHeight="11">
            <wp:simplePos x="0" y="0"/>
            <wp:positionH relativeFrom="column">
              <wp:align>center</wp:align>
            </wp:positionH>
            <wp:positionV relativeFrom="paragraph">
              <wp:posOffset>635</wp:posOffset>
            </wp:positionV>
            <wp:extent cx="5486400" cy="5960110"/>
            <wp:effectExtent l="0" t="0" r="0" b="0"/>
            <wp:wrapSquare wrapText="largest"/>
            <wp:docPr id="10"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 descr=""/>
                    <pic:cNvPicPr>
                      <a:picLocks noChangeAspect="1" noChangeArrowheads="1"/>
                    </pic:cNvPicPr>
                  </pic:nvPicPr>
                  <pic:blipFill>
                    <a:blip r:embed="rId11"/>
                    <a:stretch>
                      <a:fillRect/>
                    </a:stretch>
                  </pic:blipFill>
                  <pic:spPr bwMode="auto">
                    <a:xfrm>
                      <a:off x="0" y="0"/>
                      <a:ext cx="5486400" cy="5960110"/>
                    </a:xfrm>
                    <a:prstGeom prst="rect">
                      <a:avLst/>
                    </a:prstGeom>
                  </pic:spPr>
                </pic:pic>
              </a:graphicData>
            </a:graphic>
          </wp:anchor>
        </w:drawing>
      </w:r>
      <w:r>
        <w:rPr>
          <w:rFonts w:ascii="Times new Roman" w:hAnsi="Times new Roman"/>
          <w:b/>
          <w:bCs/>
          <w:i w:val="false"/>
          <w:iCs w:val="false"/>
        </w:rPr>
        <w:t>F</w:t>
      </w:r>
      <w:r>
        <w:rPr>
          <w:rFonts w:ascii="Times new Roman" w:hAnsi="Times new Roman"/>
          <w:b/>
          <w:bCs/>
          <w:i w:val="false"/>
          <w:iCs w:val="false"/>
        </w:rPr>
        <w:t xml:space="preserve">igure </w:t>
      </w:r>
      <w:r>
        <w:rPr>
          <w:rFonts w:ascii="Times new Roman" w:hAnsi="Times new Roman"/>
          <w:b/>
          <w:bCs/>
          <w:i w:val="false"/>
          <w:iCs w:val="false"/>
        </w:rPr>
        <w:t>S</w:t>
      </w:r>
      <w:r>
        <w:rPr>
          <w:rFonts w:ascii="Times new Roman" w:hAnsi="Times new Roman"/>
          <w:b/>
          <w:bCs/>
          <w:i w:val="false"/>
          <w:iCs w:val="false"/>
        </w:rPr>
        <w:t xml:space="preserve">10: </w:t>
      </w:r>
      <w:r>
        <w:rPr>
          <w:rFonts w:ascii="Times new Roman" w:hAnsi="Times new Roman"/>
          <w:i w:val="false"/>
          <w:iCs w:val="false"/>
          <w:sz w:val="24"/>
          <w:szCs w:val="24"/>
        </w:rPr>
        <w:t xml:space="preserve">Multi model mean of all terms of the equation 3,  (a) </w:t>
      </w:r>
      <w:r>
        <w:rPr/>
      </w:r>
      <m:oMath xmlns:m="http://schemas.openxmlformats.org/officeDocument/2006/math">
        <m:r>
          <w:rPr>
            <w:rFonts w:ascii="Cambria Math" w:hAnsi="Cambria Math"/>
          </w:rPr>
          <m:t xml:space="preserve">ΔSST</m:t>
        </m:r>
        <m:d>
          <m:dPr>
            <m:begChr m:val="("/>
            <m:endChr m:val=")"/>
          </m:dPr>
          <m:e>
            <m:r>
              <w:rPr>
                <w:rFonts w:ascii="Cambria Math" w:hAnsi="Cambria Math"/>
              </w:rPr>
              <m:t xml:space="preserve">s</m:t>
            </m:r>
          </m:e>
        </m:d>
      </m:oMath>
      <w:r>
        <w:rPr>
          <w:rFonts w:ascii="Times new Roman" w:hAnsi="Times new Roman"/>
          <w:i w:val="false"/>
          <w:iCs w:val="false"/>
          <w:sz w:val="24"/>
          <w:szCs w:val="24"/>
        </w:rPr>
        <w:t>, (b)</w:t>
      </w:r>
      <w:r>
        <w:rPr>
          <w:rFonts w:ascii="Times new Roman" w:hAnsi="Times new Roman"/>
          <w:b w:val="false"/>
          <w:i w:val="false"/>
          <w:iCs w:val="false"/>
          <w:sz w:val="24"/>
          <w:szCs w:val="24"/>
        </w:rPr>
        <w:t xml:space="preserve"> </w:t>
      </w:r>
      <w:r>
        <w:rPr/>
      </w:r>
      <m:oMath xmlns:m="http://schemas.openxmlformats.org/officeDocument/2006/math">
        <m:r>
          <w:rPr>
            <w:rFonts w:ascii="Cambria Math" w:hAnsi="Cambria Math"/>
          </w:rPr>
          <m:t xml:space="preserve">R</m:t>
        </m:r>
        <m:d>
          <m:dPr>
            <m:begChr m:val="("/>
            <m:endChr m:val=")"/>
          </m:dPr>
          <m:e>
            <m:r>
              <w:rPr>
                <w:rFonts w:ascii="Cambria Math" w:hAnsi="Cambria Math"/>
              </w:rPr>
              <m:t xml:space="preserve">s</m:t>
            </m:r>
          </m:e>
        </m:d>
        <m:r>
          <w:rPr>
            <w:rFonts w:ascii="Cambria Math" w:hAnsi="Cambria Math"/>
          </w:rPr>
          <m:t xml:space="preserve">∗</m:t>
        </m:r>
        <m:r>
          <w:rPr>
            <w:rFonts w:ascii="Cambria Math" w:hAnsi="Cambria Math"/>
          </w:rPr>
          <m:t xml:space="preserve">Pr</m:t>
        </m:r>
        <m:sSub>
          <m:e>
            <m:r>
              <w:rPr>
                <w:rFonts w:ascii="Cambria Math" w:hAnsi="Cambria Math"/>
              </w:rPr>
              <m:t xml:space="preserve">'</m:t>
            </m:r>
          </m:e>
          <m:sub>
            <m:r>
              <w:rPr>
                <w:rFonts w:ascii="Cambria Math" w:hAnsi="Cambria Math"/>
              </w:rPr>
              <m:t xml:space="preserve">WEP</m:t>
            </m:r>
          </m:sub>
        </m:sSub>
      </m:oMath>
      <w:r>
        <w:rPr/>
        <w:t xml:space="preserve"> </w:t>
      </w:r>
      <w:r>
        <w:rPr>
          <w:rFonts w:ascii="Times new Roman" w:hAnsi="Times new Roman"/>
          <w:b w:val="false"/>
          <w:i w:val="false"/>
          <w:iCs w:val="false"/>
          <w:sz w:val="24"/>
          <w:szCs w:val="24"/>
        </w:rPr>
        <w:t>and (c)</w:t>
      </w:r>
      <w:r>
        <w:rPr>
          <w:rFonts w:ascii="Times new Roman" w:hAnsi="Times new Roman"/>
          <w:i w:val="false"/>
          <w:iCs w:val="false"/>
          <w:sz w:val="24"/>
          <w:szCs w:val="24"/>
        </w:rPr>
        <w:t xml:space="preserve">  res(s). </w:t>
      </w:r>
      <w:bookmarkStart w:id="2" w:name="__DdeLink__12582_3563946680"/>
      <w:r>
        <w:rPr>
          <w:rFonts w:ascii="Times new Roman" w:hAnsi="Times new Roman"/>
          <w:i w:val="false"/>
          <w:iCs w:val="false"/>
          <w:sz w:val="24"/>
          <w:szCs w:val="24"/>
        </w:rPr>
        <w:t>To highlight the spatial pattern, the tropical Pacific mean warming of SST for each model is removed in a–c.</w:t>
      </w:r>
      <w:bookmarkEnd w:id="2"/>
    </w:p>
    <w:sectPr>
      <w:headerReference w:type="default" r:id="rId12"/>
      <w:footerReference w:type="default" r:id="rId13"/>
      <w:type w:val="nextPage"/>
      <w:pgSz w:w="12240" w:h="15840"/>
      <w:pgMar w:left="1800" w:right="1800" w:header="720" w:top="1440" w:footer="720" w:bottom="1440" w:gutter="0"/>
      <w:lnNumType w:countBy="1" w:restart="continuous" w:distance="283"/>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1"/>
    <w:family w:val="roman"/>
    <w:pitch w:val="variable"/>
  </w:font>
  <w:font w:name="Symbol">
    <w:charset w:val="01"/>
    <w:family w:val="roman"/>
    <w:pitch w:val="variable"/>
  </w:font>
  <w:font w:name="Courier New">
    <w:charset w:val="01"/>
    <w:family w:val="roman"/>
    <w:pitch w:val="variable"/>
  </w:font>
  <w:font w:name="Wingdings">
    <w:charset w:val="01"/>
    <w:family w:val="roman"/>
    <w:pitch w:val="variable"/>
  </w:font>
  <w:font w:name="Times New Roman">
    <w:charset w:val="01"/>
    <w:family w:val="roman"/>
    <w:pitch w:val="variable"/>
  </w:font>
  <w:font w:name="Liberation Sans">
    <w:altName w:val="Arial"/>
    <w:charset w:val="01"/>
    <w:family w:val="roman"/>
    <w:pitch w:val="variable"/>
  </w:font>
  <w:font w:name="Liberation Mono">
    <w:altName w:val="Courier New"/>
    <w:charset w:val="01"/>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pPr>
    <w:r>
      <w:rPr/>
      <w:fldChar w:fldCharType="begin"/>
    </w:r>
    <w:r>
      <w:rPr/>
      <w:instrText> PAGE </w:instrText>
    </w:r>
    <w:r>
      <w:rPr/>
      <w:fldChar w:fldCharType="separate"/>
    </w:r>
    <w:r>
      <w:rPr/>
      <w:t>13</w:t>
    </w:r>
    <w:r>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right"/>
      <w:rPr>
        <w:sz w:val="20"/>
      </w:rPr>
    </w:pPr>
    <w:r>
      <w:rPr>
        <w:sz w:val="20"/>
      </w:rPr>
    </w:r>
  </w:p>
  <w:p>
    <w:pPr>
      <w:pStyle w:val="Normal"/>
      <w:rPr/>
    </w:pPr>
    <w:r>
      <w:rPr/>
    </w:r>
  </w:p>
</w:hdr>
</file>

<file path=word/settings.xml><?xml version="1.0" encoding="utf-8"?>
<w:settings xmlns:w="http://schemas.openxmlformats.org/wordprocessingml/2006/main">
  <w:zoom w:percent="100"/>
  <w:defaultTabStop w:val="709"/>
  <w:autoHyphenation w:val="fals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roid Sans Fallback" w:cs="FreeSans"/>
        <w:sz w:val="20"/>
        <w:szCs w:val="24"/>
        <w:lang w:val="en-US" w:eastAsia="zh-CN" w:bidi="hi-IN"/>
      </w:rPr>
    </w:rPrDefault>
    <w:pPrDefault>
      <w:pPr/>
    </w:pPrDefault>
  </w:docDefaults>
  <w:style w:type="paragraph" w:styleId="Normal">
    <w:name w:val="Normal"/>
    <w:qFormat/>
    <w:pPr>
      <w:widowControl w:val="false"/>
      <w:suppressAutoHyphens w:val="true"/>
      <w:overflowPunct w:val="false"/>
      <w:bidi w:val="0"/>
      <w:jc w:val="left"/>
    </w:pPr>
    <w:rPr>
      <w:rFonts w:ascii="Liberation Serif" w:hAnsi="Liberation Serif" w:eastAsia="Droid Sans Fallback" w:cs="FreeSans"/>
      <w:color w:val="00000A"/>
      <w:kern w:val="0"/>
      <w:sz w:val="24"/>
      <w:szCs w:val="24"/>
      <w:lang w:val="en-US" w:eastAsia="zh-CN" w:bidi="hi-IN"/>
    </w:rPr>
  </w:style>
  <w:style w:type="paragraph" w:styleId="Heading1">
    <w:name w:val="Heading 1"/>
    <w:basedOn w:val="Normal"/>
    <w:next w:val="Normal"/>
    <w:qFormat/>
    <w:pPr>
      <w:keepNext w:val="true"/>
      <w:spacing w:before="240" w:after="60"/>
      <w:outlineLvl w:val="0"/>
    </w:pPr>
    <w:rPr>
      <w:b/>
      <w:bCs/>
    </w:rPr>
  </w:style>
  <w:style w:type="paragraph" w:styleId="Heading2">
    <w:name w:val="Heading 2"/>
    <w:basedOn w:val="Heading"/>
    <w:qFormat/>
    <w:pPr/>
    <w:rPr/>
  </w:style>
  <w:style w:type="paragraph" w:styleId="Heading3">
    <w:name w:val="Heading 3"/>
    <w:basedOn w:val="Heading"/>
    <w:qFormat/>
    <w:pPr/>
    <w:rPr/>
  </w:style>
  <w:style w:type="character" w:styleId="DefaultParagraphFont">
    <w:name w:val="Default Paragraph Font"/>
    <w:qFormat/>
    <w:rPr/>
  </w:style>
  <w:style w:type="character" w:styleId="ListLabel1">
    <w:name w:val="ListLabel 1"/>
    <w:qFormat/>
    <w:rPr>
      <w:sz w:val="20"/>
    </w:rPr>
  </w:style>
  <w:style w:type="character" w:styleId="Bullets">
    <w:name w:val="Bullets"/>
    <w:qFormat/>
    <w:rPr>
      <w:rFonts w:ascii="OpenSymbol" w:hAnsi="OpenSymbol" w:eastAsia="OpenSymbol" w:cs="OpenSymbol"/>
    </w:rPr>
  </w:style>
  <w:style w:type="character" w:styleId="ListLabel2">
    <w:name w:val="ListLabel 2"/>
    <w:qFormat/>
    <w:rPr>
      <w:rFonts w:cs="Symbol"/>
    </w:rPr>
  </w:style>
  <w:style w:type="character" w:styleId="ListLabel3">
    <w:name w:val="ListLabel 3"/>
    <w:qFormat/>
    <w:rPr>
      <w:rFonts w:cs="OpenSymbol"/>
    </w:rPr>
  </w:style>
  <w:style w:type="character" w:styleId="WW8Num1z0">
    <w:name w:val="WW8Num1z0"/>
    <w:qFormat/>
    <w:rPr>
      <w:rFonts w:ascii="Symbol" w:hAnsi="Symbol" w:cs="OpenSymbol;Arial Unicode MS"/>
      <w:color w:val="FF0000"/>
    </w:rPr>
  </w:style>
  <w:style w:type="character" w:styleId="WW8Num1z1">
    <w:name w:val="WW8Num1z1"/>
    <w:qFormat/>
    <w:rPr>
      <w:rFonts w:ascii="OpenSymbol;Arial Unicode MS" w:hAnsi="OpenSymbol;Arial Unicode MS" w:cs="OpenSymbol;Arial Unicode MS"/>
    </w:rPr>
  </w:style>
  <w:style w:type="character" w:styleId="ListLabel4">
    <w:name w:val="ListLabel 4"/>
    <w:qFormat/>
    <w:rPr>
      <w:rFonts w:cs="Symbol"/>
    </w:rPr>
  </w:style>
  <w:style w:type="character" w:styleId="ListLabel5">
    <w:name w:val="ListLabel 5"/>
    <w:qFormat/>
    <w:rPr>
      <w:rFonts w:cs="OpenSymbol"/>
    </w:rPr>
  </w:style>
  <w:style w:type="character" w:styleId="CommentReference">
    <w:name w:val="Comment Reference"/>
    <w:qFormat/>
    <w:rPr>
      <w:sz w:val="16"/>
      <w:szCs w:val="16"/>
    </w:rPr>
  </w:style>
  <w:style w:type="character" w:styleId="ListLabel6">
    <w:name w:val="ListLabel 6"/>
    <w:qFormat/>
    <w:rPr>
      <w:rFonts w:cs="Symbol"/>
    </w:rPr>
  </w:style>
  <w:style w:type="character" w:styleId="ListLabel7">
    <w:name w:val="ListLabel 7"/>
    <w:qFormat/>
    <w:rPr>
      <w:rFonts w:cs="OpenSymbol"/>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FootnoteAnchor">
    <w:name w:val="Footnote Anchor"/>
    <w:rPr>
      <w:vertAlign w:val="superscript"/>
    </w:rPr>
  </w:style>
  <w:style w:type="character" w:styleId="EndnoteAnchor">
    <w:name w:val="Endnote Anchor"/>
    <w:rPr>
      <w:vertAlign w:val="superscript"/>
    </w:rPr>
  </w:style>
  <w:style w:type="character" w:styleId="ListLabel8">
    <w:name w:val="ListLabel 8"/>
    <w:qFormat/>
    <w:rPr>
      <w:rFonts w:cs="Symbol"/>
    </w:rPr>
  </w:style>
  <w:style w:type="character" w:styleId="ListLabel9">
    <w:name w:val="ListLabel 9"/>
    <w:qFormat/>
    <w:rPr>
      <w:rFonts w:cs="Symbol"/>
    </w:rPr>
  </w:style>
  <w:style w:type="character" w:styleId="LineNumbering">
    <w:name w:val="Line Numbering"/>
    <w:rPr/>
  </w:style>
  <w:style w:type="character" w:styleId="Linenumber">
    <w:name w:val="line number"/>
    <w:basedOn w:val="DefaultParagraphFont"/>
    <w:qFormat/>
    <w:rPr/>
  </w:style>
  <w:style w:type="character" w:styleId="TextedebullesCar">
    <w:name w:val="Texte de bulles Car"/>
    <w:basedOn w:val="DefaultParagraphFont"/>
    <w:qFormat/>
    <w:rPr>
      <w:rFonts w:ascii="Times New Roman" w:hAnsi="Times New Roman" w:cs="Mangal"/>
      <w:color w:val="00000A"/>
      <w:sz w:val="18"/>
      <w:szCs w:val="16"/>
    </w:rPr>
  </w:style>
  <w:style w:type="character" w:styleId="Marquedecommentaire">
    <w:name w:val="Marque de commentaire"/>
    <w:qFormat/>
    <w:rPr>
      <w:sz w:val="16"/>
      <w:szCs w:val="16"/>
    </w:rPr>
  </w:style>
  <w:style w:type="character" w:styleId="Marquedecommentaire1">
    <w:name w:val="Marque de commentaire1"/>
    <w:qFormat/>
    <w:rPr>
      <w:sz w:val="16"/>
      <w:szCs w:val="16"/>
    </w:rPr>
  </w:style>
  <w:style w:type="paragraph" w:styleId="Heading">
    <w:name w:val="Heading"/>
    <w:basedOn w:val="Normal"/>
    <w:next w:val="TextBody"/>
    <w:qFormat/>
    <w:pPr>
      <w:keepNext w:val="true"/>
      <w:spacing w:before="240" w:after="120"/>
    </w:pPr>
    <w:rPr>
      <w:rFonts w:ascii="Liberation Sans" w:hAnsi="Liberation Sans" w:eastAsia="Droid Sans Fallback"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ascii="Times New Roman" w:hAnsi="Times New Roman"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Caption1">
    <w:name w:val="caption"/>
    <w:basedOn w:val="Normal"/>
    <w:qFormat/>
    <w:pPr>
      <w:suppressLineNumbers/>
      <w:spacing w:before="120" w:after="120"/>
    </w:pPr>
    <w:rPr>
      <w:i/>
      <w:iCs/>
    </w:rPr>
  </w:style>
  <w:style w:type="paragraph" w:styleId="SMText">
    <w:name w:val="SM Text"/>
    <w:basedOn w:val="Normal"/>
    <w:qFormat/>
    <w:pPr>
      <w:ind w:left="0" w:right="0" w:firstLine="480"/>
    </w:pPr>
    <w:rPr/>
  </w:style>
  <w:style w:type="paragraph" w:styleId="SMcaption">
    <w:name w:val="SM caption"/>
    <w:basedOn w:val="SMText"/>
    <w:qFormat/>
    <w:pPr>
      <w:ind w:left="0" w:right="0" w:hanging="0"/>
    </w:pPr>
    <w:rPr/>
  </w:style>
  <w:style w:type="paragraph" w:styleId="Footer">
    <w:name w:val="Footer"/>
    <w:basedOn w:val="Normal"/>
    <w:pPr>
      <w:suppressLineNumbers/>
      <w:tabs>
        <w:tab w:val="center" w:pos="4680" w:leader="none"/>
        <w:tab w:val="right" w:pos="9360" w:leader="none"/>
      </w:tabs>
    </w:pPr>
    <w:rPr/>
  </w:style>
  <w:style w:type="paragraph" w:styleId="SMHeading">
    <w:name w:val="SM Heading"/>
    <w:basedOn w:val="Heading1"/>
    <w:qFormat/>
    <w:pPr/>
    <w:rPr/>
  </w:style>
  <w:style w:type="paragraph" w:styleId="PreformattedText">
    <w:name w:val="Preformatted Text"/>
    <w:basedOn w:val="Normal"/>
    <w:qFormat/>
    <w:pPr/>
    <w:rPr>
      <w:rFonts w:ascii="Liberation Mono" w:hAnsi="Liberation Mono" w:cs="Liberation Mono"/>
      <w:sz w:val="20"/>
      <w:szCs w:val="20"/>
    </w:rPr>
  </w:style>
  <w:style w:type="paragraph" w:styleId="TableContents">
    <w:name w:val="Table Contents"/>
    <w:basedOn w:val="Normal"/>
    <w:qFormat/>
    <w:pPr>
      <w:suppressLineNumbers/>
    </w:pPr>
    <w:rPr/>
  </w:style>
  <w:style w:type="paragraph" w:styleId="Header">
    <w:name w:val="Header"/>
    <w:basedOn w:val="Normal"/>
    <w:pPr>
      <w:suppressLineNumbers/>
      <w:tabs>
        <w:tab w:val="center" w:pos="5386" w:leader="none"/>
        <w:tab w:val="right" w:pos="10772" w:leader="none"/>
      </w:tabs>
    </w:pPr>
    <w:rPr/>
  </w:style>
  <w:style w:type="paragraph" w:styleId="Illustration">
    <w:name w:val="Illustration"/>
    <w:basedOn w:val="Caption1"/>
    <w:qFormat/>
    <w:pPr/>
    <w:rPr/>
  </w:style>
  <w:style w:type="paragraph" w:styleId="FrameContents">
    <w:name w:val="Frame Contents"/>
    <w:basedOn w:val="Normal"/>
    <w:qFormat/>
    <w:pPr/>
    <w:rPr/>
  </w:style>
  <w:style w:type="paragraph" w:styleId="BalloonText">
    <w:name w:val="Balloon Text"/>
    <w:basedOn w:val="Normal"/>
    <w:qFormat/>
    <w:pPr/>
    <w:rPr>
      <w:rFonts w:ascii="Times New Roman" w:hAnsi="Times New Roman" w:cs="Mangal"/>
      <w:sz w:val="18"/>
      <w:szCs w:val="16"/>
    </w:rPr>
  </w:style>
  <w:style w:type="paragraph" w:styleId="Quotations">
    <w:name w:val="Quotations"/>
    <w:basedOn w:val="Normal"/>
    <w:qFormat/>
    <w:pPr/>
    <w:rPr/>
  </w:style>
  <w:style w:type="paragraph" w:styleId="Title">
    <w:name w:val="Title"/>
    <w:basedOn w:val="Heading"/>
    <w:qFormat/>
    <w:pPr/>
    <w:rPr/>
  </w:style>
  <w:style w:type="paragraph" w:styleId="Subtitle">
    <w:name w:val="Subtitle"/>
    <w:basedOn w:val="Heading"/>
    <w:qFormat/>
    <w:pPr/>
    <w:rPr/>
  </w:style>
  <w:style w:type="numbering" w:styleId="NoList">
    <w:name w:val="No List"/>
    <w:qFormat/>
  </w:style>
  <w:style w:type="numbering" w:styleId="WW8Num1">
    <w:name w:val="WW8Num1"/>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13</TotalTime>
  <Application>LibreOffice/6.0.7.3$Linux_X86_64 LibreOffice_project/00m0$Build-3</Application>
  <Pages>13</Pages>
  <Words>1317</Words>
  <Characters>7077</Characters>
  <CharactersWithSpaces>8392</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2019-10-29T14:03:00Z</dcterms:created>
  <dc:creator>Cyril Dutheil</dc:creator>
  <dc:description/>
  <dc:language>fr-FR</dc:language>
  <cp:lastModifiedBy>Cyril Dutheil</cp:lastModifiedBy>
  <dcterms:modified xsi:type="dcterms:W3CDTF">2020-02-26T10:36:25Z</dcterms:modified>
  <cp:revision>7</cp:revision>
  <dc:subject/>
  <dc:title/>
</cp:coreProperties>
</file>