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533710" w14:textId="77777777" w:rsidR="006B5987" w:rsidRDefault="006B5987" w:rsidP="006B5987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Cs/>
          <w:color w:val="000000"/>
          <w:kern w:val="0"/>
          <w:sz w:val="28"/>
          <w:szCs w:val="24"/>
        </w:rPr>
      </w:pPr>
      <w:r w:rsidRPr="00E877F7">
        <w:rPr>
          <w:rFonts w:ascii="Times New Roman" w:hAnsi="Times New Roman"/>
          <w:bCs/>
          <w:color w:val="000000"/>
          <w:kern w:val="0"/>
          <w:sz w:val="28"/>
          <w:szCs w:val="24"/>
        </w:rPr>
        <w:t xml:space="preserve">Safety Profile of Epidermal Growth Factor Receptor Tyrosine Kinase Inhibitors: A Disproportionality Analysis of FDA Adverse Event Reporting System </w:t>
      </w:r>
    </w:p>
    <w:p w14:paraId="64740407" w14:textId="77777777" w:rsidR="00CA7899" w:rsidRPr="00E00BC7" w:rsidRDefault="00CA7899" w:rsidP="00CA7899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  <w:kern w:val="0"/>
          <w:sz w:val="20"/>
          <w:szCs w:val="20"/>
          <w:vertAlign w:val="superscript"/>
        </w:rPr>
      </w:pPr>
      <w:r w:rsidRPr="00E00BC7">
        <w:rPr>
          <w:rFonts w:ascii="Times New Roman" w:eastAsia="MyriadPro-Semibold" w:hAnsi="Times New Roman"/>
          <w:b/>
          <w:kern w:val="0"/>
          <w:sz w:val="20"/>
          <w:szCs w:val="20"/>
        </w:rPr>
        <w:t>Jing Huang</w:t>
      </w:r>
      <w:r w:rsidRPr="00E00BC7">
        <w:rPr>
          <w:rFonts w:ascii="Times New Roman" w:eastAsia="MyriadPro-Semibold" w:hAnsi="Times New Roman"/>
          <w:b/>
          <w:kern w:val="0"/>
          <w:sz w:val="20"/>
          <w:szCs w:val="20"/>
          <w:vertAlign w:val="superscript"/>
        </w:rPr>
        <w:t>1,+</w:t>
      </w:r>
      <w:r w:rsidRPr="00E00BC7">
        <w:rPr>
          <w:rFonts w:ascii="Times New Roman" w:eastAsia="MyriadPro-Semibold" w:hAnsi="Times New Roman"/>
          <w:b/>
          <w:kern w:val="0"/>
          <w:sz w:val="20"/>
          <w:szCs w:val="20"/>
        </w:rPr>
        <w:t>,</w:t>
      </w:r>
      <w:r w:rsidRPr="00E00BC7">
        <w:rPr>
          <w:rFonts w:ascii="Times New Roman" w:hAnsi="Times New Roman"/>
          <w:b/>
          <w:kern w:val="0"/>
          <w:sz w:val="20"/>
          <w:szCs w:val="20"/>
        </w:rPr>
        <w:t xml:space="preserve"> Long Meng</w:t>
      </w:r>
      <w:r w:rsidRPr="00E00BC7">
        <w:rPr>
          <w:rFonts w:ascii="Times New Roman" w:eastAsia="MyriadPro-Semibold" w:hAnsi="Times New Roman"/>
          <w:b/>
          <w:kern w:val="0"/>
          <w:sz w:val="20"/>
          <w:szCs w:val="20"/>
          <w:vertAlign w:val="superscript"/>
        </w:rPr>
        <w:t>2,+</w:t>
      </w:r>
      <w:r w:rsidRPr="00E00BC7">
        <w:rPr>
          <w:rFonts w:ascii="Times New Roman" w:eastAsia="MyriadPro-Semibold" w:hAnsi="Times New Roman"/>
          <w:b/>
          <w:kern w:val="0"/>
          <w:sz w:val="20"/>
          <w:szCs w:val="20"/>
        </w:rPr>
        <w:t>,</w:t>
      </w:r>
      <w:r w:rsidRPr="00E00BC7">
        <w:rPr>
          <w:rFonts w:ascii="Times New Roman" w:hAnsi="Times New Roman"/>
          <w:b/>
          <w:kern w:val="0"/>
          <w:sz w:val="20"/>
          <w:szCs w:val="20"/>
        </w:rPr>
        <w:t>Bing Yang</w:t>
      </w:r>
      <w:r w:rsidRPr="00E00BC7">
        <w:rPr>
          <w:rFonts w:ascii="Times New Roman" w:eastAsia="MyriadPro-Semibold" w:hAnsi="Times New Roman"/>
          <w:b/>
          <w:kern w:val="0"/>
          <w:sz w:val="20"/>
          <w:szCs w:val="20"/>
          <w:vertAlign w:val="superscript"/>
        </w:rPr>
        <w:t>3</w:t>
      </w:r>
      <w:r w:rsidRPr="00E00BC7">
        <w:rPr>
          <w:rFonts w:ascii="Times New Roman" w:eastAsia="MyriadPro-Semibold" w:hAnsi="Times New Roman"/>
          <w:b/>
          <w:kern w:val="0"/>
          <w:sz w:val="20"/>
          <w:szCs w:val="20"/>
        </w:rPr>
        <w:t>,</w:t>
      </w:r>
      <w:r w:rsidRPr="00E00BC7">
        <w:rPr>
          <w:rFonts w:ascii="Times New Roman" w:hAnsi="Times New Roman"/>
          <w:b/>
          <w:kern w:val="0"/>
          <w:sz w:val="20"/>
          <w:szCs w:val="20"/>
        </w:rPr>
        <w:t>Shusen Sun</w:t>
      </w:r>
      <w:bookmarkStart w:id="0" w:name="OLE_LINK9"/>
      <w:bookmarkStart w:id="1" w:name="OLE_LINK8"/>
      <w:r w:rsidRPr="00E00BC7">
        <w:rPr>
          <w:rFonts w:ascii="Times New Roman" w:eastAsia="MyriadPro-Semibold" w:hAnsi="Times New Roman"/>
          <w:b/>
          <w:kern w:val="0"/>
          <w:sz w:val="20"/>
          <w:szCs w:val="20"/>
          <w:vertAlign w:val="superscript"/>
        </w:rPr>
        <w:t>4</w:t>
      </w:r>
      <w:r>
        <w:rPr>
          <w:rFonts w:ascii="Times New Roman" w:eastAsia="MyriadPro-Semibold" w:hAnsi="Times New Roman"/>
          <w:b/>
          <w:kern w:val="0"/>
          <w:sz w:val="20"/>
          <w:szCs w:val="20"/>
          <w:vertAlign w:val="superscript"/>
        </w:rPr>
        <w:t>,5,6</w:t>
      </w:r>
      <w:r w:rsidRPr="00E00BC7">
        <w:rPr>
          <w:rFonts w:ascii="Times New Roman" w:hAnsi="Times New Roman"/>
          <w:b/>
          <w:kern w:val="0"/>
          <w:sz w:val="20"/>
          <w:szCs w:val="20"/>
        </w:rPr>
        <w:t>,</w:t>
      </w:r>
      <w:bookmarkEnd w:id="0"/>
      <w:bookmarkEnd w:id="1"/>
      <w:r w:rsidRPr="00E00BC7">
        <w:rPr>
          <w:rFonts w:ascii="Times New Roman" w:hAnsi="Times New Roman"/>
          <w:b/>
          <w:kern w:val="0"/>
          <w:sz w:val="20"/>
          <w:szCs w:val="20"/>
        </w:rPr>
        <w:t xml:space="preserve"> </w:t>
      </w:r>
      <w:r w:rsidRPr="00E00BC7">
        <w:rPr>
          <w:rFonts w:ascii="Times New Roman" w:eastAsia="MyriadPro-Semibold" w:hAnsi="Times New Roman"/>
          <w:b/>
          <w:kern w:val="0"/>
          <w:sz w:val="20"/>
          <w:szCs w:val="20"/>
        </w:rPr>
        <w:t>Zhigang Luo</w:t>
      </w:r>
      <w:r>
        <w:rPr>
          <w:rFonts w:ascii="Times New Roman" w:eastAsia="MyriadPro-Semibold" w:hAnsi="Times New Roman"/>
          <w:b/>
          <w:kern w:val="0"/>
          <w:sz w:val="20"/>
          <w:szCs w:val="20"/>
          <w:vertAlign w:val="superscript"/>
        </w:rPr>
        <w:t>7</w:t>
      </w:r>
      <w:r w:rsidRPr="00E00BC7">
        <w:rPr>
          <w:rFonts w:ascii="Times New Roman" w:eastAsia="MyriadPro-Semibold" w:hAnsi="Times New Roman"/>
          <w:b/>
          <w:kern w:val="0"/>
          <w:sz w:val="20"/>
          <w:szCs w:val="20"/>
        </w:rPr>
        <w:t>, Hong Chen</w:t>
      </w:r>
      <w:r w:rsidRPr="00E00BC7">
        <w:rPr>
          <w:rFonts w:ascii="Times New Roman" w:eastAsia="MyriadPro-Semibold" w:hAnsi="Times New Roman"/>
          <w:b/>
          <w:kern w:val="0"/>
          <w:sz w:val="20"/>
          <w:szCs w:val="20"/>
          <w:vertAlign w:val="superscript"/>
        </w:rPr>
        <w:t>1</w:t>
      </w:r>
      <w:r w:rsidRPr="00E00BC7">
        <w:rPr>
          <w:rFonts w:ascii="Times New Roman" w:eastAsia="AdvTimes" w:hAnsi="Times New Roman"/>
          <w:b/>
          <w:kern w:val="0"/>
          <w:sz w:val="20"/>
          <w:szCs w:val="20"/>
        </w:rPr>
        <w:t>*</w:t>
      </w:r>
    </w:p>
    <w:p w14:paraId="51CB689E" w14:textId="77777777" w:rsidR="00CA7899" w:rsidRPr="00E00BC7" w:rsidRDefault="00CA7899" w:rsidP="00CA7899">
      <w:pPr>
        <w:spacing w:line="360" w:lineRule="auto"/>
        <w:rPr>
          <w:rFonts w:ascii="Times New Roman" w:hAnsi="Times New Roman"/>
          <w:kern w:val="0"/>
          <w:sz w:val="20"/>
          <w:szCs w:val="20"/>
        </w:rPr>
      </w:pPr>
      <w:r w:rsidRPr="00E00BC7">
        <w:rPr>
          <w:rFonts w:ascii="Times New Roman" w:eastAsia="MyriadPro-Semibold" w:hAnsi="Times New Roman"/>
          <w:kern w:val="0"/>
          <w:sz w:val="20"/>
          <w:szCs w:val="20"/>
          <w:vertAlign w:val="superscript"/>
        </w:rPr>
        <w:t>1</w:t>
      </w:r>
      <w:r w:rsidRPr="00E00BC7">
        <w:rPr>
          <w:rFonts w:ascii="Times New Roman" w:hAnsi="Times New Roman"/>
          <w:color w:val="000000" w:themeColor="text1"/>
          <w:kern w:val="0"/>
          <w:sz w:val="20"/>
          <w:szCs w:val="20"/>
        </w:rPr>
        <w:t>Department of Respiratory and Critical Care Medicine</w:t>
      </w:r>
      <w:r w:rsidRPr="00E00BC7">
        <w:rPr>
          <w:rFonts w:ascii="Times New Roman" w:hAnsi="Times New Roman"/>
          <w:kern w:val="0"/>
          <w:sz w:val="20"/>
          <w:szCs w:val="20"/>
        </w:rPr>
        <w:t>, The First Affiliated Hospital of Chongqing Medical University, Chongqing 400016 China,</w:t>
      </w:r>
    </w:p>
    <w:p w14:paraId="03795AB5" w14:textId="77777777" w:rsidR="00CA7899" w:rsidRPr="00E00BC7" w:rsidRDefault="00CA7899" w:rsidP="00CA7899">
      <w:pPr>
        <w:spacing w:line="360" w:lineRule="auto"/>
        <w:rPr>
          <w:rFonts w:ascii="Times New Roman" w:hAnsi="Times New Roman"/>
          <w:kern w:val="0"/>
          <w:sz w:val="20"/>
          <w:szCs w:val="20"/>
        </w:rPr>
      </w:pPr>
      <w:r w:rsidRPr="00E00BC7">
        <w:rPr>
          <w:rFonts w:ascii="Times New Roman" w:eastAsia="MyriadPro-Semibold" w:hAnsi="Times New Roman"/>
          <w:kern w:val="0"/>
          <w:sz w:val="20"/>
          <w:szCs w:val="20"/>
          <w:vertAlign w:val="superscript"/>
        </w:rPr>
        <w:t>2</w:t>
      </w:r>
      <w:r w:rsidRPr="00E00BC7">
        <w:rPr>
          <w:rFonts w:ascii="Times New Roman" w:hAnsi="Times New Roman"/>
          <w:kern w:val="0"/>
          <w:sz w:val="20"/>
          <w:szCs w:val="20"/>
        </w:rPr>
        <w:t xml:space="preserve">Department of Pharmacy, The First Affiliated Hospital of Chongqing Medical University, Chongqing 400016 China, </w:t>
      </w:r>
    </w:p>
    <w:p w14:paraId="6199750B" w14:textId="77777777" w:rsidR="00CA7899" w:rsidRPr="00A6595D" w:rsidRDefault="00CA7899" w:rsidP="00CA7899">
      <w:pPr>
        <w:spacing w:line="360" w:lineRule="auto"/>
        <w:ind w:rightChars="-230" w:right="-483"/>
        <w:rPr>
          <w:rFonts w:ascii="Times New Roman" w:hAnsi="Times New Roman"/>
          <w:kern w:val="0"/>
          <w:sz w:val="20"/>
          <w:szCs w:val="20"/>
        </w:rPr>
      </w:pPr>
      <w:r w:rsidRPr="00E00BC7">
        <w:rPr>
          <w:rFonts w:ascii="Times New Roman" w:eastAsia="MyriadPro-Semibold" w:hAnsi="Times New Roman"/>
          <w:kern w:val="0"/>
          <w:sz w:val="20"/>
          <w:szCs w:val="20"/>
          <w:vertAlign w:val="superscript"/>
        </w:rPr>
        <w:t>3</w:t>
      </w:r>
      <w:r w:rsidRPr="00E00BC7">
        <w:rPr>
          <w:rFonts w:ascii="Times New Roman" w:hAnsi="Times New Roman"/>
          <w:color w:val="000000" w:themeColor="text1"/>
          <w:kern w:val="0"/>
          <w:sz w:val="20"/>
          <w:szCs w:val="20"/>
        </w:rPr>
        <w:t>Department of Nursing, Chongqing Medical University, Chongqing 400016 China</w:t>
      </w:r>
      <w:r w:rsidRPr="00B941A5">
        <w:rPr>
          <w:rFonts w:ascii="Times New Roman" w:hAnsi="Times New Roman"/>
          <w:kern w:val="0"/>
          <w:sz w:val="20"/>
          <w:szCs w:val="20"/>
        </w:rPr>
        <w:t>.</w:t>
      </w:r>
    </w:p>
    <w:p w14:paraId="572C160A" w14:textId="77777777" w:rsidR="00CA7899" w:rsidRPr="00A6595D" w:rsidRDefault="00CA7899" w:rsidP="00CA7899">
      <w:pPr>
        <w:spacing w:line="360" w:lineRule="auto"/>
        <w:rPr>
          <w:rFonts w:ascii="Times New Roman" w:hAnsi="Times New Roman"/>
          <w:color w:val="000000" w:themeColor="text1"/>
          <w:kern w:val="0"/>
          <w:sz w:val="20"/>
          <w:szCs w:val="20"/>
        </w:rPr>
      </w:pPr>
      <w:r w:rsidRPr="00A6595D">
        <w:rPr>
          <w:rFonts w:ascii="Times New Roman" w:eastAsia="MyriadPro-Semibold" w:hAnsi="Times New Roman"/>
          <w:kern w:val="0"/>
          <w:sz w:val="20"/>
          <w:szCs w:val="20"/>
          <w:vertAlign w:val="superscript"/>
        </w:rPr>
        <w:t>4</w:t>
      </w:r>
      <w:r w:rsidRPr="00A6595D">
        <w:rPr>
          <w:rFonts w:ascii="Times New Roman" w:hAnsi="Times New Roman"/>
          <w:color w:val="000000" w:themeColor="text1"/>
          <w:kern w:val="0"/>
          <w:sz w:val="20"/>
          <w:szCs w:val="20"/>
        </w:rPr>
        <w:t xml:space="preserve">Department of Pharmacy Practice, College of Pharmacy and Health Sciences, Western New England University, 1215 Wilbraham Road, Springfield, MA 01119 USA. </w:t>
      </w:r>
    </w:p>
    <w:p w14:paraId="51565ED0" w14:textId="77777777" w:rsidR="00CA7899" w:rsidRPr="00A6595D" w:rsidRDefault="00CA7899" w:rsidP="00CA7899">
      <w:pPr>
        <w:spacing w:line="360" w:lineRule="auto"/>
        <w:rPr>
          <w:rFonts w:ascii="Times New Roman" w:hAnsi="Times New Roman"/>
          <w:color w:val="000000" w:themeColor="text1"/>
          <w:kern w:val="0"/>
          <w:sz w:val="20"/>
          <w:szCs w:val="20"/>
        </w:rPr>
      </w:pPr>
      <w:r w:rsidRPr="00A6595D">
        <w:rPr>
          <w:rFonts w:ascii="Times New Roman" w:eastAsia="MyriadPro-Semibold" w:hAnsi="Times New Roman"/>
          <w:kern w:val="0"/>
          <w:sz w:val="20"/>
          <w:szCs w:val="20"/>
          <w:vertAlign w:val="superscript"/>
        </w:rPr>
        <w:t>5</w:t>
      </w:r>
      <w:r w:rsidRPr="00A6595D">
        <w:rPr>
          <w:rFonts w:ascii="Times New Roman" w:hAnsi="Times New Roman"/>
          <w:color w:val="000000" w:themeColor="text1"/>
          <w:kern w:val="0"/>
          <w:sz w:val="20"/>
          <w:szCs w:val="20"/>
        </w:rPr>
        <w:t>Department of Pharmacy, Xiangya Hospital Central South University, Changsha 410008, Hunan,China.</w:t>
      </w:r>
    </w:p>
    <w:p w14:paraId="798041F4" w14:textId="77777777" w:rsidR="00CA7899" w:rsidRPr="00A6595D" w:rsidRDefault="00CA7899" w:rsidP="00CA7899">
      <w:pPr>
        <w:spacing w:line="360" w:lineRule="auto"/>
        <w:rPr>
          <w:rFonts w:ascii="Times New Roman" w:hAnsi="Times New Roman"/>
          <w:color w:val="000000" w:themeColor="text1"/>
          <w:kern w:val="0"/>
          <w:sz w:val="20"/>
          <w:szCs w:val="20"/>
        </w:rPr>
      </w:pPr>
      <w:r w:rsidRPr="00A6595D">
        <w:rPr>
          <w:rFonts w:ascii="Times New Roman" w:eastAsia="MyriadPro-Semibold" w:hAnsi="Times New Roman"/>
          <w:kern w:val="0"/>
          <w:sz w:val="20"/>
          <w:szCs w:val="20"/>
          <w:vertAlign w:val="superscript"/>
        </w:rPr>
        <w:t>6</w:t>
      </w:r>
      <w:r w:rsidRPr="00A6595D">
        <w:rPr>
          <w:rFonts w:ascii="Times New Roman" w:hAnsi="Times New Roman"/>
          <w:color w:val="000000" w:themeColor="text1"/>
          <w:kern w:val="0"/>
          <w:sz w:val="20"/>
          <w:szCs w:val="20"/>
        </w:rPr>
        <w:t>Institute for Rational and Safe Medication Practices, National Clinical Research Center for Geriatric Disorders, Xiangya Hospital, Central South University, Changsha 410008, Hunan, China.</w:t>
      </w:r>
    </w:p>
    <w:p w14:paraId="486F192A" w14:textId="77777777" w:rsidR="00CA7899" w:rsidRDefault="00CA7899" w:rsidP="00CA7899">
      <w:pPr>
        <w:spacing w:line="360" w:lineRule="auto"/>
        <w:rPr>
          <w:rFonts w:ascii="Times New Roman" w:hAnsi="Times New Roman"/>
          <w:color w:val="000000" w:themeColor="text1"/>
          <w:kern w:val="0"/>
          <w:sz w:val="20"/>
          <w:szCs w:val="20"/>
        </w:rPr>
      </w:pPr>
      <w:r w:rsidRPr="00A6595D">
        <w:rPr>
          <w:rFonts w:ascii="Times New Roman" w:eastAsia="MyriadPro-Semibold" w:hAnsi="Times New Roman"/>
          <w:kern w:val="0"/>
          <w:sz w:val="20"/>
          <w:szCs w:val="20"/>
          <w:vertAlign w:val="superscript"/>
        </w:rPr>
        <w:t>7</w:t>
      </w:r>
      <w:r w:rsidRPr="00A6595D">
        <w:rPr>
          <w:rFonts w:ascii="Times New Roman" w:hAnsi="Times New Roman"/>
          <w:color w:val="000000" w:themeColor="text1"/>
          <w:kern w:val="0"/>
          <w:sz w:val="20"/>
          <w:szCs w:val="20"/>
        </w:rPr>
        <w:t>Department of Pharmacy, Shihezi People's Hospital, Shihezi 832000 China</w:t>
      </w:r>
      <w:r>
        <w:rPr>
          <w:rFonts w:ascii="Times New Roman" w:hAnsi="Times New Roman"/>
          <w:color w:val="000000" w:themeColor="text1"/>
          <w:kern w:val="0"/>
          <w:sz w:val="20"/>
          <w:szCs w:val="20"/>
        </w:rPr>
        <w:t>.</w:t>
      </w:r>
    </w:p>
    <w:p w14:paraId="69252CE8" w14:textId="77777777" w:rsidR="00CA7899" w:rsidRPr="00E00BC7" w:rsidRDefault="00CA7899" w:rsidP="00CA7899">
      <w:pPr>
        <w:spacing w:line="360" w:lineRule="auto"/>
        <w:rPr>
          <w:rFonts w:ascii="Times New Roman" w:hAnsi="Times New Roman"/>
          <w:color w:val="000000" w:themeColor="text1"/>
          <w:kern w:val="0"/>
          <w:sz w:val="20"/>
          <w:szCs w:val="20"/>
        </w:rPr>
      </w:pPr>
      <w:r w:rsidRPr="00A6595D">
        <w:rPr>
          <w:rFonts w:ascii="Times New Roman" w:hAnsi="Times New Roman"/>
          <w:color w:val="000000" w:themeColor="text1"/>
          <w:kern w:val="0"/>
          <w:sz w:val="20"/>
          <w:szCs w:val="20"/>
        </w:rPr>
        <w:t>*</w:t>
      </w:r>
      <w:r w:rsidRPr="00E00BC7">
        <w:rPr>
          <w:rFonts w:ascii="Times New Roman" w:hAnsi="Times New Roman"/>
          <w:color w:val="000000" w:themeColor="text1"/>
          <w:kern w:val="0"/>
          <w:sz w:val="20"/>
          <w:szCs w:val="20"/>
        </w:rPr>
        <w:t xml:space="preserve"> E-mail: hopechen2019@126.com</w:t>
      </w:r>
    </w:p>
    <w:p w14:paraId="5238B984" w14:textId="77777777" w:rsidR="00CA7899" w:rsidRPr="00E00BC7" w:rsidRDefault="00CA7899" w:rsidP="00CA7899">
      <w:pPr>
        <w:rPr>
          <w:rFonts w:ascii="Times New Roman" w:hAnsi="Times New Roman"/>
          <w:color w:val="000000" w:themeColor="text1"/>
          <w:kern w:val="0"/>
          <w:sz w:val="20"/>
          <w:szCs w:val="20"/>
        </w:rPr>
      </w:pPr>
      <w:r w:rsidRPr="00E00BC7">
        <w:rPr>
          <w:rFonts w:ascii="Times New Roman" w:eastAsia="MyriadPro-Semibold" w:hAnsi="Times New Roman"/>
          <w:kern w:val="0"/>
          <w:sz w:val="20"/>
          <w:szCs w:val="20"/>
          <w:vertAlign w:val="superscript"/>
        </w:rPr>
        <w:t>+</w:t>
      </w:r>
      <w:r w:rsidRPr="00E00BC7">
        <w:rPr>
          <w:rFonts w:ascii="Times New Roman" w:hAnsi="Times New Roman"/>
          <w:color w:val="000000" w:themeColor="text1"/>
          <w:kern w:val="0"/>
          <w:sz w:val="20"/>
          <w:szCs w:val="20"/>
        </w:rPr>
        <w:t>these author contributed equally to this work</w:t>
      </w:r>
    </w:p>
    <w:p w14:paraId="6531D2BE" w14:textId="77777777" w:rsidR="00CA7899" w:rsidRPr="00CA7899" w:rsidRDefault="00CA7899" w:rsidP="0052506E">
      <w:pPr>
        <w:spacing w:line="360" w:lineRule="auto"/>
        <w:rPr>
          <w:rFonts w:ascii="Times New Roman" w:hAnsi="Times New Roman"/>
          <w:color w:val="FF0000"/>
          <w:kern w:val="0"/>
          <w:sz w:val="24"/>
          <w:szCs w:val="24"/>
        </w:rPr>
      </w:pPr>
    </w:p>
    <w:p w14:paraId="436EC267" w14:textId="77777777" w:rsidR="00CA7899" w:rsidRDefault="00CA7899" w:rsidP="0052506E">
      <w:pPr>
        <w:spacing w:line="360" w:lineRule="auto"/>
        <w:rPr>
          <w:rFonts w:ascii="Times New Roman" w:hAnsi="Times New Roman"/>
          <w:color w:val="FF0000"/>
          <w:kern w:val="0"/>
          <w:sz w:val="24"/>
          <w:szCs w:val="24"/>
        </w:rPr>
      </w:pPr>
    </w:p>
    <w:p w14:paraId="0B24BB2B" w14:textId="77777777" w:rsidR="00CA7899" w:rsidRDefault="00CA7899" w:rsidP="0052506E">
      <w:pPr>
        <w:spacing w:line="360" w:lineRule="auto"/>
        <w:rPr>
          <w:rFonts w:ascii="Times New Roman" w:hAnsi="Times New Roman"/>
          <w:color w:val="FF0000"/>
          <w:kern w:val="0"/>
          <w:sz w:val="24"/>
          <w:szCs w:val="24"/>
        </w:rPr>
      </w:pPr>
    </w:p>
    <w:p w14:paraId="1B2D1A9E" w14:textId="77777777" w:rsidR="00CA7899" w:rsidRDefault="00CA7899" w:rsidP="0052506E">
      <w:pPr>
        <w:spacing w:line="360" w:lineRule="auto"/>
        <w:rPr>
          <w:rFonts w:ascii="Times New Roman" w:hAnsi="Times New Roman"/>
          <w:color w:val="FF0000"/>
          <w:kern w:val="0"/>
          <w:sz w:val="24"/>
          <w:szCs w:val="24"/>
        </w:rPr>
      </w:pPr>
    </w:p>
    <w:p w14:paraId="2C62E981" w14:textId="77777777" w:rsidR="00CA7899" w:rsidRDefault="00CA7899" w:rsidP="0052506E">
      <w:pPr>
        <w:spacing w:line="360" w:lineRule="auto"/>
        <w:rPr>
          <w:rFonts w:ascii="Times New Roman" w:hAnsi="Times New Roman"/>
          <w:color w:val="FF0000"/>
          <w:kern w:val="0"/>
          <w:sz w:val="24"/>
          <w:szCs w:val="24"/>
        </w:rPr>
      </w:pPr>
    </w:p>
    <w:p w14:paraId="69A4C5FD" w14:textId="77777777" w:rsidR="00CA7899" w:rsidRDefault="00CA7899" w:rsidP="0052506E">
      <w:pPr>
        <w:spacing w:line="360" w:lineRule="auto"/>
        <w:rPr>
          <w:rFonts w:ascii="Times New Roman" w:hAnsi="Times New Roman"/>
          <w:color w:val="FF0000"/>
          <w:kern w:val="0"/>
          <w:sz w:val="24"/>
          <w:szCs w:val="24"/>
        </w:rPr>
      </w:pPr>
    </w:p>
    <w:p w14:paraId="714C69BA" w14:textId="77777777" w:rsidR="00CA7899" w:rsidRDefault="00CA7899" w:rsidP="0052506E">
      <w:pPr>
        <w:spacing w:line="360" w:lineRule="auto"/>
        <w:rPr>
          <w:rFonts w:ascii="Times New Roman" w:hAnsi="Times New Roman"/>
          <w:color w:val="FF0000"/>
          <w:kern w:val="0"/>
          <w:sz w:val="24"/>
          <w:szCs w:val="24"/>
        </w:rPr>
      </w:pPr>
    </w:p>
    <w:p w14:paraId="1B80F737" w14:textId="77777777" w:rsidR="00CA7899" w:rsidRDefault="00CA7899" w:rsidP="0052506E">
      <w:pPr>
        <w:spacing w:line="360" w:lineRule="auto"/>
        <w:rPr>
          <w:rFonts w:ascii="Times New Roman" w:hAnsi="Times New Roman"/>
          <w:color w:val="FF0000"/>
          <w:kern w:val="0"/>
          <w:sz w:val="24"/>
          <w:szCs w:val="24"/>
        </w:rPr>
      </w:pPr>
    </w:p>
    <w:p w14:paraId="3D98A929" w14:textId="77777777" w:rsidR="00CA7899" w:rsidRDefault="00CA7899" w:rsidP="0052506E">
      <w:pPr>
        <w:spacing w:line="360" w:lineRule="auto"/>
        <w:rPr>
          <w:rFonts w:ascii="Times New Roman" w:hAnsi="Times New Roman"/>
          <w:color w:val="FF0000"/>
          <w:kern w:val="0"/>
          <w:sz w:val="24"/>
          <w:szCs w:val="24"/>
        </w:rPr>
      </w:pPr>
    </w:p>
    <w:p w14:paraId="249E5BDE" w14:textId="77777777" w:rsidR="00CA7899" w:rsidRDefault="00CA7899" w:rsidP="0052506E">
      <w:pPr>
        <w:spacing w:line="360" w:lineRule="auto"/>
        <w:rPr>
          <w:rFonts w:ascii="Times New Roman" w:hAnsi="Times New Roman"/>
          <w:color w:val="FF0000"/>
          <w:kern w:val="0"/>
          <w:sz w:val="24"/>
          <w:szCs w:val="24"/>
        </w:rPr>
      </w:pPr>
    </w:p>
    <w:p w14:paraId="6A37228C" w14:textId="77777777" w:rsidR="00CA7899" w:rsidRDefault="00CA7899" w:rsidP="0052506E">
      <w:pPr>
        <w:spacing w:line="360" w:lineRule="auto"/>
        <w:rPr>
          <w:rFonts w:ascii="Times New Roman" w:hAnsi="Times New Roman"/>
          <w:color w:val="FF0000"/>
          <w:kern w:val="0"/>
          <w:sz w:val="24"/>
          <w:szCs w:val="24"/>
        </w:rPr>
      </w:pPr>
    </w:p>
    <w:p w14:paraId="74D728FB" w14:textId="733A3029" w:rsidR="00B10EB3" w:rsidRPr="00B24384" w:rsidRDefault="00E57C37" w:rsidP="00B10EB3">
      <w:pPr>
        <w:spacing w:line="360" w:lineRule="auto"/>
        <w:ind w:firstLine="420"/>
        <w:jc w:val="center"/>
        <w:rPr>
          <w:rFonts w:ascii="Times New Roman" w:hAnsi="Times New Roman" w:cs="MinionPro-Regular"/>
          <w:color w:val="000000" w:themeColor="text1"/>
          <w:kern w:val="0"/>
          <w:sz w:val="24"/>
          <w:szCs w:val="24"/>
        </w:rPr>
      </w:pPr>
      <w:r w:rsidRPr="00B24384">
        <w:rPr>
          <w:rFonts w:ascii="Times New Roman" w:hAnsi="Times New Roman"/>
          <w:color w:val="000000" w:themeColor="text1"/>
          <w:kern w:val="0"/>
          <w:sz w:val="24"/>
          <w:szCs w:val="24"/>
        </w:rPr>
        <w:lastRenderedPageBreak/>
        <w:t>Supplementary</w:t>
      </w:r>
      <w:r w:rsidRPr="00B24384">
        <w:rPr>
          <w:rFonts w:ascii="Times New Roman" w:hAnsi="Times New Roman" w:cs="MinionPro-Regular"/>
          <w:color w:val="000000" w:themeColor="text1"/>
          <w:kern w:val="0"/>
          <w:sz w:val="24"/>
          <w:szCs w:val="24"/>
        </w:rPr>
        <w:t xml:space="preserve"> </w:t>
      </w:r>
      <w:r w:rsidRPr="00B24384">
        <w:rPr>
          <w:rFonts w:ascii="Times New Roman" w:hAnsi="Times New Roman" w:cs="MinionPro-Regular" w:hint="eastAsia"/>
          <w:color w:val="000000" w:themeColor="text1"/>
          <w:kern w:val="0"/>
          <w:sz w:val="24"/>
          <w:szCs w:val="24"/>
        </w:rPr>
        <w:t>t</w:t>
      </w:r>
      <w:r w:rsidR="00B10EB3" w:rsidRPr="00B24384">
        <w:rPr>
          <w:rFonts w:ascii="Times New Roman" w:hAnsi="Times New Roman" w:cs="MinionPro-Regular"/>
          <w:color w:val="000000" w:themeColor="text1"/>
          <w:kern w:val="0"/>
          <w:sz w:val="24"/>
          <w:szCs w:val="24"/>
        </w:rPr>
        <w:t>ab</w:t>
      </w:r>
      <w:r w:rsidR="00B10EB3" w:rsidRPr="00B24384">
        <w:rPr>
          <w:rFonts w:ascii="Times New Roman" w:hAnsi="Times New Roman" w:cs="MinionPro-Regular" w:hint="eastAsia"/>
          <w:color w:val="000000" w:themeColor="text1"/>
          <w:kern w:val="0"/>
          <w:sz w:val="24"/>
          <w:szCs w:val="24"/>
        </w:rPr>
        <w:t>le</w:t>
      </w:r>
      <w:r w:rsidR="00B10EB3" w:rsidRPr="00B24384">
        <w:rPr>
          <w:rFonts w:ascii="Times New Roman" w:hAnsi="Times New Roman" w:cs="MinionPro-Regular"/>
          <w:color w:val="000000" w:themeColor="text1"/>
          <w:kern w:val="0"/>
          <w:sz w:val="24"/>
          <w:szCs w:val="24"/>
        </w:rPr>
        <w:t xml:space="preserve"> 1 </w:t>
      </w:r>
      <w:r w:rsidRPr="00B24384">
        <w:rPr>
          <w:rFonts w:ascii="Times New Roman" w:hAnsi="Times New Roman" w:cs="MinionPro-Regular" w:hint="eastAsia"/>
          <w:color w:val="000000" w:themeColor="text1"/>
          <w:kern w:val="0"/>
          <w:sz w:val="24"/>
          <w:szCs w:val="24"/>
        </w:rPr>
        <w:t>F</w:t>
      </w:r>
      <w:r w:rsidR="00B10EB3" w:rsidRPr="00B24384">
        <w:rPr>
          <w:rFonts w:ascii="Times New Roman" w:hAnsi="Times New Roman" w:cs="MinionPro-Regular"/>
          <w:color w:val="000000" w:themeColor="text1"/>
          <w:kern w:val="0"/>
          <w:sz w:val="24"/>
          <w:szCs w:val="24"/>
        </w:rPr>
        <w:t>ourfold table for measure of disproportionality</w:t>
      </w:r>
    </w:p>
    <w:tbl>
      <w:tblPr>
        <w:tblW w:w="8608" w:type="dxa"/>
        <w:tblInd w:w="93" w:type="dxa"/>
        <w:tblLook w:val="04A0" w:firstRow="1" w:lastRow="0" w:firstColumn="1" w:lastColumn="0" w:noHBand="0" w:noVBand="1"/>
      </w:tblPr>
      <w:tblGrid>
        <w:gridCol w:w="2142"/>
        <w:gridCol w:w="2835"/>
        <w:gridCol w:w="2551"/>
        <w:gridCol w:w="1080"/>
      </w:tblGrid>
      <w:tr w:rsidR="00B10EB3" w:rsidRPr="00456092" w14:paraId="00EEE730" w14:textId="77777777" w:rsidTr="00890760">
        <w:trPr>
          <w:trHeight w:val="270"/>
        </w:trPr>
        <w:tc>
          <w:tcPr>
            <w:tcW w:w="214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D4C096F" w14:textId="77777777" w:rsidR="00B10EB3" w:rsidRPr="00456092" w:rsidRDefault="00B10EB3" w:rsidP="00890760">
            <w:pPr>
              <w:rPr>
                <w:rFonts w:ascii="Times New Roman" w:hAnsi="Times New Roman" w:cs="MinionPro-Regular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912E906" w14:textId="77777777" w:rsidR="00B10EB3" w:rsidRPr="00456092" w:rsidRDefault="00B10EB3" w:rsidP="00890760">
            <w:pPr>
              <w:widowControl/>
              <w:jc w:val="center"/>
              <w:rPr>
                <w:rFonts w:ascii="Times New Roman" w:hAnsi="Times New Roman" w:cs="MinionPro-Regular"/>
                <w:kern w:val="0"/>
                <w:sz w:val="24"/>
                <w:szCs w:val="24"/>
              </w:rPr>
            </w:pPr>
            <w:r w:rsidRPr="00456092">
              <w:rPr>
                <w:rFonts w:ascii="Times New Roman" w:hAnsi="Times New Roman" w:cs="MinionPro-Regular"/>
                <w:kern w:val="0"/>
                <w:sz w:val="24"/>
                <w:szCs w:val="24"/>
              </w:rPr>
              <w:t>Adverse event of interest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5827535" w14:textId="77777777" w:rsidR="00B10EB3" w:rsidRPr="00456092" w:rsidRDefault="00B10EB3" w:rsidP="00890760">
            <w:pPr>
              <w:widowControl/>
              <w:jc w:val="center"/>
              <w:rPr>
                <w:rFonts w:ascii="Times New Roman" w:hAnsi="Times New Roman" w:cs="MinionPro-Regular"/>
                <w:kern w:val="0"/>
                <w:sz w:val="24"/>
                <w:szCs w:val="24"/>
              </w:rPr>
            </w:pPr>
            <w:r w:rsidRPr="00456092">
              <w:rPr>
                <w:rFonts w:ascii="Times New Roman" w:hAnsi="Times New Roman" w:cs="MinionPro-Regular"/>
                <w:kern w:val="0"/>
                <w:sz w:val="24"/>
                <w:szCs w:val="24"/>
              </w:rPr>
              <w:t>All other adverse events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8D7268E" w14:textId="77777777" w:rsidR="00B10EB3" w:rsidRPr="00456092" w:rsidRDefault="00B10EB3" w:rsidP="00890760">
            <w:pPr>
              <w:widowControl/>
              <w:jc w:val="center"/>
              <w:rPr>
                <w:rFonts w:ascii="Times New Roman" w:hAnsi="Times New Roman" w:cs="MinionPro-Regular"/>
                <w:kern w:val="0"/>
                <w:sz w:val="24"/>
                <w:szCs w:val="24"/>
              </w:rPr>
            </w:pPr>
            <w:r w:rsidRPr="00456092">
              <w:rPr>
                <w:rFonts w:ascii="Times New Roman" w:hAnsi="Times New Roman" w:cs="MinionPro-Regular"/>
                <w:kern w:val="0"/>
                <w:sz w:val="24"/>
                <w:szCs w:val="24"/>
              </w:rPr>
              <w:t>Total</w:t>
            </w:r>
          </w:p>
        </w:tc>
      </w:tr>
      <w:tr w:rsidR="00B10EB3" w:rsidRPr="00456092" w14:paraId="679E327A" w14:textId="77777777" w:rsidTr="00890760">
        <w:trPr>
          <w:trHeight w:val="270"/>
        </w:trPr>
        <w:tc>
          <w:tcPr>
            <w:tcW w:w="214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827C87E" w14:textId="77777777" w:rsidR="00B10EB3" w:rsidRPr="00456092" w:rsidRDefault="00B10EB3" w:rsidP="00890760">
            <w:pPr>
              <w:widowControl/>
              <w:jc w:val="center"/>
              <w:rPr>
                <w:rFonts w:ascii="Times New Roman" w:hAnsi="Times New Roman" w:cs="MinionPro-Regular"/>
                <w:kern w:val="0"/>
                <w:sz w:val="24"/>
                <w:szCs w:val="24"/>
              </w:rPr>
            </w:pPr>
            <w:r w:rsidRPr="00456092">
              <w:rPr>
                <w:rFonts w:ascii="Times New Roman" w:hAnsi="Times New Roman" w:cs="MinionPro-Regular"/>
                <w:kern w:val="0"/>
                <w:sz w:val="24"/>
                <w:szCs w:val="24"/>
              </w:rPr>
              <w:t>Drug of interest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943827C" w14:textId="77777777" w:rsidR="00B10EB3" w:rsidRPr="00456092" w:rsidRDefault="00B10EB3" w:rsidP="00890760">
            <w:pPr>
              <w:widowControl/>
              <w:jc w:val="center"/>
              <w:rPr>
                <w:rFonts w:ascii="Times New Roman" w:hAnsi="Times New Roman" w:cs="MinionPro-Regular"/>
                <w:kern w:val="0"/>
                <w:sz w:val="24"/>
                <w:szCs w:val="24"/>
              </w:rPr>
            </w:pPr>
            <w:r w:rsidRPr="00456092">
              <w:rPr>
                <w:rFonts w:ascii="Times New Roman" w:hAnsi="Times New Roman" w:cs="MinionPro-Regular"/>
                <w:kern w:val="0"/>
                <w:sz w:val="24"/>
                <w:szCs w:val="24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DF1A5E4" w14:textId="77777777" w:rsidR="00B10EB3" w:rsidRPr="00456092" w:rsidRDefault="00B10EB3" w:rsidP="00890760">
            <w:pPr>
              <w:widowControl/>
              <w:jc w:val="center"/>
              <w:rPr>
                <w:rFonts w:ascii="Times New Roman" w:hAnsi="Times New Roman" w:cs="MinionPro-Regular"/>
                <w:kern w:val="0"/>
                <w:sz w:val="24"/>
                <w:szCs w:val="24"/>
              </w:rPr>
            </w:pPr>
            <w:r w:rsidRPr="00456092">
              <w:rPr>
                <w:rFonts w:ascii="Times New Roman" w:hAnsi="Times New Roman" w:cs="MinionPro-Regular"/>
                <w:kern w:val="0"/>
                <w:sz w:val="24"/>
                <w:szCs w:val="24"/>
              </w:rPr>
              <w:t>b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A75E350" w14:textId="77777777" w:rsidR="00B10EB3" w:rsidRPr="00456092" w:rsidRDefault="00B10EB3" w:rsidP="00890760">
            <w:pPr>
              <w:widowControl/>
              <w:jc w:val="center"/>
              <w:rPr>
                <w:rFonts w:ascii="Times New Roman" w:hAnsi="Times New Roman" w:cs="MinionPro-Regular"/>
                <w:kern w:val="0"/>
                <w:sz w:val="24"/>
                <w:szCs w:val="24"/>
              </w:rPr>
            </w:pPr>
            <w:r w:rsidRPr="00456092">
              <w:rPr>
                <w:rFonts w:ascii="Times New Roman" w:hAnsi="Times New Roman" w:cs="MinionPro-Regular"/>
                <w:kern w:val="0"/>
                <w:sz w:val="24"/>
                <w:szCs w:val="24"/>
              </w:rPr>
              <w:t>a+b</w:t>
            </w:r>
          </w:p>
        </w:tc>
      </w:tr>
      <w:tr w:rsidR="00B10EB3" w:rsidRPr="00456092" w14:paraId="23EE101B" w14:textId="77777777" w:rsidTr="00890760">
        <w:trPr>
          <w:trHeight w:val="270"/>
        </w:trPr>
        <w:tc>
          <w:tcPr>
            <w:tcW w:w="2142" w:type="dxa"/>
            <w:noWrap/>
            <w:vAlign w:val="center"/>
            <w:hideMark/>
          </w:tcPr>
          <w:p w14:paraId="3B0357EC" w14:textId="77777777" w:rsidR="00B10EB3" w:rsidRPr="00456092" w:rsidRDefault="00B10EB3" w:rsidP="00890760">
            <w:pPr>
              <w:widowControl/>
              <w:jc w:val="center"/>
              <w:rPr>
                <w:rFonts w:ascii="Times New Roman" w:hAnsi="Times New Roman" w:cs="MinionPro-Regular"/>
                <w:kern w:val="0"/>
                <w:sz w:val="24"/>
                <w:szCs w:val="24"/>
              </w:rPr>
            </w:pPr>
            <w:r w:rsidRPr="00456092">
              <w:rPr>
                <w:rFonts w:ascii="Times New Roman" w:hAnsi="Times New Roman" w:cs="MinionPro-Regular"/>
                <w:kern w:val="0"/>
                <w:sz w:val="24"/>
                <w:szCs w:val="24"/>
              </w:rPr>
              <w:t>All other drugs</w:t>
            </w:r>
          </w:p>
        </w:tc>
        <w:tc>
          <w:tcPr>
            <w:tcW w:w="2835" w:type="dxa"/>
            <w:noWrap/>
            <w:vAlign w:val="center"/>
            <w:hideMark/>
          </w:tcPr>
          <w:p w14:paraId="0A50DE44" w14:textId="77777777" w:rsidR="00B10EB3" w:rsidRPr="00456092" w:rsidRDefault="00B10EB3" w:rsidP="00890760">
            <w:pPr>
              <w:widowControl/>
              <w:jc w:val="center"/>
              <w:rPr>
                <w:rFonts w:ascii="Times New Roman" w:hAnsi="Times New Roman" w:cs="MinionPro-Regular"/>
                <w:kern w:val="0"/>
                <w:sz w:val="24"/>
                <w:szCs w:val="24"/>
              </w:rPr>
            </w:pPr>
            <w:r w:rsidRPr="00456092">
              <w:rPr>
                <w:rFonts w:ascii="Times New Roman" w:hAnsi="Times New Roman" w:cs="MinionPro-Regular"/>
                <w:kern w:val="0"/>
                <w:sz w:val="24"/>
                <w:szCs w:val="24"/>
              </w:rPr>
              <w:t>c</w:t>
            </w:r>
          </w:p>
        </w:tc>
        <w:tc>
          <w:tcPr>
            <w:tcW w:w="2551" w:type="dxa"/>
            <w:noWrap/>
            <w:vAlign w:val="center"/>
            <w:hideMark/>
          </w:tcPr>
          <w:p w14:paraId="5B6B8EE6" w14:textId="77777777" w:rsidR="00B10EB3" w:rsidRPr="00456092" w:rsidRDefault="00B10EB3" w:rsidP="00890760">
            <w:pPr>
              <w:widowControl/>
              <w:jc w:val="center"/>
              <w:rPr>
                <w:rFonts w:ascii="Times New Roman" w:hAnsi="Times New Roman" w:cs="MinionPro-Regular"/>
                <w:kern w:val="0"/>
                <w:sz w:val="24"/>
                <w:szCs w:val="24"/>
              </w:rPr>
            </w:pPr>
            <w:r w:rsidRPr="00456092">
              <w:rPr>
                <w:rFonts w:ascii="Times New Roman" w:hAnsi="Times New Roman" w:cs="MinionPro-Regular"/>
                <w:kern w:val="0"/>
                <w:sz w:val="24"/>
                <w:szCs w:val="24"/>
              </w:rPr>
              <w:t>d</w:t>
            </w:r>
          </w:p>
        </w:tc>
        <w:tc>
          <w:tcPr>
            <w:tcW w:w="1080" w:type="dxa"/>
            <w:noWrap/>
            <w:vAlign w:val="center"/>
            <w:hideMark/>
          </w:tcPr>
          <w:p w14:paraId="4855F03C" w14:textId="77777777" w:rsidR="00B10EB3" w:rsidRPr="00456092" w:rsidRDefault="00B10EB3" w:rsidP="00890760">
            <w:pPr>
              <w:widowControl/>
              <w:jc w:val="center"/>
              <w:rPr>
                <w:rFonts w:ascii="Times New Roman" w:hAnsi="Times New Roman" w:cs="MinionPro-Regular"/>
                <w:kern w:val="0"/>
                <w:sz w:val="24"/>
                <w:szCs w:val="24"/>
              </w:rPr>
            </w:pPr>
            <w:r w:rsidRPr="00456092">
              <w:rPr>
                <w:rFonts w:ascii="Times New Roman" w:hAnsi="Times New Roman" w:cs="MinionPro-Regular"/>
                <w:kern w:val="0"/>
                <w:sz w:val="24"/>
                <w:szCs w:val="24"/>
              </w:rPr>
              <w:t>c+d</w:t>
            </w:r>
          </w:p>
        </w:tc>
      </w:tr>
      <w:tr w:rsidR="00B10EB3" w:rsidRPr="00456092" w14:paraId="53CF171D" w14:textId="77777777" w:rsidTr="00890760">
        <w:trPr>
          <w:trHeight w:val="270"/>
        </w:trPr>
        <w:tc>
          <w:tcPr>
            <w:tcW w:w="214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EEC9B45" w14:textId="77777777" w:rsidR="00B10EB3" w:rsidRPr="00456092" w:rsidRDefault="00B10EB3" w:rsidP="00890760">
            <w:pPr>
              <w:widowControl/>
              <w:jc w:val="center"/>
              <w:rPr>
                <w:rFonts w:ascii="Times New Roman" w:hAnsi="Times New Roman" w:cs="MinionPro-Regular"/>
                <w:kern w:val="0"/>
                <w:sz w:val="24"/>
                <w:szCs w:val="24"/>
              </w:rPr>
            </w:pPr>
            <w:r w:rsidRPr="00456092">
              <w:rPr>
                <w:rFonts w:ascii="Times New Roman" w:hAnsi="Times New Roman" w:cs="MinionPro-Regular"/>
                <w:kern w:val="0"/>
                <w:sz w:val="24"/>
                <w:szCs w:val="24"/>
              </w:rPr>
              <w:t>Total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60DA080" w14:textId="77777777" w:rsidR="00B10EB3" w:rsidRPr="00456092" w:rsidRDefault="00B10EB3" w:rsidP="00890760">
            <w:pPr>
              <w:widowControl/>
              <w:jc w:val="center"/>
              <w:rPr>
                <w:rFonts w:ascii="Times New Roman" w:hAnsi="Times New Roman" w:cs="MinionPro-Regular"/>
                <w:kern w:val="0"/>
                <w:sz w:val="24"/>
                <w:szCs w:val="24"/>
              </w:rPr>
            </w:pPr>
            <w:r w:rsidRPr="00456092">
              <w:rPr>
                <w:rFonts w:ascii="Times New Roman" w:hAnsi="Times New Roman" w:cs="MinionPro-Regular"/>
                <w:kern w:val="0"/>
                <w:sz w:val="24"/>
                <w:szCs w:val="24"/>
              </w:rPr>
              <w:t>a+c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3D320D8" w14:textId="77777777" w:rsidR="00B10EB3" w:rsidRPr="00456092" w:rsidRDefault="00B10EB3" w:rsidP="00890760">
            <w:pPr>
              <w:widowControl/>
              <w:jc w:val="center"/>
              <w:rPr>
                <w:rFonts w:ascii="Times New Roman" w:hAnsi="Times New Roman" w:cs="MinionPro-Regular"/>
                <w:kern w:val="0"/>
                <w:sz w:val="24"/>
                <w:szCs w:val="24"/>
              </w:rPr>
            </w:pPr>
            <w:r w:rsidRPr="00456092">
              <w:rPr>
                <w:rFonts w:ascii="Times New Roman" w:hAnsi="Times New Roman" w:cs="MinionPro-Regular"/>
                <w:kern w:val="0"/>
                <w:sz w:val="24"/>
                <w:szCs w:val="24"/>
              </w:rPr>
              <w:t>b+d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59FF036" w14:textId="77777777" w:rsidR="00B10EB3" w:rsidRPr="00456092" w:rsidRDefault="00B10EB3" w:rsidP="00890760">
            <w:pPr>
              <w:widowControl/>
              <w:jc w:val="center"/>
              <w:rPr>
                <w:rFonts w:ascii="Times New Roman" w:hAnsi="Times New Roman" w:cs="MinionPro-Regular"/>
                <w:kern w:val="0"/>
                <w:sz w:val="24"/>
                <w:szCs w:val="24"/>
              </w:rPr>
            </w:pPr>
            <w:r w:rsidRPr="00456092">
              <w:rPr>
                <w:rFonts w:ascii="Times New Roman" w:hAnsi="Times New Roman" w:cs="MinionPro-Regular"/>
                <w:kern w:val="0"/>
                <w:sz w:val="24"/>
                <w:szCs w:val="24"/>
              </w:rPr>
              <w:t>a+b+c+d</w:t>
            </w:r>
          </w:p>
        </w:tc>
      </w:tr>
    </w:tbl>
    <w:p w14:paraId="4AB6A906" w14:textId="77777777" w:rsidR="00B10EB3" w:rsidRPr="00456092" w:rsidRDefault="00B10EB3" w:rsidP="00B10EB3">
      <w:pPr>
        <w:jc w:val="left"/>
        <w:rPr>
          <w:rFonts w:ascii="Times New Roman" w:hAnsi="Times New Roman" w:cs="Times New Roman"/>
          <w:sz w:val="20"/>
          <w:szCs w:val="20"/>
        </w:rPr>
      </w:pPr>
      <w:r w:rsidRPr="00456092">
        <w:rPr>
          <w:rFonts w:ascii="Times New Roman" w:eastAsia="宋体" w:hAnsi="Times New Roman" w:cs="Times New Roman"/>
          <w:color w:val="000000" w:themeColor="text1"/>
          <w:szCs w:val="21"/>
        </w:rPr>
        <w:t xml:space="preserve"> R</w:t>
      </w:r>
      <w:r w:rsidRPr="0045609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OR </w:t>
      </w:r>
      <w:r w:rsidRPr="0045609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＝</w:t>
      </w:r>
      <w:r w:rsidRPr="00456092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(a</w:t>
      </w:r>
      <w:r w:rsidRPr="00456092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</w:rPr>
        <w:t>×</w:t>
      </w:r>
      <w:r w:rsidRPr="00456092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d)/(b</w:t>
      </w:r>
      <w:r w:rsidRPr="00456092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</w:rPr>
        <w:t>×</w:t>
      </w:r>
      <w:r w:rsidRPr="00456092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c)</w:t>
      </w:r>
      <w:r w:rsidRPr="0045609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 95%CI</w:t>
      </w:r>
      <w:r w:rsidRPr="0045609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＝</w:t>
      </w:r>
      <w:r w:rsidRPr="0045609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e</w:t>
      </w:r>
      <w:r w:rsidRPr="00456092">
        <w:rPr>
          <w:rFonts w:ascii="Times New Roman" w:eastAsia="宋体" w:hAnsi="Times New Roman" w:cs="Times New Roman"/>
          <w:color w:val="000000" w:themeColor="text1"/>
          <w:sz w:val="20"/>
          <w:szCs w:val="20"/>
          <w:vertAlign w:val="superscript"/>
        </w:rPr>
        <w:t>ln(ROR)±1.96√(1</w:t>
      </w:r>
      <w:r w:rsidRPr="00456092">
        <w:rPr>
          <w:rFonts w:ascii="Times New Roman" w:eastAsia="宋体" w:hAnsi="Times New Roman" w:cs="Times New Roman"/>
          <w:i/>
          <w:color w:val="000000" w:themeColor="text1"/>
          <w:sz w:val="20"/>
          <w:szCs w:val="20"/>
          <w:vertAlign w:val="superscript"/>
        </w:rPr>
        <w:t>/a+</w:t>
      </w:r>
      <w:r w:rsidRPr="00456092">
        <w:rPr>
          <w:rFonts w:ascii="Times New Roman" w:eastAsia="宋体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456092">
        <w:rPr>
          <w:rFonts w:ascii="Times New Roman" w:eastAsia="宋体" w:hAnsi="Times New Roman" w:cs="Times New Roman"/>
          <w:i/>
          <w:color w:val="000000" w:themeColor="text1"/>
          <w:sz w:val="20"/>
          <w:szCs w:val="20"/>
          <w:vertAlign w:val="superscript"/>
        </w:rPr>
        <w:t>/b+</w:t>
      </w:r>
      <w:r w:rsidRPr="00456092">
        <w:rPr>
          <w:rFonts w:ascii="Times New Roman" w:eastAsia="宋体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456092">
        <w:rPr>
          <w:rFonts w:ascii="Times New Roman" w:eastAsia="宋体" w:hAnsi="Times New Roman" w:cs="Times New Roman"/>
          <w:i/>
          <w:color w:val="000000" w:themeColor="text1"/>
          <w:sz w:val="20"/>
          <w:szCs w:val="20"/>
          <w:vertAlign w:val="superscript"/>
        </w:rPr>
        <w:t>/c+</w:t>
      </w:r>
      <w:r w:rsidRPr="00456092">
        <w:rPr>
          <w:rFonts w:ascii="Times New Roman" w:eastAsia="宋体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456092">
        <w:rPr>
          <w:rFonts w:ascii="Times New Roman" w:eastAsia="宋体" w:hAnsi="Times New Roman" w:cs="Times New Roman"/>
          <w:i/>
          <w:color w:val="000000" w:themeColor="text1"/>
          <w:sz w:val="20"/>
          <w:szCs w:val="20"/>
          <w:vertAlign w:val="superscript"/>
        </w:rPr>
        <w:t>/d)</w:t>
      </w:r>
    </w:p>
    <w:p w14:paraId="5C7F1DD3" w14:textId="77777777" w:rsidR="00B10EB3" w:rsidRPr="00456092" w:rsidRDefault="00B10EB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456092">
        <w:rPr>
          <w:rFonts w:ascii="Times New Roman" w:eastAsia="宋体" w:hAnsi="Times New Roman" w:cs="Times New Roman"/>
          <w:kern w:val="0"/>
          <w:sz w:val="20"/>
          <w:szCs w:val="20"/>
        </w:rPr>
        <w:br w:type="page"/>
      </w:r>
    </w:p>
    <w:p w14:paraId="3150994C" w14:textId="24B910CA" w:rsidR="00B10EB3" w:rsidRPr="00B24384" w:rsidRDefault="00E57C37" w:rsidP="00B10EB3">
      <w:pPr>
        <w:spacing w:line="360" w:lineRule="auto"/>
        <w:ind w:firstLine="420"/>
        <w:jc w:val="center"/>
        <w:rPr>
          <w:rFonts w:ascii="Times New Roman" w:hAnsi="Times New Roman" w:cs="MinionPro-Regular"/>
          <w:color w:val="000000" w:themeColor="text1"/>
          <w:kern w:val="0"/>
          <w:sz w:val="24"/>
          <w:szCs w:val="24"/>
        </w:rPr>
      </w:pPr>
      <w:r w:rsidRPr="00B24384">
        <w:rPr>
          <w:rFonts w:ascii="Times New Roman" w:hAnsi="Times New Roman"/>
          <w:color w:val="000000" w:themeColor="text1"/>
          <w:kern w:val="0"/>
          <w:sz w:val="24"/>
          <w:szCs w:val="24"/>
        </w:rPr>
        <w:lastRenderedPageBreak/>
        <w:t>Supplementary</w:t>
      </w:r>
      <w:r w:rsidRPr="00B24384">
        <w:rPr>
          <w:rFonts w:ascii="Times New Roman" w:hAnsi="Times New Roman" w:cs="MinionPro-Regular"/>
          <w:color w:val="000000" w:themeColor="text1"/>
          <w:kern w:val="0"/>
          <w:sz w:val="24"/>
          <w:szCs w:val="24"/>
        </w:rPr>
        <w:t xml:space="preserve"> </w:t>
      </w:r>
      <w:r w:rsidRPr="00B24384">
        <w:rPr>
          <w:rFonts w:ascii="Times New Roman" w:hAnsi="Times New Roman" w:cs="MinionPro-Regular" w:hint="eastAsia"/>
          <w:color w:val="000000" w:themeColor="text1"/>
          <w:kern w:val="0"/>
          <w:sz w:val="24"/>
          <w:szCs w:val="24"/>
        </w:rPr>
        <w:t>t</w:t>
      </w:r>
      <w:r w:rsidR="00B10EB3" w:rsidRPr="00B24384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able </w:t>
      </w:r>
      <w:r w:rsidR="00B10EB3" w:rsidRPr="00B24384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2 </w:t>
      </w:r>
      <w:r w:rsidR="00B10EB3" w:rsidRPr="00B24384">
        <w:rPr>
          <w:rFonts w:ascii="Times New Roman" w:hAnsi="Times New Roman"/>
          <w:color w:val="000000" w:themeColor="text1"/>
          <w:sz w:val="24"/>
          <w:szCs w:val="24"/>
        </w:rPr>
        <w:t>The top 50 list of</w:t>
      </w:r>
      <w:r w:rsidR="00B10EB3" w:rsidRPr="00B24384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="00B10EB3" w:rsidRPr="00B24384">
        <w:rPr>
          <w:rFonts w:ascii="Times New Roman" w:hAnsi="Times New Roman"/>
          <w:color w:val="000000" w:themeColor="text1"/>
          <w:sz w:val="24"/>
          <w:szCs w:val="24"/>
        </w:rPr>
        <w:t>PTs with</w:t>
      </w:r>
      <w:r w:rsidR="00B10EB3" w:rsidRPr="00B24384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most frequently significant ROR</w:t>
      </w:r>
      <w:r w:rsidR="00B10EB3" w:rsidRPr="00B24384">
        <w:rPr>
          <w:rFonts w:ascii="Times New Roman" w:hAnsi="Times New Roman"/>
          <w:color w:val="000000" w:themeColor="text1"/>
          <w:sz w:val="24"/>
          <w:szCs w:val="24"/>
        </w:rPr>
        <w:t xml:space="preserve"> for EGFR-TKIs</w:t>
      </w:r>
    </w:p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3984"/>
        <w:gridCol w:w="960"/>
        <w:gridCol w:w="1592"/>
        <w:gridCol w:w="2126"/>
      </w:tblGrid>
      <w:tr w:rsidR="00B10EB3" w:rsidRPr="00456092" w14:paraId="29B6D213" w14:textId="77777777" w:rsidTr="00456092">
        <w:trPr>
          <w:trHeight w:val="288"/>
        </w:trPr>
        <w:tc>
          <w:tcPr>
            <w:tcW w:w="3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5C93B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Type of adverse events</w:t>
            </w:r>
          </w:p>
          <w:p w14:paraId="6AD5C75B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(preferred terms level)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4DCFB1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09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586DB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ROR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B332F6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Lower limit of the 95% two-sided (CI)</w:t>
            </w:r>
          </w:p>
        </w:tc>
      </w:tr>
      <w:tr w:rsidR="00B10EB3" w:rsidRPr="00456092" w14:paraId="2F6293F9" w14:textId="77777777" w:rsidTr="00456092">
        <w:trPr>
          <w:trHeight w:val="288"/>
        </w:trPr>
        <w:tc>
          <w:tcPr>
            <w:tcW w:w="398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5DA0C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Death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AF293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5759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8C0AE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5.98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48D6E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(5.8)</w:t>
            </w:r>
          </w:p>
        </w:tc>
      </w:tr>
      <w:tr w:rsidR="00B10EB3" w:rsidRPr="00456092" w14:paraId="18EB9145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3D37738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Rash</w:t>
            </w:r>
            <w:r w:rsidR="002F2146" w:rsidRPr="002F214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18F4A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3639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2CBBE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9.19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F2B44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(8.87)</w:t>
            </w:r>
          </w:p>
        </w:tc>
      </w:tr>
      <w:tr w:rsidR="00B10EB3" w:rsidRPr="00456092" w14:paraId="66175100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030B512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Diarrhoea</w:t>
            </w:r>
            <w:r w:rsidR="002F2146" w:rsidRPr="002F214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F4571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3407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7A19F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5.86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129F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(5.65)</w:t>
            </w:r>
          </w:p>
        </w:tc>
      </w:tr>
      <w:tr w:rsidR="00B10EB3" w:rsidRPr="00456092" w14:paraId="31C61FDC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78B54C7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Malignant neoplasm progression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01FB9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1336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DD658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17.68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4DB84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(16.71)</w:t>
            </w:r>
          </w:p>
        </w:tc>
      </w:tr>
      <w:tr w:rsidR="00B10EB3" w:rsidRPr="00456092" w14:paraId="485F2428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8C10AA6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Disease progression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23FF9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1007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CF9BD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7.86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5B009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(7.38)</w:t>
            </w:r>
          </w:p>
        </w:tc>
      </w:tr>
      <w:tr w:rsidR="00B10EB3" w:rsidRPr="00456092" w14:paraId="29D7AE9F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4FAF909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Decreased appetite</w:t>
            </w:r>
            <w:r w:rsidR="002F2146" w:rsidRPr="002F214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09454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72DFD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3.49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C03B9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(3.27)</w:t>
            </w:r>
          </w:p>
        </w:tc>
      </w:tr>
      <w:tr w:rsidR="00B10EB3" w:rsidRPr="00456092" w14:paraId="54EE410E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252CF38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Pneumonia</w:t>
            </w:r>
            <w:r w:rsidR="00BE2EB9" w:rsidRPr="002F214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47FCB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747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77087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4C676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(1.92)</w:t>
            </w:r>
          </w:p>
        </w:tc>
      </w:tr>
      <w:tr w:rsidR="00B10EB3" w:rsidRPr="00456092" w14:paraId="37D3D3CF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342AC06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Dehydration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E4F47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605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41C40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3.55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CABB3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(3.28)</w:t>
            </w:r>
          </w:p>
        </w:tc>
      </w:tr>
      <w:tr w:rsidR="00B10EB3" w:rsidRPr="00456092" w14:paraId="7F626D9B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471879C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Interstitial lung disease</w:t>
            </w:r>
            <w:r w:rsidR="002F2146" w:rsidRPr="002F214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C5C97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502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8DC6E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9.67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D3E0D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(8.84)</w:t>
            </w:r>
          </w:p>
        </w:tc>
      </w:tr>
      <w:tr w:rsidR="00B10EB3" w:rsidRPr="00456092" w14:paraId="37AB37A3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E13E14B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Acne</w:t>
            </w:r>
            <w:r w:rsidR="002F2146" w:rsidRPr="002F214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7028A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446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9518F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11.86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AA43B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(10.77)</w:t>
            </w:r>
          </w:p>
        </w:tc>
      </w:tr>
      <w:tr w:rsidR="00B10EB3" w:rsidRPr="00456092" w14:paraId="10AAEDD7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E8237A4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Stomatitis</w:t>
            </w:r>
            <w:r w:rsidR="002F2146" w:rsidRPr="002F214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D56BC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426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54110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7.20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DE9B1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(6.53)</w:t>
            </w:r>
          </w:p>
        </w:tc>
      </w:tr>
      <w:tr w:rsidR="00B10EB3" w:rsidRPr="00456092" w14:paraId="11B2DF6F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8730FF9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Alopecia</w:t>
            </w:r>
            <w:r w:rsidR="002F2146" w:rsidRPr="002F214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88625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425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F063F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F5955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(1.89)</w:t>
            </w:r>
          </w:p>
        </w:tc>
      </w:tr>
      <w:tr w:rsidR="00B10EB3" w:rsidRPr="00456092" w14:paraId="32A871B1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63258BA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Pleural effusion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2A247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421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834F1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5.21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3CF66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(4.73)</w:t>
            </w:r>
          </w:p>
        </w:tc>
      </w:tr>
      <w:tr w:rsidR="00B10EB3" w:rsidRPr="00456092" w14:paraId="58931498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31E73E3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Respiratory failure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0841C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377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90C4E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3.72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9C68D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(3.36)</w:t>
            </w:r>
          </w:p>
        </w:tc>
      </w:tr>
      <w:tr w:rsidR="00B10EB3" w:rsidRPr="00456092" w14:paraId="097B5176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D89F159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Incorrect dose administered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CACE9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356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24EB9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2.11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2CE26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(1.9)</w:t>
            </w:r>
          </w:p>
        </w:tc>
      </w:tr>
      <w:tr w:rsidR="00B10EB3" w:rsidRPr="00456092" w14:paraId="6D2812F7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AF0E48C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Neoplasm malignant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CB00A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356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A6006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4.24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2B1B3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(3.81)</w:t>
            </w:r>
          </w:p>
        </w:tc>
      </w:tr>
      <w:tr w:rsidR="00B10EB3" w:rsidRPr="00456092" w14:paraId="3ADF2D64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56C7FFF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Dermatitis acneiform</w:t>
            </w:r>
            <w:r w:rsidR="002F2146" w:rsidRPr="002F214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733A1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460BB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59.37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FDD71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(52.48)</w:t>
            </w:r>
          </w:p>
        </w:tc>
      </w:tr>
      <w:tr w:rsidR="00B10EB3" w:rsidRPr="00456092" w14:paraId="0694DFE6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EDD1A0A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Metastases to central nervous system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CBAC4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315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5AF77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25.86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96642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(23)</w:t>
            </w:r>
          </w:p>
        </w:tc>
      </w:tr>
      <w:tr w:rsidR="00B10EB3" w:rsidRPr="00456092" w14:paraId="2589E3A9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85E4004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Lung neoplasm malignant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A9B89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291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DDEEA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7.81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D927F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(6.95)</w:t>
            </w:r>
          </w:p>
        </w:tc>
      </w:tr>
      <w:tr w:rsidR="00B10EB3" w:rsidRPr="00456092" w14:paraId="60EC00D5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5EF95D9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Lung disorder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47C4D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258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160FA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4.54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229D7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(4.01)</w:t>
            </w:r>
          </w:p>
        </w:tc>
      </w:tr>
      <w:tr w:rsidR="00B10EB3" w:rsidRPr="00456092" w14:paraId="005FCAB3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8E8E284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Haemoptysis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6B472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244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57918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7.13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354FA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(6.27)</w:t>
            </w:r>
          </w:p>
        </w:tc>
      </w:tr>
      <w:tr w:rsidR="00B10EB3" w:rsidRPr="00456092" w14:paraId="21CC99EA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5EFDA44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Hepatic function abnormal</w:t>
            </w:r>
            <w:r w:rsidR="002F2146" w:rsidRPr="002F214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5471D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5CE52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5.30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8EEC3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(4.65)</w:t>
            </w:r>
          </w:p>
        </w:tc>
      </w:tr>
      <w:tr w:rsidR="00B10EB3" w:rsidRPr="00456092" w14:paraId="7C3A6292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1396F23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Epistaxis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97658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DE5A3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2.27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F659F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(1.98)</w:t>
            </w:r>
          </w:p>
        </w:tc>
      </w:tr>
      <w:tr w:rsidR="00B10EB3" w:rsidRPr="00456092" w14:paraId="2402CBD2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6E464C3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Skin exfoliation</w:t>
            </w:r>
            <w:r w:rsidR="000336FA" w:rsidRPr="002F214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A7211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216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6DF3A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4.24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E80DF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(3.7)</w:t>
            </w:r>
          </w:p>
        </w:tc>
      </w:tr>
      <w:tr w:rsidR="00B10EB3" w:rsidRPr="00456092" w14:paraId="2FCE9920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A5204D8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Paronychia</w:t>
            </w:r>
            <w:r w:rsidR="000336FA" w:rsidRPr="002F214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085DE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C86B7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60.25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8F7FF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(51.71)</w:t>
            </w:r>
          </w:p>
        </w:tc>
      </w:tr>
      <w:tr w:rsidR="00B10EB3" w:rsidRPr="00456092" w14:paraId="37B84BD3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3D52FE7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Liver disorder</w:t>
            </w:r>
            <w:r w:rsidR="000336FA" w:rsidRPr="002F214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B6B23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203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9FCBA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12B56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(2.83)</w:t>
            </w:r>
          </w:p>
        </w:tc>
      </w:tr>
      <w:tr w:rsidR="00B10EB3" w:rsidRPr="00456092" w14:paraId="633FE9BF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4419F5E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Pneumonitis</w:t>
            </w:r>
            <w:r w:rsidR="009A3223" w:rsidRPr="002F214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B9816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193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67403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7.85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D5FC6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(6.79)</w:t>
            </w:r>
          </w:p>
        </w:tc>
      </w:tr>
      <w:tr w:rsidR="00B10EB3" w:rsidRPr="00456092" w14:paraId="2B9A8C32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5F734C8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Hyponatraemia</w:t>
            </w:r>
            <w:r w:rsidR="000336FA" w:rsidRPr="002F214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0A1D1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C9B80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2.80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66FC4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(2.41)</w:t>
            </w:r>
          </w:p>
        </w:tc>
      </w:tr>
      <w:tr w:rsidR="00B10EB3" w:rsidRPr="00456092" w14:paraId="458E3500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3011368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Aspartate aminotransferase increased</w:t>
            </w:r>
            <w:r w:rsidR="000336FA" w:rsidRPr="002F214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2744B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43038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ABF6C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(1.74)</w:t>
            </w:r>
          </w:p>
        </w:tc>
      </w:tr>
      <w:tr w:rsidR="00B10EB3" w:rsidRPr="00456092" w14:paraId="20739217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B9425A0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Mucosal inflammation</w:t>
            </w:r>
            <w:r w:rsidR="00BE2EB9" w:rsidRPr="002F214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46927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2EB16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5.64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196D1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(4.83)</w:t>
            </w:r>
          </w:p>
        </w:tc>
      </w:tr>
      <w:tr w:rsidR="00B10EB3" w:rsidRPr="00456092" w14:paraId="169DA746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CB83EBF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Skin disorder</w:t>
            </w:r>
            <w:r w:rsidR="00BE2EB9" w:rsidRPr="002F214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BED52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C24A6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4.46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6E78C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(3.82)</w:t>
            </w:r>
          </w:p>
        </w:tc>
      </w:tr>
      <w:tr w:rsidR="00B10EB3" w:rsidRPr="00456092" w14:paraId="329EAE39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926F1DC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Neoplasm progression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95F10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0AFFF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5.08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C928B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(4.32)</w:t>
            </w:r>
          </w:p>
        </w:tc>
      </w:tr>
      <w:tr w:rsidR="00B10EB3" w:rsidRPr="00456092" w14:paraId="3C327C41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C8E7E60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Hypoxia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EF28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DB9E9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3.76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1D419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(3.19)</w:t>
            </w:r>
          </w:p>
        </w:tc>
      </w:tr>
      <w:tr w:rsidR="00B10EB3" w:rsidRPr="00456092" w14:paraId="77F9022B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7D593CA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Hypokalaemia</w:t>
            </w:r>
            <w:r w:rsidR="000336FA" w:rsidRPr="002F214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3A5D7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E13E1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2.78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D725D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(2.35)</w:t>
            </w:r>
          </w:p>
        </w:tc>
      </w:tr>
      <w:tr w:rsidR="00B10EB3" w:rsidRPr="00456092" w14:paraId="06AE624A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6D52827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Pulmonary oedema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235CF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139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737A3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2.29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E6891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(1.94)</w:t>
            </w:r>
          </w:p>
        </w:tc>
      </w:tr>
      <w:tr w:rsidR="00B10EB3" w:rsidRPr="00456092" w14:paraId="21BF7ECA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AFD5BAA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Skin ulcer</w:t>
            </w:r>
            <w:r w:rsidR="00BE2EB9" w:rsidRPr="002F214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27E19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C49F2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4.37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D799D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(3.69)</w:t>
            </w:r>
          </w:p>
        </w:tc>
      </w:tr>
      <w:tr w:rsidR="00B10EB3" w:rsidRPr="00456092" w14:paraId="4D8A7FAA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A6FBD82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Metastases to bone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611EC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A6194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8.54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E323E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(7.18)</w:t>
            </w:r>
          </w:p>
        </w:tc>
      </w:tr>
      <w:tr w:rsidR="00B10EB3" w:rsidRPr="00456092" w14:paraId="35A19CE9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550826F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Rash pruritic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8C8D3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CFABA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2.27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B94A0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(1.91)</w:t>
            </w:r>
          </w:p>
        </w:tc>
      </w:tr>
      <w:tr w:rsidR="00B10EB3" w:rsidRPr="00456092" w14:paraId="5ACE487F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40D67DF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Drug resistance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68597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FD8CE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5.76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D46B4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(4.81)</w:t>
            </w:r>
          </w:p>
        </w:tc>
      </w:tr>
      <w:tr w:rsidR="00B10EB3" w:rsidRPr="00456092" w14:paraId="260F1D8C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6C01990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Non-small cell lung cancer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17299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5FD6D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34.90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7E7AA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(28.86)</w:t>
            </w:r>
          </w:p>
        </w:tc>
      </w:tr>
      <w:tr w:rsidR="00B10EB3" w:rsidRPr="00456092" w14:paraId="300D5581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CED4250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Skin fissures</w:t>
            </w:r>
            <w:r w:rsidR="000336FA" w:rsidRPr="002F214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5CCF8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51661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12.00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865FC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(9.99)</w:t>
            </w:r>
          </w:p>
        </w:tc>
      </w:tr>
      <w:tr w:rsidR="00B10EB3" w:rsidRPr="00456092" w14:paraId="677B0EC4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A96115B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Metastases to liver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47B38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7DECC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6.64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B0E93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(5.53)</w:t>
            </w:r>
          </w:p>
        </w:tc>
      </w:tr>
      <w:tr w:rsidR="00B10EB3" w:rsidRPr="00456092" w14:paraId="15F74966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6F26EA9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Blood bilirubin increased</w:t>
            </w:r>
            <w:r w:rsidR="00BE2EB9" w:rsidRPr="002F214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C3418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74960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2.65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69463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(2.21)</w:t>
            </w:r>
          </w:p>
        </w:tc>
      </w:tr>
      <w:tr w:rsidR="00B10EB3" w:rsidRPr="00456092" w14:paraId="5E6985AB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AC780B5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Dry eye</w:t>
            </w:r>
            <w:r w:rsidR="000336FA" w:rsidRPr="002F214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17180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C1BDB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3.16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59107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(2.63)</w:t>
            </w:r>
          </w:p>
        </w:tc>
      </w:tr>
      <w:tr w:rsidR="00B10EB3" w:rsidRPr="00456092" w14:paraId="1ADA6ABA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139DFF1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Pneumothorax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0ECD3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A5768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81B41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(4.15)</w:t>
            </w:r>
          </w:p>
        </w:tc>
      </w:tr>
      <w:tr w:rsidR="00B10EB3" w:rsidRPr="00456092" w14:paraId="5269C3EF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83D1A71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Eye irritation</w:t>
            </w:r>
            <w:r w:rsidR="002F2146" w:rsidRPr="002F214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C35B8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5B76D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A9382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(1.94)</w:t>
            </w:r>
          </w:p>
        </w:tc>
      </w:tr>
      <w:tr w:rsidR="00B10EB3" w:rsidRPr="00456092" w14:paraId="25DDDDCB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E8E7C45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Nail disorder</w:t>
            </w:r>
            <w:r w:rsidR="002F2146" w:rsidRPr="002F214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231BD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102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B1539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11.51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A0565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(9.43)</w:t>
            </w:r>
          </w:p>
        </w:tc>
      </w:tr>
      <w:tr w:rsidR="00B10EB3" w:rsidRPr="00456092" w14:paraId="67C1D29B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B927004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Rash pustular</w:t>
            </w:r>
            <w:r w:rsidR="002F2146" w:rsidRPr="002F214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016EE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101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C7B41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9.34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161CE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(7.66)</w:t>
            </w:r>
          </w:p>
        </w:tc>
      </w:tr>
      <w:tr w:rsidR="00B10EB3" w:rsidRPr="00456092" w14:paraId="69FB2206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1B97C0C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Hair growth abnormal</w:t>
            </w:r>
            <w:r w:rsidR="002F2146" w:rsidRPr="002F214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895E1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</w:t>
            </w:r>
          </w:p>
        </w:tc>
        <w:tc>
          <w:tcPr>
            <w:tcW w:w="15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A9115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11.23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CC340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(9.17)</w:t>
            </w:r>
          </w:p>
        </w:tc>
      </w:tr>
      <w:tr w:rsidR="00B10EB3" w:rsidRPr="00456092" w14:paraId="2FA3D1D4" w14:textId="77777777" w:rsidTr="00456092">
        <w:trPr>
          <w:trHeight w:val="288"/>
        </w:trPr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2552DB9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I</w:t>
            </w: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ntestinal obstruction</w:t>
            </w:r>
            <w:r w:rsidR="002F2146" w:rsidRPr="002F2146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80179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ED750C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00B06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(1.87)</w:t>
            </w:r>
          </w:p>
        </w:tc>
      </w:tr>
    </w:tbl>
    <w:p w14:paraId="3AB57407" w14:textId="77777777" w:rsidR="00B10EB3" w:rsidRPr="00456092" w:rsidRDefault="00B10EB3" w:rsidP="0082259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14:paraId="5E310B5B" w14:textId="77777777" w:rsidR="0082259F" w:rsidRPr="00456092" w:rsidRDefault="0082259F" w:rsidP="0082259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456092">
        <w:rPr>
          <w:rFonts w:ascii="Times New Roman" w:eastAsia="宋体" w:hAnsi="Times New Roman" w:cs="Times New Roman"/>
          <w:kern w:val="0"/>
          <w:sz w:val="20"/>
          <w:szCs w:val="20"/>
        </w:rPr>
        <w:t xml:space="preserve">N: the number of </w:t>
      </w:r>
      <w:r w:rsidRPr="00456092">
        <w:rPr>
          <w:rFonts w:ascii="Times New Roman" w:hAnsi="Times New Roman" w:cs="Times New Roman"/>
          <w:sz w:val="20"/>
          <w:szCs w:val="20"/>
        </w:rPr>
        <w:t>ad</w:t>
      </w:r>
      <w:r w:rsidRPr="00456092">
        <w:rPr>
          <w:rFonts w:ascii="Times New Roman" w:hAnsi="Times New Roman" w:cs="Times New Roman"/>
          <w:sz w:val="20"/>
          <w:szCs w:val="20"/>
        </w:rPr>
        <w:softHyphen/>
        <w:t>verse events reports.</w:t>
      </w:r>
    </w:p>
    <w:p w14:paraId="1A8D8198" w14:textId="77777777" w:rsidR="0082259F" w:rsidRPr="00456092" w:rsidRDefault="0082259F" w:rsidP="0082259F">
      <w:pPr>
        <w:rPr>
          <w:rFonts w:ascii="Times New Roman" w:hAnsi="Times New Roman" w:cs="Times New Roman"/>
          <w:sz w:val="20"/>
          <w:szCs w:val="20"/>
        </w:rPr>
      </w:pPr>
      <w:r w:rsidRPr="00456092">
        <w:rPr>
          <w:rFonts w:ascii="Times New Roman" w:eastAsia="宋体" w:hAnsi="Times New Roman" w:cs="Times New Roman"/>
          <w:kern w:val="0"/>
          <w:sz w:val="20"/>
          <w:szCs w:val="20"/>
        </w:rPr>
        <w:t>ROR: the reporting odds ratio</w:t>
      </w:r>
    </w:p>
    <w:p w14:paraId="41B16E66" w14:textId="77777777" w:rsidR="0082259F" w:rsidRDefault="0082259F" w:rsidP="0082259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456092">
        <w:rPr>
          <w:rFonts w:ascii="Times New Roman" w:eastAsia="宋体" w:hAnsi="Times New Roman" w:cs="Times New Roman"/>
          <w:kern w:val="0"/>
          <w:sz w:val="20"/>
          <w:szCs w:val="20"/>
        </w:rPr>
        <w:t>CI: the confidence interval</w:t>
      </w:r>
    </w:p>
    <w:p w14:paraId="4EE51226" w14:textId="77777777" w:rsidR="002F6402" w:rsidRPr="00456092" w:rsidRDefault="002F6402" w:rsidP="0082259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2F2146">
        <w:rPr>
          <w:rFonts w:ascii="Times New Roman" w:eastAsia="宋体" w:hAnsi="Times New Roman" w:cs="Times New Roman" w:hint="eastAsia"/>
          <w:kern w:val="0"/>
          <w:sz w:val="20"/>
          <w:szCs w:val="20"/>
          <w:vertAlign w:val="superscript"/>
        </w:rPr>
        <w:t>*</w:t>
      </w:r>
      <w:r w:rsidR="002F2146">
        <w:rPr>
          <w:rFonts w:ascii="Times New Roman" w:eastAsia="宋体" w:hAnsi="Times New Roman" w:cs="Times New Roman" w:hint="eastAsia"/>
          <w:kern w:val="0"/>
          <w:sz w:val="20"/>
          <w:szCs w:val="20"/>
        </w:rPr>
        <w:t>included for further analysis</w:t>
      </w:r>
    </w:p>
    <w:p w14:paraId="44F62681" w14:textId="77777777" w:rsidR="00B10EB3" w:rsidRPr="00456092" w:rsidRDefault="00B10EB3">
      <w:pPr>
        <w:widowControl/>
        <w:jc w:val="left"/>
      </w:pPr>
      <w:r w:rsidRPr="00456092">
        <w:br w:type="page"/>
      </w:r>
    </w:p>
    <w:p w14:paraId="74046DD2" w14:textId="3EA454CA" w:rsidR="00B10EB3" w:rsidRPr="00B24384" w:rsidRDefault="00E57C37" w:rsidP="00BA5EA3">
      <w:pPr>
        <w:pStyle w:val="Default"/>
        <w:jc w:val="center"/>
        <w:rPr>
          <w:rFonts w:ascii="Times New Roman" w:hAnsi="Times New Roman"/>
          <w:color w:val="000000" w:themeColor="text1"/>
        </w:rPr>
      </w:pPr>
      <w:r w:rsidRPr="00B24384">
        <w:rPr>
          <w:rFonts w:ascii="Times New Roman" w:hAnsi="Times New Roman"/>
          <w:color w:val="000000" w:themeColor="text1"/>
        </w:rPr>
        <w:lastRenderedPageBreak/>
        <w:t xml:space="preserve">Supplementary </w:t>
      </w:r>
      <w:r w:rsidRPr="00B24384">
        <w:rPr>
          <w:rFonts w:ascii="Times New Roman" w:hAnsi="Times New Roman" w:hint="eastAsia"/>
          <w:color w:val="000000" w:themeColor="text1"/>
        </w:rPr>
        <w:t>t</w:t>
      </w:r>
      <w:r w:rsidRPr="00B24384">
        <w:rPr>
          <w:rFonts w:ascii="Times New Roman" w:hAnsi="Times New Roman"/>
          <w:color w:val="000000" w:themeColor="text1"/>
        </w:rPr>
        <w:t>able </w:t>
      </w:r>
      <w:r w:rsidRPr="00B24384">
        <w:rPr>
          <w:rFonts w:ascii="Times New Roman" w:hAnsi="Times New Roman" w:hint="eastAsia"/>
          <w:color w:val="000000" w:themeColor="text1"/>
        </w:rPr>
        <w:t xml:space="preserve">3 </w:t>
      </w:r>
      <w:r w:rsidRPr="00B24384">
        <w:rPr>
          <w:rFonts w:ascii="Times New Roman" w:hAnsi="Times New Roman"/>
          <w:color w:val="000000" w:themeColor="text1"/>
        </w:rPr>
        <w:t xml:space="preserve">Search </w:t>
      </w:r>
      <w:r w:rsidRPr="00B24384">
        <w:rPr>
          <w:rFonts w:ascii="Times New Roman" w:hAnsi="Times New Roman" w:hint="eastAsia"/>
          <w:color w:val="000000" w:themeColor="text1"/>
        </w:rPr>
        <w:t>s</w:t>
      </w:r>
      <w:r w:rsidRPr="00B24384">
        <w:rPr>
          <w:rFonts w:ascii="Times New Roman" w:hAnsi="Times New Roman"/>
          <w:color w:val="000000" w:themeColor="text1"/>
        </w:rPr>
        <w:t>trategy</w:t>
      </w:r>
      <w:r w:rsidRPr="00B24384">
        <w:rPr>
          <w:rFonts w:ascii="Times New Roman" w:hAnsi="Times New Roman" w:hint="eastAsia"/>
          <w:color w:val="000000" w:themeColor="text1"/>
        </w:rPr>
        <w:t xml:space="preserve"> of the o</w:t>
      </w:r>
      <w:r w:rsidR="00B10EB3" w:rsidRPr="00B24384">
        <w:rPr>
          <w:rFonts w:ascii="Times New Roman" w:hAnsi="Times New Roman" w:hint="eastAsia"/>
          <w:color w:val="000000" w:themeColor="text1"/>
        </w:rPr>
        <w:t>verview of</w:t>
      </w:r>
      <w:r w:rsidR="00B10EB3" w:rsidRPr="00B24384">
        <w:rPr>
          <w:rFonts w:ascii="Times New Roman" w:hAnsi="Times New Roman"/>
          <w:color w:val="000000" w:themeColor="text1"/>
        </w:rPr>
        <w:t xml:space="preserve"> system reviews</w:t>
      </w:r>
    </w:p>
    <w:tbl>
      <w:tblPr>
        <w:tblW w:w="9404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65"/>
        <w:gridCol w:w="7039"/>
      </w:tblGrid>
      <w:tr w:rsidR="00B10EB3" w:rsidRPr="00456092" w14:paraId="2FAD8201" w14:textId="77777777" w:rsidTr="00403456">
        <w:trPr>
          <w:trHeight w:val="240"/>
          <w:jc w:val="center"/>
        </w:trPr>
        <w:tc>
          <w:tcPr>
            <w:tcW w:w="2365" w:type="dxa"/>
            <w:tcBorders>
              <w:bottom w:val="nil"/>
            </w:tcBorders>
            <w:shd w:val="clear" w:color="auto" w:fill="FFFFFF" w:themeFill="background1"/>
            <w:vAlign w:val="center"/>
            <w:hideMark/>
          </w:tcPr>
          <w:p w14:paraId="426EA781" w14:textId="77777777" w:rsidR="00B10EB3" w:rsidRPr="00456092" w:rsidRDefault="00B10EB3" w:rsidP="00890760">
            <w:pPr>
              <w:widowControl/>
              <w:ind w:rightChars="-79" w:right="-166"/>
              <w:jc w:val="center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2"/>
              </w:rPr>
              <w:t>Source</w:t>
            </w:r>
          </w:p>
        </w:tc>
        <w:tc>
          <w:tcPr>
            <w:tcW w:w="7039" w:type="dxa"/>
            <w:tcBorders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14:paraId="2A1CD894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MEDLINE - </w:t>
            </w:r>
            <w:r w:rsidR="00907645"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PubMed</w:t>
            </w:r>
          </w:p>
        </w:tc>
      </w:tr>
      <w:tr w:rsidR="00B10EB3" w:rsidRPr="00456092" w14:paraId="2A8CD81E" w14:textId="77777777" w:rsidTr="00403456">
        <w:trPr>
          <w:trHeight w:val="240"/>
          <w:jc w:val="center"/>
        </w:trPr>
        <w:tc>
          <w:tcPr>
            <w:tcW w:w="236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  <w:hideMark/>
          </w:tcPr>
          <w:p w14:paraId="2E612AD8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2"/>
              </w:rPr>
              <w:t>Dictionary</w:t>
            </w:r>
          </w:p>
        </w:tc>
        <w:tc>
          <w:tcPr>
            <w:tcW w:w="7039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14:paraId="60B56913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MESH Term</w:t>
            </w:r>
          </w:p>
        </w:tc>
      </w:tr>
      <w:tr w:rsidR="00B10EB3" w:rsidRPr="00456092" w14:paraId="7D917379" w14:textId="77777777" w:rsidTr="00403456">
        <w:trPr>
          <w:trHeight w:val="240"/>
          <w:jc w:val="center"/>
        </w:trPr>
        <w:tc>
          <w:tcPr>
            <w:tcW w:w="236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  <w:hideMark/>
          </w:tcPr>
          <w:p w14:paraId="784BC50C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2"/>
              </w:rPr>
              <w:t>Language</w:t>
            </w:r>
          </w:p>
        </w:tc>
        <w:tc>
          <w:tcPr>
            <w:tcW w:w="7039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14:paraId="0DD34883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English</w:t>
            </w:r>
          </w:p>
        </w:tc>
      </w:tr>
      <w:tr w:rsidR="00B10EB3" w:rsidRPr="00456092" w14:paraId="2E9A9AB9" w14:textId="77777777" w:rsidTr="00403456">
        <w:trPr>
          <w:trHeight w:val="240"/>
          <w:jc w:val="center"/>
        </w:trPr>
        <w:tc>
          <w:tcPr>
            <w:tcW w:w="236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  <w:hideMark/>
          </w:tcPr>
          <w:p w14:paraId="5007D767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2"/>
              </w:rPr>
              <w:t>Period</w:t>
            </w:r>
          </w:p>
        </w:tc>
        <w:tc>
          <w:tcPr>
            <w:tcW w:w="7039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14:paraId="57DF5A5E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1/1/</w:t>
            </w: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1967-30/4/2019</w:t>
            </w:r>
          </w:p>
        </w:tc>
      </w:tr>
      <w:tr w:rsidR="00B10EB3" w:rsidRPr="00456092" w14:paraId="2D5CA9E0" w14:textId="77777777" w:rsidTr="00403456">
        <w:trPr>
          <w:trHeight w:val="240"/>
          <w:jc w:val="center"/>
        </w:trPr>
        <w:tc>
          <w:tcPr>
            <w:tcW w:w="236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  <w:hideMark/>
          </w:tcPr>
          <w:p w14:paraId="7C2E6520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2"/>
              </w:rPr>
              <w:t>Search Terms</w:t>
            </w:r>
          </w:p>
        </w:tc>
        <w:tc>
          <w:tcPr>
            <w:tcW w:w="7039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14:paraId="1AEA6620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(gefitinib OR erlotinib OR afatinib OR osimertinib) AND </w:t>
            </w:r>
            <w:r w:rsidRPr="0045609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br/>
            </w: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("adverse drug reactions" OR "adverse drug reaction" OR safety OR toxicity)</w:t>
            </w:r>
          </w:p>
        </w:tc>
      </w:tr>
      <w:tr w:rsidR="00B10EB3" w:rsidRPr="00456092" w14:paraId="7E1E9AF7" w14:textId="77777777" w:rsidTr="00403456">
        <w:trPr>
          <w:trHeight w:val="240"/>
          <w:jc w:val="center"/>
        </w:trPr>
        <w:tc>
          <w:tcPr>
            <w:tcW w:w="236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  <w:hideMark/>
          </w:tcPr>
          <w:p w14:paraId="56EDBE74" w14:textId="77777777" w:rsidR="00B10EB3" w:rsidRPr="00456092" w:rsidRDefault="00B10EB3" w:rsidP="00890760">
            <w:pPr>
              <w:widowControl/>
              <w:ind w:rightChars="-68" w:right="-143"/>
              <w:jc w:val="center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2"/>
              </w:rPr>
              <w:t>Restrictions/filters</w:t>
            </w:r>
          </w:p>
        </w:tc>
        <w:tc>
          <w:tcPr>
            <w:tcW w:w="7039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14:paraId="79B05E4D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human, </w:t>
            </w:r>
            <w:r w:rsidR="00907645"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English</w:t>
            </w: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, systematic review, meta-analysis</w:t>
            </w:r>
          </w:p>
        </w:tc>
      </w:tr>
      <w:tr w:rsidR="00B10EB3" w:rsidRPr="00456092" w14:paraId="72270B0A" w14:textId="77777777" w:rsidTr="00403456">
        <w:trPr>
          <w:trHeight w:val="240"/>
          <w:jc w:val="center"/>
        </w:trPr>
        <w:tc>
          <w:tcPr>
            <w:tcW w:w="236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  <w:hideMark/>
          </w:tcPr>
          <w:p w14:paraId="772C049E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2"/>
              </w:rPr>
              <w:t>Additional procedure undertaken</w:t>
            </w:r>
          </w:p>
        </w:tc>
        <w:tc>
          <w:tcPr>
            <w:tcW w:w="7039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14:paraId="6EBA0A38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full text assessment</w:t>
            </w:r>
          </w:p>
        </w:tc>
      </w:tr>
      <w:tr w:rsidR="00B10EB3" w:rsidRPr="00456092" w14:paraId="379DD243" w14:textId="77777777" w:rsidTr="00403456">
        <w:trPr>
          <w:trHeight w:val="240"/>
          <w:jc w:val="center"/>
        </w:trPr>
        <w:tc>
          <w:tcPr>
            <w:tcW w:w="2365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DF72D8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2"/>
              </w:rPr>
              <w:t xml:space="preserve">Final </w:t>
            </w:r>
            <w:r w:rsidR="0052506E">
              <w:rPr>
                <w:rFonts w:ascii="Times New Roman" w:eastAsia="宋体" w:hAnsi="Times New Roman" w:cs="Times New Roman" w:hint="eastAsia"/>
                <w:b/>
                <w:i/>
                <w:iCs/>
                <w:color w:val="000000"/>
                <w:kern w:val="0"/>
                <w:sz w:val="22"/>
              </w:rPr>
              <w:t>r</w:t>
            </w:r>
            <w:r w:rsidRPr="00456092"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2"/>
              </w:rPr>
              <w:t>eferences</w:t>
            </w:r>
          </w:p>
        </w:tc>
        <w:tc>
          <w:tcPr>
            <w:tcW w:w="7039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45BE2E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</w:tbl>
    <w:p w14:paraId="3C982F3A" w14:textId="77777777" w:rsidR="00B10EB3" w:rsidRPr="00456092" w:rsidRDefault="00B10EB3" w:rsidP="00B10EB3">
      <w:pPr>
        <w:pStyle w:val="Default"/>
        <w:rPr>
          <w:color w:val="16365D"/>
          <w:sz w:val="44"/>
          <w:szCs w:val="44"/>
        </w:rPr>
        <w:sectPr w:rsidR="00B10EB3" w:rsidRPr="00456092" w:rsidSect="002C43D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5948F76" w14:textId="7B704733" w:rsidR="00B10EB3" w:rsidRPr="00B24384" w:rsidRDefault="00E57C37" w:rsidP="00E57C37">
      <w:pPr>
        <w:pStyle w:val="Default"/>
        <w:jc w:val="center"/>
        <w:rPr>
          <w:rFonts w:ascii="Times New Roman" w:hAnsi="Times New Roman"/>
          <w:color w:val="000000" w:themeColor="text1"/>
        </w:rPr>
      </w:pPr>
      <w:bookmarkStart w:id="2" w:name="_GoBack"/>
      <w:r w:rsidRPr="00B24384">
        <w:rPr>
          <w:rFonts w:ascii="Times New Roman" w:hAnsi="Times New Roman"/>
          <w:color w:val="000000" w:themeColor="text1"/>
        </w:rPr>
        <w:lastRenderedPageBreak/>
        <w:t xml:space="preserve">Supplementary </w:t>
      </w:r>
      <w:r w:rsidRPr="00B24384">
        <w:rPr>
          <w:rFonts w:ascii="Times New Roman" w:hAnsi="Times New Roman" w:hint="eastAsia"/>
          <w:color w:val="000000" w:themeColor="text1"/>
        </w:rPr>
        <w:t>t</w:t>
      </w:r>
      <w:r w:rsidRPr="00B24384">
        <w:rPr>
          <w:rFonts w:ascii="Times New Roman" w:hAnsi="Times New Roman"/>
          <w:color w:val="000000" w:themeColor="text1"/>
        </w:rPr>
        <w:t>able </w:t>
      </w:r>
      <w:r w:rsidRPr="00B24384">
        <w:rPr>
          <w:rFonts w:ascii="Times New Roman" w:hAnsi="Times New Roman" w:hint="eastAsia"/>
          <w:color w:val="000000" w:themeColor="text1"/>
        </w:rPr>
        <w:t>4 C</w:t>
      </w:r>
      <w:r w:rsidRPr="00B24384">
        <w:rPr>
          <w:rFonts w:ascii="Times New Roman" w:hAnsi="Times New Roman"/>
          <w:color w:val="000000" w:themeColor="text1"/>
        </w:rPr>
        <w:t>haracteristics of the included</w:t>
      </w:r>
      <w:r w:rsidRPr="00B24384">
        <w:rPr>
          <w:rFonts w:ascii="Times New Roman" w:hAnsi="Times New Roman" w:hint="eastAsia"/>
          <w:color w:val="000000" w:themeColor="text1"/>
        </w:rPr>
        <w:t xml:space="preserve"> </w:t>
      </w:r>
      <w:r w:rsidRPr="00B24384">
        <w:rPr>
          <w:rFonts w:ascii="Times New Roman" w:hAnsi="Times New Roman"/>
          <w:color w:val="000000" w:themeColor="text1"/>
        </w:rPr>
        <w:t>studies</w:t>
      </w:r>
    </w:p>
    <w:tbl>
      <w:tblPr>
        <w:tblW w:w="12635" w:type="dxa"/>
        <w:jc w:val="center"/>
        <w:tblLayout w:type="fixed"/>
        <w:tblLook w:val="04A0" w:firstRow="1" w:lastRow="0" w:firstColumn="1" w:lastColumn="0" w:noHBand="0" w:noVBand="1"/>
      </w:tblPr>
      <w:tblGrid>
        <w:gridCol w:w="1432"/>
        <w:gridCol w:w="797"/>
        <w:gridCol w:w="2718"/>
        <w:gridCol w:w="2266"/>
        <w:gridCol w:w="1590"/>
        <w:gridCol w:w="1062"/>
        <w:gridCol w:w="151"/>
        <w:gridCol w:w="2468"/>
        <w:gridCol w:w="151"/>
      </w:tblGrid>
      <w:tr w:rsidR="00B10EB3" w:rsidRPr="00456092" w14:paraId="1D02C3CB" w14:textId="77777777" w:rsidTr="00403456">
        <w:trPr>
          <w:trHeight w:val="300"/>
          <w:jc w:val="center"/>
        </w:trPr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bookmarkEnd w:id="2"/>
          <w:p w14:paraId="4F507556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Author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B24B6B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Year</w:t>
            </w:r>
          </w:p>
        </w:tc>
        <w:tc>
          <w:tcPr>
            <w:tcW w:w="2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042648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Patient/ Population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3D6CE7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EGFR-TKIs treatment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879E1A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Study design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C93086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Number of patients</w:t>
            </w:r>
          </w:p>
        </w:tc>
        <w:tc>
          <w:tcPr>
            <w:tcW w:w="26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575FCA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456092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Safty outcome</w:t>
            </w:r>
          </w:p>
        </w:tc>
      </w:tr>
      <w:tr w:rsidR="00B10EB3" w:rsidRPr="00456092" w14:paraId="2005B4A0" w14:textId="77777777" w:rsidTr="00403456">
        <w:trPr>
          <w:gridAfter w:val="1"/>
          <w:wAfter w:w="151" w:type="dxa"/>
          <w:trHeight w:val="300"/>
          <w:jc w:val="center"/>
        </w:trPr>
        <w:tc>
          <w:tcPr>
            <w:tcW w:w="1432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1DFC85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Zhang</w:t>
            </w:r>
            <w:hyperlink w:anchor="_ENREF_1" w:tooltip="Zhang, 2016 #4613" w:history="1">
              <w:r w:rsidRPr="00456092"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</w:rPr>
                <w:fldChar w:fldCharType="begin"/>
              </w:r>
              <w:r w:rsidRPr="00456092"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</w:rPr>
                <w:instrText xml:space="preserve"> ADDIN EN.CITE &lt;EndNote&gt;&lt;Cite&gt;&lt;Author&gt;Zhang&lt;/Author&gt;&lt;Year&gt;2016&lt;/Year&gt;&lt;RecNum&gt;4613&lt;/RecNum&gt;&lt;DisplayText&gt;&lt;style face="superscript"&gt;1&lt;/style&gt;&lt;/DisplayText&gt;&lt;record&gt;&lt;rec-number&gt;4613&lt;/rec-number&gt;&lt;foreign-keys&gt;&lt;key app="EN" db-id="v0v5pt2r6ttpz3e2at75wztaz9fzvsetxxsx"&gt;4613&lt;/key&gt;&lt;/foreign-keys&gt;&lt;ref-type name="Journal Article"&gt;17&lt;/ref-type&gt;&lt;contributors&gt;&lt;authors&gt;&lt;author&gt;Zhang, Yaxiong&lt;/author&gt;&lt;author&gt;Sheng, Jin&lt;/author&gt;&lt;author&gt;Yang, Yunpeng&lt;/author&gt;&lt;author&gt;Fang, Wenfeng&lt;/author&gt;&lt;author&gt;Kang, Shiyang&lt;/author&gt;&lt;author&gt;He, Yang&lt;/author&gt;&lt;author&gt;Hong, Shaodong&lt;/author&gt;&lt;author&gt;Zhan, Jianhua&lt;/author&gt;&lt;author&gt;Zhao, Yuanyuan&lt;/author&gt;&lt;author&gt;Xue, Cong&lt;/author&gt;&lt;/authors&gt;&lt;/contributors&gt;&lt;titles&gt;&lt;title&gt;Optimized selection of three major EGFR-TKIs in advanced EGFR-positive non-small cell lung cancer: a network metaanalysis&lt;/title&gt;&lt;secondary-title&gt;Oncotarget&lt;/secondary-title&gt;&lt;/titles&gt;&lt;periodical&gt;&lt;full-title&gt;Oncotarget&lt;/full-title&gt;&lt;/periodical&gt;&lt;pages&gt;20093-20108&lt;/pages&gt;&lt;volume&gt;7&lt;/volume&gt;&lt;number&gt;15&lt;/number&gt;&lt;dates&gt;&lt;year&gt;2016&lt;/year&gt;&lt;/dates&gt;&lt;urls&gt;&lt;/urls&gt;&lt;/record&gt;&lt;/Cite&gt;&lt;/EndNote&gt;</w:instrText>
              </w:r>
              <w:r w:rsidRPr="00456092"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</w:rPr>
                <w:fldChar w:fldCharType="separate"/>
              </w:r>
              <w:r w:rsidRPr="00456092">
                <w:rPr>
                  <w:rFonts w:ascii="Times New Roman" w:eastAsia="宋体" w:hAnsi="Times New Roman" w:cs="Times New Roman"/>
                  <w:noProof/>
                  <w:color w:val="000000"/>
                  <w:kern w:val="0"/>
                  <w:sz w:val="20"/>
                  <w:szCs w:val="20"/>
                  <w:vertAlign w:val="superscript"/>
                </w:rPr>
                <w:t>1</w:t>
              </w:r>
              <w:r w:rsidRPr="00456092"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</w:rPr>
                <w:fldChar w:fldCharType="end"/>
              </w:r>
            </w:hyperlink>
          </w:p>
        </w:tc>
        <w:tc>
          <w:tcPr>
            <w:tcW w:w="797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6D2F84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2016</w:t>
            </w:r>
          </w:p>
        </w:tc>
        <w:tc>
          <w:tcPr>
            <w:tcW w:w="2718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C4B372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A</w:t>
            </w: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dvanced EGFR-positive NSCLC patients</w:t>
            </w:r>
          </w:p>
        </w:tc>
        <w:tc>
          <w:tcPr>
            <w:tcW w:w="2266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24E3BF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gefitinib,</w:t>
            </w:r>
            <w:r w:rsidRPr="0045609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erlotinib,</w:t>
            </w:r>
            <w:r w:rsidRPr="0045609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afatinib</w:t>
            </w:r>
          </w:p>
        </w:tc>
        <w:tc>
          <w:tcPr>
            <w:tcW w:w="159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41ED3B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RCT(16) Non-RCT(0)</w:t>
            </w:r>
          </w:p>
        </w:tc>
        <w:tc>
          <w:tcPr>
            <w:tcW w:w="1062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36B7EB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2962</w:t>
            </w:r>
          </w:p>
        </w:tc>
        <w:tc>
          <w:tcPr>
            <w:tcW w:w="261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3A70CA" w14:textId="77777777" w:rsidR="00B10EB3" w:rsidRPr="00456092" w:rsidRDefault="00B10EB3" w:rsidP="008907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Rash</w:t>
            </w:r>
            <w:r w:rsidRPr="0045609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，</w:t>
            </w:r>
            <w:r w:rsidRPr="0045609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diarrhea</w:t>
            </w:r>
            <w:r w:rsidRPr="0045609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，</w:t>
            </w:r>
            <w:r w:rsidRPr="0045609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elevated liver transaminase</w:t>
            </w:r>
            <w:r w:rsidRPr="0045609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ab/>
            </w:r>
          </w:p>
        </w:tc>
      </w:tr>
      <w:tr w:rsidR="00B10EB3" w:rsidRPr="00456092" w14:paraId="2188851F" w14:textId="77777777" w:rsidTr="00403456">
        <w:trPr>
          <w:gridAfter w:val="1"/>
          <w:wAfter w:w="151" w:type="dxa"/>
          <w:trHeight w:val="300"/>
          <w:jc w:val="center"/>
        </w:trPr>
        <w:tc>
          <w:tcPr>
            <w:tcW w:w="1432" w:type="dxa"/>
            <w:shd w:val="clear" w:color="auto" w:fill="FFFFFF" w:themeFill="background1"/>
            <w:noWrap/>
            <w:vAlign w:val="center"/>
            <w:hideMark/>
          </w:tcPr>
          <w:p w14:paraId="15EF1D4B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  <w:r w:rsidRPr="0045609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urotto</w:t>
            </w:r>
            <w:hyperlink w:anchor="_ENREF_2" w:tooltip="Mauricio, 2015 #4614" w:history="1">
              <w:r w:rsidRPr="00456092"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</w:rPr>
                <w:fldChar w:fldCharType="begin"/>
              </w:r>
              <w:r w:rsidRPr="00456092"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</w:rPr>
                <w:instrText xml:space="preserve"> ADDIN EN.CITE &lt;EndNote&gt;&lt;Cite&gt;&lt;Author&gt;Mauricio&lt;/Author&gt;&lt;Year&gt;2015&lt;/Year&gt;&lt;RecNum&gt;4614&lt;/RecNum&gt;&lt;DisplayText&gt;&lt;style face="superscript"&gt;2&lt;/style&gt;&lt;/DisplayText&gt;&lt;record&gt;&lt;rec-number&gt;4614&lt;/rec-number&gt;&lt;foreign-keys&gt;&lt;key app="EN" db-id="v0v5pt2r6ttpz3e2at75wztaz9fzvsetxxsx"&gt;4614&lt;/key&gt;&lt;/foreign-keys&gt;&lt;ref-type name="Journal Article"&gt;17&lt;/ref-type&gt;&lt;contributors&gt;&lt;authors&gt;&lt;author&gt;Mauricio, Burotto&lt;/author&gt;&lt;author&gt;Manasanch, Elisabet E,&lt;/author&gt;&lt;author&gt;Julia, Wilkerson&lt;/author&gt;&lt;author&gt;Tito, Fojo&lt;/author&gt;&lt;/authors&gt;&lt;/contributors&gt;&lt;titles&gt;&lt;title&gt;Gefitinib and erlotinib in metastatic non-small cell lung cancer: a meta-analysis of toxicity and efficacy of randomized clinical trials&lt;/title&gt;&lt;secondary-title&gt;Oncologist&lt;/secondary-title&gt;&lt;/titles&gt;&lt;periodical&gt;&lt;full-title&gt;Oncologist&lt;/full-title&gt;&lt;/periodical&gt;&lt;pages&gt;400-410&lt;/pages&gt;&lt;volume&gt;20&lt;/volume&gt;&lt;number&gt;4&lt;/number&gt;&lt;dates&gt;&lt;year&gt;2015&lt;/year&gt;&lt;/dates&gt;&lt;urls&gt;&lt;/urls&gt;&lt;/record&gt;&lt;/Cite&gt;&lt;/EndNote&gt;</w:instrText>
              </w:r>
              <w:r w:rsidRPr="00456092"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</w:rPr>
                <w:fldChar w:fldCharType="separate"/>
              </w:r>
              <w:r w:rsidRPr="00456092">
                <w:rPr>
                  <w:rFonts w:ascii="Times New Roman" w:eastAsia="宋体" w:hAnsi="Times New Roman" w:cs="Times New Roman"/>
                  <w:noProof/>
                  <w:color w:val="000000"/>
                  <w:kern w:val="0"/>
                  <w:sz w:val="20"/>
                  <w:szCs w:val="20"/>
                  <w:vertAlign w:val="superscript"/>
                </w:rPr>
                <w:t>2</w:t>
              </w:r>
              <w:r w:rsidRPr="00456092"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</w:rPr>
                <w:fldChar w:fldCharType="end"/>
              </w:r>
            </w:hyperlink>
          </w:p>
        </w:tc>
        <w:tc>
          <w:tcPr>
            <w:tcW w:w="797" w:type="dxa"/>
            <w:shd w:val="clear" w:color="auto" w:fill="FFFFFF" w:themeFill="background1"/>
            <w:noWrap/>
            <w:vAlign w:val="center"/>
            <w:hideMark/>
          </w:tcPr>
          <w:p w14:paraId="11437E72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2015</w:t>
            </w:r>
          </w:p>
        </w:tc>
        <w:tc>
          <w:tcPr>
            <w:tcW w:w="2718" w:type="dxa"/>
            <w:shd w:val="clear" w:color="auto" w:fill="FFFFFF" w:themeFill="background1"/>
            <w:noWrap/>
            <w:vAlign w:val="center"/>
            <w:hideMark/>
          </w:tcPr>
          <w:p w14:paraId="655697BB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Metastatic NSCLC</w:t>
            </w:r>
            <w:r w:rsidRPr="0045609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patients</w:t>
            </w:r>
          </w:p>
        </w:tc>
        <w:tc>
          <w:tcPr>
            <w:tcW w:w="2266" w:type="dxa"/>
            <w:shd w:val="clear" w:color="auto" w:fill="FFFFFF" w:themeFill="background1"/>
            <w:noWrap/>
            <w:vAlign w:val="center"/>
            <w:hideMark/>
          </w:tcPr>
          <w:p w14:paraId="4607C33D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gefitinib,</w:t>
            </w:r>
            <w:r w:rsidRPr="0045609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erlotinib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14:paraId="32D9E0FD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RCT(28) Non-RCT(0)</w:t>
            </w:r>
          </w:p>
        </w:tc>
        <w:tc>
          <w:tcPr>
            <w:tcW w:w="1062" w:type="dxa"/>
            <w:shd w:val="clear" w:color="auto" w:fill="FFFFFF" w:themeFill="background1"/>
            <w:noWrap/>
            <w:vAlign w:val="center"/>
            <w:hideMark/>
          </w:tcPr>
          <w:p w14:paraId="6B991DFA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11270</w:t>
            </w:r>
          </w:p>
        </w:tc>
        <w:tc>
          <w:tcPr>
            <w:tcW w:w="261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6C1FF861" w14:textId="77777777" w:rsidR="00B10EB3" w:rsidRPr="00456092" w:rsidRDefault="00B10EB3" w:rsidP="008907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P</w:t>
            </w: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ruritus, rash acne, anorexia, diarrhea, nausea, fatigue, paronychia, anemia, dry skin, vomiting, transaminitis, interstitial lung disease</w:t>
            </w:r>
          </w:p>
        </w:tc>
      </w:tr>
      <w:tr w:rsidR="00B10EB3" w:rsidRPr="00456092" w14:paraId="6E5D01E8" w14:textId="77777777" w:rsidTr="00403456">
        <w:trPr>
          <w:gridAfter w:val="1"/>
          <w:wAfter w:w="151" w:type="dxa"/>
          <w:trHeight w:val="300"/>
          <w:jc w:val="center"/>
        </w:trPr>
        <w:tc>
          <w:tcPr>
            <w:tcW w:w="1432" w:type="dxa"/>
            <w:shd w:val="clear" w:color="auto" w:fill="FFFFFF" w:themeFill="background1"/>
            <w:noWrap/>
            <w:vAlign w:val="center"/>
            <w:hideMark/>
          </w:tcPr>
          <w:p w14:paraId="0D67AEB0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Ding</w:t>
            </w:r>
            <w:hyperlink w:anchor="_ENREF_3" w:tooltip="Ding, 2017 #4615" w:history="1">
              <w:r w:rsidRPr="00456092"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</w:rPr>
                <w:fldChar w:fldCharType="begin"/>
              </w:r>
              <w:r w:rsidRPr="00456092"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</w:rPr>
                <w:instrText xml:space="preserve"> ADDIN EN.CITE &lt;EndNote&gt;&lt;Cite&gt;&lt;Author&gt;Ding&lt;/Author&gt;&lt;Year&gt;2017&lt;/Year&gt;&lt;RecNum&gt;4615&lt;/RecNum&gt;&lt;DisplayText&gt;&lt;style face="superscript"&gt;3&lt;/style&gt;&lt;/DisplayText&gt;&lt;record&gt;&lt;rec-number&gt;4615&lt;/rec-number&gt;&lt;foreign-keys&gt;&lt;key app="EN" db-id="v0v5pt2r6ttpz3e2at75wztaz9fzvsetxxsx"&gt;4615&lt;/key&gt;&lt;/foreign-keys&gt;&lt;ref-type name="Journal Article"&gt;17&lt;/ref-type&gt;&lt;contributors&gt;&lt;authors&gt;&lt;author&gt;Ding, Pei Ni&lt;/author&gt;&lt;author&gt;Lord, Sarah J&lt;/author&gt;&lt;author&gt;Gebski, Val&lt;/author&gt;&lt;author&gt;Links, Matthew&lt;/author&gt;&lt;author&gt;Bray, Victoria&lt;/author&gt;&lt;author&gt;Gralla, Richard J&lt;/author&gt;&lt;author&gt;Yang, James Chih-Hsin&lt;/author&gt;&lt;author&gt;Lee, Chee Khoon&lt;/author&gt;&lt;/authors&gt;&lt;/contributors&gt;&lt;titles&gt;&lt;title&gt;Risk of treatment-related toxicities from EGFR tyrosine kinase inhibitors: a meta-analysis of clinical trials of gefitinib, erlotinib, and afatinib in advanced EGFR-mutated non–small cell lung cancer&lt;/title&gt;&lt;secondary-title&gt;Journal of Thoracic Oncology&lt;/secondary-title&gt;&lt;/titles&gt;&lt;periodical&gt;&lt;full-title&gt;Journal of Thoracic Oncology&lt;/full-title&gt;&lt;/periodical&gt;&lt;pages&gt;633-643&lt;/pages&gt;&lt;volume&gt;12&lt;/volume&gt;&lt;number&gt;4&lt;/number&gt;&lt;dates&gt;&lt;year&gt;2017&lt;/year&gt;&lt;/dates&gt;&lt;isbn&gt;1556-0864&lt;/isbn&gt;&lt;urls&gt;&lt;/urls&gt;&lt;/record&gt;&lt;/Cite&gt;&lt;/EndNote&gt;</w:instrText>
              </w:r>
              <w:r w:rsidRPr="00456092"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</w:rPr>
                <w:fldChar w:fldCharType="separate"/>
              </w:r>
              <w:r w:rsidRPr="00456092">
                <w:rPr>
                  <w:rFonts w:ascii="Times New Roman" w:eastAsia="宋体" w:hAnsi="Times New Roman" w:cs="Times New Roman"/>
                  <w:noProof/>
                  <w:color w:val="000000"/>
                  <w:kern w:val="0"/>
                  <w:sz w:val="20"/>
                  <w:szCs w:val="20"/>
                  <w:vertAlign w:val="superscript"/>
                </w:rPr>
                <w:t>3</w:t>
              </w:r>
              <w:r w:rsidRPr="00456092"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</w:rPr>
                <w:fldChar w:fldCharType="end"/>
              </w:r>
            </w:hyperlink>
          </w:p>
        </w:tc>
        <w:tc>
          <w:tcPr>
            <w:tcW w:w="797" w:type="dxa"/>
            <w:shd w:val="clear" w:color="auto" w:fill="FFFFFF" w:themeFill="background1"/>
            <w:noWrap/>
            <w:vAlign w:val="center"/>
            <w:hideMark/>
          </w:tcPr>
          <w:p w14:paraId="5DA540CC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2013</w:t>
            </w:r>
          </w:p>
        </w:tc>
        <w:tc>
          <w:tcPr>
            <w:tcW w:w="2718" w:type="dxa"/>
            <w:shd w:val="clear" w:color="auto" w:fill="FFFFFF" w:themeFill="background1"/>
            <w:noWrap/>
            <w:vAlign w:val="center"/>
            <w:hideMark/>
          </w:tcPr>
          <w:p w14:paraId="27B3A80E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A</w:t>
            </w: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dvanced NSCLC</w:t>
            </w:r>
            <w:r w:rsidRPr="0045609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patients</w:t>
            </w:r>
          </w:p>
        </w:tc>
        <w:tc>
          <w:tcPr>
            <w:tcW w:w="2266" w:type="dxa"/>
            <w:shd w:val="clear" w:color="auto" w:fill="FFFFFF" w:themeFill="background1"/>
            <w:noWrap/>
            <w:vAlign w:val="center"/>
            <w:hideMark/>
          </w:tcPr>
          <w:p w14:paraId="3242E1AD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gefitinib,</w:t>
            </w:r>
            <w:r w:rsidRPr="0045609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erlotinib,</w:t>
            </w:r>
            <w:r w:rsidRPr="0045609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afatinib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14:paraId="4AD8735A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RCT(16) Non-RCT(0)</w:t>
            </w:r>
          </w:p>
        </w:tc>
        <w:tc>
          <w:tcPr>
            <w:tcW w:w="1062" w:type="dxa"/>
            <w:shd w:val="clear" w:color="auto" w:fill="FFFFFF" w:themeFill="background1"/>
            <w:noWrap/>
            <w:vAlign w:val="center"/>
            <w:hideMark/>
          </w:tcPr>
          <w:p w14:paraId="6CCE24CD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2535</w:t>
            </w:r>
          </w:p>
        </w:tc>
        <w:tc>
          <w:tcPr>
            <w:tcW w:w="261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B66B5E6" w14:textId="77777777" w:rsidR="00B10EB3" w:rsidRPr="00456092" w:rsidRDefault="00B10EB3" w:rsidP="008907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D</w:t>
            </w: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iarrhea, elevated liver enzymes, rash, stomatitis, fatigue, nausea, paronychia, pruritus, vomiting</w:t>
            </w: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ab/>
              <w:t>, appetite loss, pneumonitis</w:t>
            </w:r>
          </w:p>
        </w:tc>
      </w:tr>
      <w:tr w:rsidR="00B10EB3" w:rsidRPr="00456092" w14:paraId="3FA0DDFA" w14:textId="77777777" w:rsidTr="00403456">
        <w:trPr>
          <w:gridAfter w:val="1"/>
          <w:wAfter w:w="151" w:type="dxa"/>
          <w:trHeight w:val="300"/>
          <w:jc w:val="center"/>
        </w:trPr>
        <w:tc>
          <w:tcPr>
            <w:tcW w:w="1432" w:type="dxa"/>
            <w:shd w:val="clear" w:color="auto" w:fill="FFFFFF" w:themeFill="background1"/>
            <w:noWrap/>
            <w:vAlign w:val="center"/>
            <w:hideMark/>
          </w:tcPr>
          <w:p w14:paraId="011F1AD2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Hong</w:t>
            </w:r>
            <w:hyperlink w:anchor="_ENREF_4" w:tooltip="Hong, 2016 #4616" w:history="1">
              <w:r w:rsidRPr="00456092"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</w:rPr>
                <w:fldChar w:fldCharType="begin"/>
              </w:r>
              <w:r w:rsidRPr="00456092"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</w:rPr>
                <w:instrText xml:space="preserve"> ADDIN EN.CITE &lt;EndNote&gt;&lt;Cite&gt;&lt;Author&gt;Hong&lt;/Author&gt;&lt;Year&gt;2016&lt;/Year&gt;&lt;RecNum&gt;4616&lt;/RecNum&gt;&lt;DisplayText&gt;&lt;style face="superscript"&gt;4&lt;/style&gt;&lt;/DisplayText&gt;&lt;record&gt;&lt;rec-number&gt;4616&lt;/rec-number&gt;&lt;foreign-keys&gt;&lt;key app="EN" db-id="v0v5pt2r6ttpz3e2at75wztaz9fzvsetxxsx"&gt;4616&lt;/key&gt;&lt;/foreign-keys&gt;&lt;ref-type name="Journal Article"&gt;17&lt;/ref-type&gt;&lt;contributors&gt;&lt;authors&gt;&lt;author&gt;Hong, Dongsheng&lt;/author&gt;&lt;author&gt;Zhang, Guobing&lt;/author&gt;&lt;author&gt;Zhang, Xingguo&lt;/author&gt;&lt;author&gt;Lian, Xingguang&lt;/author&gt;&lt;/authors&gt;&lt;/contributors&gt;&lt;titles&gt;&lt;title&gt;Pulmonary toxicities of gefitinib in patients with advanced non-small-cell lung cancer: a meta-analysis of randomized controlled trials&lt;/title&gt;&lt;secondary-title&gt;Medicine (Baltimore)&lt;/secondary-title&gt;&lt;/titles&gt;&lt;periodical&gt;&lt;full-title&gt;Medicine (Baltimore)&lt;/full-title&gt;&lt;abbr-1&gt;Medicine&lt;/abbr-1&gt;&lt;/periodical&gt;&lt;volume&gt;95&lt;/volume&gt;&lt;number&gt;9&lt;/number&gt;&lt;dates&gt;&lt;year&gt;2016&lt;/year&gt;&lt;/dates&gt;&lt;urls&gt;&lt;/urls&gt;&lt;/record&gt;&lt;/Cite&gt;&lt;/EndNote&gt;</w:instrText>
              </w:r>
              <w:r w:rsidRPr="00456092"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</w:rPr>
                <w:fldChar w:fldCharType="separate"/>
              </w:r>
              <w:r w:rsidRPr="00456092">
                <w:rPr>
                  <w:rFonts w:ascii="Times New Roman" w:eastAsia="宋体" w:hAnsi="Times New Roman" w:cs="Times New Roman"/>
                  <w:noProof/>
                  <w:color w:val="000000"/>
                  <w:kern w:val="0"/>
                  <w:sz w:val="20"/>
                  <w:szCs w:val="20"/>
                  <w:vertAlign w:val="superscript"/>
                </w:rPr>
                <w:t>4</w:t>
              </w:r>
              <w:r w:rsidRPr="00456092"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</w:rPr>
                <w:fldChar w:fldCharType="end"/>
              </w:r>
            </w:hyperlink>
          </w:p>
        </w:tc>
        <w:tc>
          <w:tcPr>
            <w:tcW w:w="797" w:type="dxa"/>
            <w:shd w:val="clear" w:color="auto" w:fill="FFFFFF" w:themeFill="background1"/>
            <w:noWrap/>
            <w:vAlign w:val="center"/>
            <w:hideMark/>
          </w:tcPr>
          <w:p w14:paraId="21548F61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2016</w:t>
            </w:r>
          </w:p>
        </w:tc>
        <w:tc>
          <w:tcPr>
            <w:tcW w:w="2718" w:type="dxa"/>
            <w:shd w:val="clear" w:color="auto" w:fill="FFFFFF" w:themeFill="background1"/>
            <w:noWrap/>
            <w:vAlign w:val="center"/>
            <w:hideMark/>
          </w:tcPr>
          <w:p w14:paraId="440D52B5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A</w:t>
            </w: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dvanced NSCLC patients</w:t>
            </w:r>
          </w:p>
        </w:tc>
        <w:tc>
          <w:tcPr>
            <w:tcW w:w="2266" w:type="dxa"/>
            <w:shd w:val="clear" w:color="auto" w:fill="FFFFFF" w:themeFill="background1"/>
            <w:noWrap/>
            <w:vAlign w:val="center"/>
            <w:hideMark/>
          </w:tcPr>
          <w:p w14:paraId="4E2AC042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gefitinib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14:paraId="591E85AF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RCT(23) Non-RCT(0)</w:t>
            </w:r>
          </w:p>
        </w:tc>
        <w:tc>
          <w:tcPr>
            <w:tcW w:w="1062" w:type="dxa"/>
            <w:shd w:val="clear" w:color="auto" w:fill="FFFFFF" w:themeFill="background1"/>
            <w:noWrap/>
            <w:vAlign w:val="center"/>
            <w:hideMark/>
          </w:tcPr>
          <w:p w14:paraId="02FB5F06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9054</w:t>
            </w:r>
          </w:p>
        </w:tc>
        <w:tc>
          <w:tcPr>
            <w:tcW w:w="261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0079117F" w14:textId="77777777" w:rsidR="00B10EB3" w:rsidRPr="00456092" w:rsidRDefault="00B10EB3" w:rsidP="008907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I</w:t>
            </w: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nterstitial lung disease,</w:t>
            </w:r>
            <w:r w:rsidRPr="0045609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p</w:t>
            </w: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neumonitis,</w:t>
            </w:r>
            <w:r w:rsidRPr="0045609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h</w:t>
            </w: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emoptysis</w:t>
            </w:r>
          </w:p>
        </w:tc>
      </w:tr>
      <w:tr w:rsidR="00B10EB3" w:rsidRPr="00456092" w14:paraId="552FB8CB" w14:textId="77777777" w:rsidTr="00403456">
        <w:trPr>
          <w:gridAfter w:val="1"/>
          <w:wAfter w:w="151" w:type="dxa"/>
          <w:trHeight w:val="300"/>
          <w:jc w:val="center"/>
        </w:trPr>
        <w:tc>
          <w:tcPr>
            <w:tcW w:w="1432" w:type="dxa"/>
            <w:shd w:val="clear" w:color="auto" w:fill="FFFFFF" w:themeFill="background1"/>
            <w:noWrap/>
            <w:vAlign w:val="center"/>
            <w:hideMark/>
          </w:tcPr>
          <w:p w14:paraId="19708A12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Lin</w:t>
            </w:r>
            <w:hyperlink w:anchor="_ENREF_5" w:tooltip="Lin, 2018 #4617" w:history="1">
              <w:r w:rsidRPr="00456092"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</w:rPr>
                <w:fldChar w:fldCharType="begin"/>
              </w:r>
              <w:r w:rsidRPr="00456092"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</w:rPr>
                <w:instrText xml:space="preserve"> ADDIN EN.CITE &lt;EndNote&gt;&lt;Cite&gt;&lt;Author&gt;Lin&lt;/Author&gt;&lt;Year&gt;2018&lt;/Year&gt;&lt;RecNum&gt;4617&lt;/RecNum&gt;&lt;DisplayText&gt;&lt;style face="superscript"&gt;5&lt;/style&gt;&lt;/DisplayText&gt;&lt;record&gt;&lt;rec-number&gt;4617&lt;/rec-number&gt;&lt;foreign-keys&gt;&lt;key app="EN" db-id="v0v5pt2r6ttpz3e2at75wztaz9fzvsetxxsx"&gt;4617&lt;/key&gt;&lt;/foreign-keys&gt;&lt;ref-type name="Journal Article"&gt;17&lt;/ref-type&gt;&lt;contributors&gt;&lt;authors&gt;&lt;author&gt;Lin, Jia-Zhou&lt;/author&gt;&lt;author&gt;Ma, Song-Kun&lt;/author&gt;&lt;author&gt;Wu, Sheng-Xi&lt;/author&gt;&lt;author&gt;Yu, Shu-Han&lt;/author&gt;&lt;author&gt;Li, Xu-Yuan&lt;/author&gt;&lt;/authors&gt;&lt;/contributors&gt;&lt;titles&gt;&lt;title&gt;A network meta-analysis of nonsmall-cell lung cancer patients with an activating EGFR mutation: Should osimertinib be the first-line treatment?&lt;/title&gt;&lt;secondary-title&gt;Medicine (Baltimore)&lt;/secondary-title&gt;&lt;/titles&gt;&lt;periodical&gt;&lt;full-title&gt;Medicine (Baltimore)&lt;/full-title&gt;&lt;abbr-1&gt;Medicine&lt;/abbr-1&gt;&lt;/periodical&gt;&lt;volume&gt;97&lt;/volume&gt;&lt;number&gt;30&lt;/number&gt;&lt;dates&gt;&lt;year&gt;2018&lt;/year&gt;&lt;/dates&gt;&lt;urls&gt;&lt;/urls&gt;&lt;/record&gt;&lt;/Cite&gt;&lt;/EndNote&gt;</w:instrText>
              </w:r>
              <w:r w:rsidRPr="00456092"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</w:rPr>
                <w:fldChar w:fldCharType="separate"/>
              </w:r>
              <w:r w:rsidRPr="00456092">
                <w:rPr>
                  <w:rFonts w:ascii="Times New Roman" w:eastAsia="宋体" w:hAnsi="Times New Roman" w:cs="Times New Roman"/>
                  <w:noProof/>
                  <w:color w:val="000000"/>
                  <w:kern w:val="0"/>
                  <w:sz w:val="20"/>
                  <w:szCs w:val="20"/>
                  <w:vertAlign w:val="superscript"/>
                </w:rPr>
                <w:t>5</w:t>
              </w:r>
              <w:r w:rsidRPr="00456092"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</w:rPr>
                <w:fldChar w:fldCharType="end"/>
              </w:r>
            </w:hyperlink>
          </w:p>
        </w:tc>
        <w:tc>
          <w:tcPr>
            <w:tcW w:w="797" w:type="dxa"/>
            <w:shd w:val="clear" w:color="auto" w:fill="FFFFFF" w:themeFill="background1"/>
            <w:noWrap/>
            <w:vAlign w:val="center"/>
            <w:hideMark/>
          </w:tcPr>
          <w:p w14:paraId="0D6D9B80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2018</w:t>
            </w:r>
          </w:p>
        </w:tc>
        <w:tc>
          <w:tcPr>
            <w:tcW w:w="2718" w:type="dxa"/>
            <w:shd w:val="clear" w:color="auto" w:fill="FFFFFF" w:themeFill="background1"/>
            <w:noWrap/>
            <w:vAlign w:val="center"/>
            <w:hideMark/>
          </w:tcPr>
          <w:p w14:paraId="40F33180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EGFR-positive NSCLC patients</w:t>
            </w:r>
          </w:p>
        </w:tc>
        <w:tc>
          <w:tcPr>
            <w:tcW w:w="2266" w:type="dxa"/>
            <w:shd w:val="clear" w:color="auto" w:fill="FFFFFF" w:themeFill="background1"/>
            <w:noWrap/>
            <w:vAlign w:val="center"/>
            <w:hideMark/>
          </w:tcPr>
          <w:p w14:paraId="4CBED796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gefitinib, erlotinib, afatinib, dacomitinib, osimertinib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14:paraId="50617866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RCT(11) Non-RCT(0)</w:t>
            </w:r>
          </w:p>
        </w:tc>
        <w:tc>
          <w:tcPr>
            <w:tcW w:w="1062" w:type="dxa"/>
            <w:shd w:val="clear" w:color="auto" w:fill="FFFFFF" w:themeFill="background1"/>
            <w:noWrap/>
            <w:vAlign w:val="center"/>
            <w:hideMark/>
          </w:tcPr>
          <w:p w14:paraId="4654B1E7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3145</w:t>
            </w:r>
          </w:p>
        </w:tc>
        <w:tc>
          <w:tcPr>
            <w:tcW w:w="261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A39C462" w14:textId="77777777" w:rsidR="00B10EB3" w:rsidRPr="00456092" w:rsidRDefault="00B10EB3" w:rsidP="008907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Skin rash, elevated alanine aminotransferase/aspartate aminotransferase, diarrhea, acne, mucositis, nails change</w:t>
            </w:r>
          </w:p>
        </w:tc>
      </w:tr>
      <w:tr w:rsidR="00B10EB3" w:rsidRPr="00456092" w14:paraId="70FDE94D" w14:textId="77777777" w:rsidTr="00403456">
        <w:trPr>
          <w:gridAfter w:val="1"/>
          <w:wAfter w:w="151" w:type="dxa"/>
          <w:trHeight w:val="300"/>
          <w:jc w:val="center"/>
        </w:trPr>
        <w:tc>
          <w:tcPr>
            <w:tcW w:w="1432" w:type="dxa"/>
            <w:shd w:val="clear" w:color="auto" w:fill="FFFFFF" w:themeFill="background1"/>
            <w:noWrap/>
            <w:vAlign w:val="center"/>
            <w:hideMark/>
          </w:tcPr>
          <w:p w14:paraId="22D131BE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Suh</w:t>
            </w:r>
            <w:hyperlink w:anchor="_ENREF_6" w:tooltip="Suh, 2018 #4618" w:history="1">
              <w:r w:rsidRPr="00456092"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</w:rPr>
                <w:fldChar w:fldCharType="begin"/>
              </w:r>
              <w:r w:rsidRPr="00456092"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</w:rPr>
                <w:instrText xml:space="preserve"> ADDIN EN.CITE &lt;EndNote&gt;&lt;Cite&gt;&lt;Author&gt;Suh&lt;/Author&gt;&lt;Year&gt;2018&lt;/Year&gt;&lt;RecNum&gt;4618&lt;/RecNum&gt;&lt;DisplayText&gt;&lt;style face="superscript"&gt;6&lt;/style&gt;&lt;/DisplayText&gt;&lt;record&gt;&lt;rec-number&gt;4618&lt;/rec-number&gt;&lt;foreign-keys&gt;&lt;key app="EN" db-id="v0v5pt2r6ttpz3e2at75wztaz9fzvsetxxsx"&gt;4618&lt;/key&gt;&lt;/foreign-keys&gt;&lt;ref-type name="Journal Article"&gt;17&lt;/ref-type&gt;&lt;contributors&gt;&lt;authors&gt;&lt;author&gt;Suh, Chong Hyun&lt;/author&gt;&lt;author&gt;Park, Hye Sun&lt;/author&gt;&lt;author&gt;Kim, Kyung Won&lt;/author&gt;&lt;author&gt;Pyo, Junhee&lt;/author&gt;&lt;author&gt;Hatabu, Hiroto&lt;/author&gt;&lt;author&gt;Nishino, Mizuki&lt;/author&gt;&lt;/authors&gt;&lt;/contributors&gt;&lt;titles&gt;&lt;title&gt;Pneumonitis in advanced non-small-cell lung cancer patients treated with EGFR tyrosine kinase inhibitor: Meta-analysis of 153 cohorts with 15,713 patients: Meta-analysis of incidence and risk factors of EGFR-TKI pneumonitis in NSCLC&lt;/title&gt;&lt;secondary-title&gt;Lung Cancer&lt;/secondary-title&gt;&lt;/titles&gt;&lt;periodical&gt;&lt;full-title&gt;Lung Cancer&lt;/full-title&gt;&lt;/periodical&gt;&lt;pages&gt;60-69&lt;/pages&gt;&lt;volume&gt;123&lt;/volume&gt;&lt;dates&gt;&lt;year&gt;2018&lt;/year&gt;&lt;/dates&gt;&lt;isbn&gt;0169-5002&lt;/isbn&gt;&lt;urls&gt;&lt;/urls&gt;&lt;/record&gt;&lt;/Cite&gt;&lt;/EndNote&gt;</w:instrText>
              </w:r>
              <w:r w:rsidRPr="00456092"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</w:rPr>
                <w:fldChar w:fldCharType="separate"/>
              </w:r>
              <w:r w:rsidRPr="00456092">
                <w:rPr>
                  <w:rFonts w:ascii="Times New Roman" w:eastAsia="宋体" w:hAnsi="Times New Roman" w:cs="Times New Roman"/>
                  <w:noProof/>
                  <w:color w:val="000000"/>
                  <w:kern w:val="0"/>
                  <w:sz w:val="20"/>
                  <w:szCs w:val="20"/>
                  <w:vertAlign w:val="superscript"/>
                </w:rPr>
                <w:t>6</w:t>
              </w:r>
              <w:r w:rsidRPr="00456092"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</w:rPr>
                <w:fldChar w:fldCharType="end"/>
              </w:r>
            </w:hyperlink>
          </w:p>
        </w:tc>
        <w:tc>
          <w:tcPr>
            <w:tcW w:w="797" w:type="dxa"/>
            <w:shd w:val="clear" w:color="auto" w:fill="FFFFFF" w:themeFill="background1"/>
            <w:noWrap/>
            <w:vAlign w:val="center"/>
            <w:hideMark/>
          </w:tcPr>
          <w:p w14:paraId="4E6E1260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2018</w:t>
            </w:r>
          </w:p>
        </w:tc>
        <w:tc>
          <w:tcPr>
            <w:tcW w:w="2718" w:type="dxa"/>
            <w:shd w:val="clear" w:color="auto" w:fill="FFFFFF" w:themeFill="background1"/>
            <w:noWrap/>
            <w:vAlign w:val="center"/>
            <w:hideMark/>
          </w:tcPr>
          <w:p w14:paraId="6FC3CA3C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A</w:t>
            </w: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dvanced NSCLC</w:t>
            </w:r>
            <w:r w:rsidRPr="0045609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patients</w:t>
            </w:r>
          </w:p>
        </w:tc>
        <w:tc>
          <w:tcPr>
            <w:tcW w:w="2266" w:type="dxa"/>
            <w:shd w:val="clear" w:color="auto" w:fill="FFFFFF" w:themeFill="background1"/>
            <w:noWrap/>
            <w:vAlign w:val="center"/>
            <w:hideMark/>
          </w:tcPr>
          <w:p w14:paraId="45324613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gefitinib,</w:t>
            </w:r>
            <w:r w:rsidRPr="0045609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erlotinib,</w:t>
            </w:r>
            <w:r w:rsidRPr="0045609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afatinib,</w:t>
            </w:r>
            <w:r w:rsidRPr="0045609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osimertinib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14:paraId="34B71E7F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RCT(0) Non-RCT(253)</w:t>
            </w:r>
          </w:p>
        </w:tc>
        <w:tc>
          <w:tcPr>
            <w:tcW w:w="1062" w:type="dxa"/>
            <w:shd w:val="clear" w:color="auto" w:fill="FFFFFF" w:themeFill="background1"/>
            <w:noWrap/>
            <w:vAlign w:val="center"/>
            <w:hideMark/>
          </w:tcPr>
          <w:p w14:paraId="7019AE93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15713</w:t>
            </w:r>
          </w:p>
        </w:tc>
        <w:tc>
          <w:tcPr>
            <w:tcW w:w="261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244B1F56" w14:textId="77777777" w:rsidR="00B10EB3" w:rsidRPr="00456092" w:rsidRDefault="00B10EB3" w:rsidP="00890760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Pneumonitis</w:t>
            </w:r>
          </w:p>
        </w:tc>
      </w:tr>
      <w:tr w:rsidR="00B10EB3" w:rsidRPr="00456092" w14:paraId="68030745" w14:textId="77777777" w:rsidTr="00403456">
        <w:trPr>
          <w:gridAfter w:val="1"/>
          <w:wAfter w:w="151" w:type="dxa"/>
          <w:trHeight w:val="300"/>
          <w:jc w:val="center"/>
        </w:trPr>
        <w:tc>
          <w:tcPr>
            <w:tcW w:w="1432" w:type="dxa"/>
            <w:shd w:val="clear" w:color="auto" w:fill="FFFFFF" w:themeFill="background1"/>
            <w:noWrap/>
            <w:vAlign w:val="center"/>
            <w:hideMark/>
          </w:tcPr>
          <w:p w14:paraId="57EC1E9D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Yang</w:t>
            </w:r>
            <w:hyperlink w:anchor="_ENREF_7" w:tooltip="Yang, 2017 #4619" w:history="1">
              <w:r w:rsidRPr="00456092"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</w:rPr>
                <w:fldChar w:fldCharType="begin"/>
              </w:r>
              <w:r w:rsidRPr="00456092"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</w:rPr>
                <w:instrText xml:space="preserve"> ADDIN EN.CITE &lt;EndNote&gt;&lt;Cite&gt;&lt;Author&gt;Yang&lt;/Author&gt;&lt;Year&gt;2017&lt;/Year&gt;&lt;RecNum&gt;4619&lt;/RecNum&gt;&lt;DisplayText&gt;&lt;style face="superscript"&gt;7&lt;/style&gt;&lt;/DisplayText&gt;&lt;record&gt;&lt;rec-number&gt;4619&lt;/rec-number&gt;&lt;foreign-keys&gt;&lt;key app="EN" db-id="v0v5pt2r6ttpz3e2at75wztaz9fzvsetxxsx"&gt;4619&lt;/key&gt;&lt;/foreign-keys&gt;&lt;ref-type name="Journal Article"&gt;17&lt;/ref-type&gt;&lt;contributors&gt;&lt;authors&gt;&lt;author&gt;Yang, Zuyao&lt;/author&gt;&lt;author&gt;Hackshaw, Allan&lt;/author&gt;&lt;author&gt;Feng, Qi&lt;/author&gt;&lt;author&gt;Fu, Xiaohong&lt;/author&gt;&lt;author&gt;Zhang, Yuelun&lt;/author&gt;&lt;author&gt;Mao</w:instrText>
              </w:r>
              <w:r w:rsidRPr="00456092">
                <w:rPr>
                  <w:rFonts w:ascii="Times New Roman" w:eastAsia="宋体" w:hAnsi="Times New Roman" w:cs="Times New Roman" w:hint="eastAsia"/>
                  <w:color w:val="000000"/>
                  <w:kern w:val="0"/>
                  <w:sz w:val="20"/>
                  <w:szCs w:val="20"/>
                </w:rPr>
                <w:instrText>, Chen&lt;/author&gt;&lt;author&gt;Tang, Jinling&lt;/author&gt;&lt;/authors&gt;&lt;/contributors&gt;&lt;titles&gt;&lt;title&gt;Comparison of gefitinib, erlotinib and afatinib in non</w:instrText>
              </w:r>
              <w:r w:rsidRPr="00456092">
                <w:rPr>
                  <w:rFonts w:ascii="Times New Roman" w:eastAsia="宋体" w:hAnsi="Times New Roman" w:cs="Times New Roman" w:hint="eastAsia"/>
                  <w:color w:val="000000"/>
                  <w:kern w:val="0"/>
                  <w:sz w:val="20"/>
                  <w:szCs w:val="20"/>
                </w:rPr>
                <w:instrText>‐</w:instrText>
              </w:r>
              <w:r w:rsidRPr="00456092">
                <w:rPr>
                  <w:rFonts w:ascii="Times New Roman" w:eastAsia="宋体" w:hAnsi="Times New Roman" w:cs="Times New Roman" w:hint="eastAsia"/>
                  <w:color w:val="000000"/>
                  <w:kern w:val="0"/>
                  <w:sz w:val="20"/>
                  <w:szCs w:val="20"/>
                </w:rPr>
                <w:instrText>small cell lung cancer: A meta</w:instrText>
              </w:r>
              <w:r w:rsidRPr="00456092">
                <w:rPr>
                  <w:rFonts w:ascii="Times New Roman" w:eastAsia="宋体" w:hAnsi="Times New Roman" w:cs="Times New Roman" w:hint="eastAsia"/>
                  <w:color w:val="000000"/>
                  <w:kern w:val="0"/>
                  <w:sz w:val="20"/>
                  <w:szCs w:val="20"/>
                </w:rPr>
                <w:instrText>‐</w:instrText>
              </w:r>
              <w:r w:rsidRPr="00456092">
                <w:rPr>
                  <w:rFonts w:ascii="Times New Roman" w:eastAsia="宋体" w:hAnsi="Times New Roman" w:cs="Times New Roman" w:hint="eastAsia"/>
                  <w:color w:val="000000"/>
                  <w:kern w:val="0"/>
                  <w:sz w:val="20"/>
                  <w:szCs w:val="20"/>
                </w:rPr>
                <w:instrText>analysis&lt;/title&gt;&lt;secondary-title&gt;International journal of cancer&lt;/secondary-title&gt;&lt;/</w:instrText>
              </w:r>
              <w:r w:rsidRPr="00456092"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</w:rPr>
                <w:instrText>titles&gt;&lt;periodical&gt;&lt;full-title&gt;International journal of cancer&lt;/full-title&gt;&lt;/periodical&gt;&lt;pages&gt;2805-2819&lt;/pages&gt;&lt;volume&gt;140&lt;/volume&gt;&lt;number&gt;12&lt;/number&gt;&lt;dates&gt;&lt;year&gt;2017&lt;/year&gt;&lt;/dates&gt;&lt;isbn&gt;0020-7136&lt;/isbn&gt;&lt;urls&gt;&lt;/urls&gt;&lt;/record&gt;&lt;/Cite&gt;&lt;/EndNote&gt;</w:instrText>
              </w:r>
              <w:r w:rsidRPr="00456092"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</w:rPr>
                <w:fldChar w:fldCharType="separate"/>
              </w:r>
              <w:r w:rsidRPr="00456092">
                <w:rPr>
                  <w:rFonts w:ascii="Times New Roman" w:eastAsia="宋体" w:hAnsi="Times New Roman" w:cs="Times New Roman"/>
                  <w:noProof/>
                  <w:color w:val="000000"/>
                  <w:kern w:val="0"/>
                  <w:sz w:val="20"/>
                  <w:szCs w:val="20"/>
                  <w:vertAlign w:val="superscript"/>
                </w:rPr>
                <w:t>7</w:t>
              </w:r>
              <w:r w:rsidRPr="00456092"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</w:rPr>
                <w:fldChar w:fldCharType="end"/>
              </w:r>
            </w:hyperlink>
          </w:p>
        </w:tc>
        <w:tc>
          <w:tcPr>
            <w:tcW w:w="797" w:type="dxa"/>
            <w:shd w:val="clear" w:color="auto" w:fill="FFFFFF" w:themeFill="background1"/>
            <w:noWrap/>
            <w:vAlign w:val="center"/>
            <w:hideMark/>
          </w:tcPr>
          <w:p w14:paraId="185F5FC1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2017</w:t>
            </w:r>
          </w:p>
        </w:tc>
        <w:tc>
          <w:tcPr>
            <w:tcW w:w="2718" w:type="dxa"/>
            <w:shd w:val="clear" w:color="auto" w:fill="FFFFFF" w:themeFill="background1"/>
            <w:noWrap/>
            <w:vAlign w:val="center"/>
            <w:hideMark/>
          </w:tcPr>
          <w:p w14:paraId="1DE9261D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NSCLC</w:t>
            </w:r>
            <w:r w:rsidRPr="0045609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patients</w:t>
            </w:r>
          </w:p>
        </w:tc>
        <w:tc>
          <w:tcPr>
            <w:tcW w:w="2266" w:type="dxa"/>
            <w:shd w:val="clear" w:color="auto" w:fill="FFFFFF" w:themeFill="background1"/>
            <w:noWrap/>
            <w:vAlign w:val="center"/>
            <w:hideMark/>
          </w:tcPr>
          <w:p w14:paraId="1467E674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gefitinib,</w:t>
            </w:r>
            <w:r w:rsidRPr="0045609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erlotinib,</w:t>
            </w:r>
            <w:r w:rsidRPr="0045609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afatinib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14:paraId="7100A14A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RCT(8) Non-RCT(82)</w:t>
            </w:r>
          </w:p>
        </w:tc>
        <w:tc>
          <w:tcPr>
            <w:tcW w:w="1062" w:type="dxa"/>
            <w:shd w:val="clear" w:color="auto" w:fill="FFFFFF" w:themeFill="background1"/>
            <w:noWrap/>
            <w:vAlign w:val="center"/>
            <w:hideMark/>
          </w:tcPr>
          <w:p w14:paraId="40389A14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17621</w:t>
            </w:r>
          </w:p>
        </w:tc>
        <w:tc>
          <w:tcPr>
            <w:tcW w:w="261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567BD764" w14:textId="77777777" w:rsidR="00B10EB3" w:rsidRPr="00456092" w:rsidRDefault="00B10EB3" w:rsidP="0087394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Rash, diarrhea, liver dysfunction, nausea, vomiting, paronychia, </w:t>
            </w: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asthenic conditions, oral ulcer, pruritus</w:t>
            </w:r>
            <w:r w:rsidR="00873945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desquamation, eye change, stomatitis, constipation, interstitial lung disease, neutropenia</w:t>
            </w:r>
          </w:p>
        </w:tc>
      </w:tr>
      <w:tr w:rsidR="00B10EB3" w:rsidRPr="00456092" w14:paraId="736086D3" w14:textId="77777777" w:rsidTr="00403456">
        <w:trPr>
          <w:gridAfter w:val="1"/>
          <w:wAfter w:w="151" w:type="dxa"/>
          <w:trHeight w:val="300"/>
          <w:jc w:val="center"/>
        </w:trPr>
        <w:tc>
          <w:tcPr>
            <w:tcW w:w="1432" w:type="dxa"/>
            <w:shd w:val="clear" w:color="auto" w:fill="FFFFFF" w:themeFill="background1"/>
            <w:noWrap/>
            <w:vAlign w:val="center"/>
            <w:hideMark/>
          </w:tcPr>
          <w:p w14:paraId="573ACA24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Zhang</w:t>
            </w:r>
            <w:hyperlink w:anchor="_ENREF_8" w:tooltip="Zhang, 2017 #4620" w:history="1">
              <w:r w:rsidRPr="00456092"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</w:rPr>
                <w:fldChar w:fldCharType="begin"/>
              </w:r>
              <w:r w:rsidRPr="00456092"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</w:rPr>
                <w:instrText xml:space="preserve"> ADDIN EN.CITE &lt;EndNote&gt;&lt;Cite&gt;&lt;Author&gt;Zhang&lt;/Author&gt;&lt;Year&gt;2017&lt;/Year&gt;&lt;RecNum&gt;4620&lt;/RecNum&gt;&lt;DisplayText&gt;&lt;style face="superscript"&gt;8&lt;/style&gt;&lt;/DisplayText&gt;&lt;record&gt;&lt;rec-number&gt;4620&lt;/rec-number&gt;&lt;foreign-keys&gt;&lt;key app="EN" db-id="v0v5pt2r6ttpz3e2at75wztaz9fzvsetxxsx"&gt;4620&lt;/key&gt;&lt;/foreign-keys&gt;&lt;ref-type name="Journal Article"&gt;17&lt;/ref-type&gt;&lt;contributors&gt;&lt;authors&gt;&lt;author&gt;Zhang, Yaxiong&lt;/author&gt;&lt;author&gt;Miao, Siyu&lt;/author&gt;&lt;author&gt;Wang, Fang&lt;/author&gt;&lt;author&gt;Fang, Wenfeng&lt;/author&gt;&lt;author&gt;Chen, Gang&lt;/author&gt;&lt;author&gt;Chen, Xi&lt;/author&gt;&lt;author&gt;Yan, Fang&lt;/author&gt;&lt;author&gt;Huang, Xiaodan&lt;/author&gt;&lt;author&gt;Wu, Manli&lt;/author&gt;&lt;author&gt;Huang, Yan&lt;/author&gt;&lt;/authors&gt;&lt;/contributors&gt;&lt;titles&gt;&lt;title&gt;The efficacy and toxicity of afatinib in advanced EGFR-positive non-small-cell lung cancer patients after failure of first-generation tyrosine kinase inhibitors: a systematic review and meta-analysis&lt;/title&gt;&lt;secondary-title&gt;Journal of thoracic disease&lt;/secondary-title&gt;&lt;/titles&gt;&lt;periodical&gt;&lt;full-title&gt;Journal of thoracic disease&lt;/full-title&gt;&lt;/periodical&gt;&lt;pages&gt;1980&lt;/pages&gt;&lt;volume&gt;9&lt;/volume&gt;&lt;number&gt;7&lt;/number&gt;&lt;dates&gt;&lt;year&gt;2017&lt;/year&gt;&lt;/dates&gt;&lt;urls&gt;&lt;/urls&gt;&lt;/record&gt;&lt;/Cite&gt;&lt;/EndNote&gt;</w:instrText>
              </w:r>
              <w:r w:rsidRPr="00456092"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</w:rPr>
                <w:fldChar w:fldCharType="separate"/>
              </w:r>
              <w:r w:rsidRPr="00456092">
                <w:rPr>
                  <w:rFonts w:ascii="Times New Roman" w:eastAsia="宋体" w:hAnsi="Times New Roman" w:cs="Times New Roman"/>
                  <w:noProof/>
                  <w:color w:val="000000"/>
                  <w:kern w:val="0"/>
                  <w:sz w:val="20"/>
                  <w:szCs w:val="20"/>
                  <w:vertAlign w:val="superscript"/>
                </w:rPr>
                <w:t>8</w:t>
              </w:r>
              <w:r w:rsidRPr="00456092"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</w:rPr>
                <w:fldChar w:fldCharType="end"/>
              </w:r>
            </w:hyperlink>
          </w:p>
        </w:tc>
        <w:tc>
          <w:tcPr>
            <w:tcW w:w="797" w:type="dxa"/>
            <w:shd w:val="clear" w:color="auto" w:fill="FFFFFF" w:themeFill="background1"/>
            <w:noWrap/>
            <w:vAlign w:val="center"/>
            <w:hideMark/>
          </w:tcPr>
          <w:p w14:paraId="0569AC63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2017</w:t>
            </w:r>
          </w:p>
        </w:tc>
        <w:tc>
          <w:tcPr>
            <w:tcW w:w="2718" w:type="dxa"/>
            <w:shd w:val="clear" w:color="auto" w:fill="FFFFFF" w:themeFill="background1"/>
            <w:noWrap/>
            <w:vAlign w:val="center"/>
            <w:hideMark/>
          </w:tcPr>
          <w:p w14:paraId="4206F542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A</w:t>
            </w: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dvanced EGFR-positive NSCLC patients after failure of first-generation tyrosine kinase inhibitors</w:t>
            </w:r>
            <w:r w:rsidRPr="0045609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266" w:type="dxa"/>
            <w:shd w:val="clear" w:color="auto" w:fill="FFFFFF" w:themeFill="background1"/>
            <w:noWrap/>
            <w:vAlign w:val="center"/>
            <w:hideMark/>
          </w:tcPr>
          <w:p w14:paraId="1FFBADA9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afatinib</w:t>
            </w:r>
          </w:p>
        </w:tc>
        <w:tc>
          <w:tcPr>
            <w:tcW w:w="1590" w:type="dxa"/>
            <w:shd w:val="clear" w:color="auto" w:fill="FFFFFF" w:themeFill="background1"/>
            <w:noWrap/>
            <w:vAlign w:val="center"/>
            <w:hideMark/>
          </w:tcPr>
          <w:p w14:paraId="1541E737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RCT(0) Non-RCT(5)</w:t>
            </w:r>
          </w:p>
        </w:tc>
        <w:tc>
          <w:tcPr>
            <w:tcW w:w="1062" w:type="dxa"/>
            <w:shd w:val="clear" w:color="auto" w:fill="FFFFFF" w:themeFill="background1"/>
            <w:noWrap/>
            <w:vAlign w:val="center"/>
            <w:hideMark/>
          </w:tcPr>
          <w:p w14:paraId="1C4FF303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545</w:t>
            </w:r>
          </w:p>
        </w:tc>
        <w:tc>
          <w:tcPr>
            <w:tcW w:w="2619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422A7F40" w14:textId="77777777" w:rsidR="00B10EB3" w:rsidRPr="00456092" w:rsidRDefault="00B10EB3" w:rsidP="00890760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Rash, ance, diarrhoea</w:t>
            </w:r>
          </w:p>
        </w:tc>
      </w:tr>
      <w:tr w:rsidR="00B10EB3" w:rsidRPr="00456092" w14:paraId="62942CD3" w14:textId="77777777" w:rsidTr="00403456">
        <w:trPr>
          <w:gridAfter w:val="1"/>
          <w:wAfter w:w="151" w:type="dxa"/>
          <w:trHeight w:val="300"/>
          <w:jc w:val="center"/>
        </w:trPr>
        <w:tc>
          <w:tcPr>
            <w:tcW w:w="1432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213EEB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Zhang</w:t>
            </w:r>
            <w:hyperlink w:anchor="_ENREF_9" w:tooltip="Zhang, 2018 #4621" w:history="1">
              <w:r w:rsidRPr="00456092"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</w:rPr>
                <w:fldChar w:fldCharType="begin"/>
              </w:r>
              <w:r w:rsidRPr="00456092"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</w:rPr>
                <w:instrText xml:space="preserve"> ADDIN EN.CITE &lt;EndNote&gt;&lt;Cite&gt;&lt;Author&gt;Zhang&lt;/Author&gt;&lt;Year&gt;2018&lt;/Year&gt;&lt;RecNum&gt;4621&lt;/RecNum&gt;&lt;DisplayText&gt;&lt;style face="superscript"&gt;9&lt;/style&gt;&lt;/DisplayText&gt;&lt;record&gt;&lt;rec-number&gt;4621&lt;/rec-number&gt;&lt;foreign-keys&gt;&lt;key app="EN" db-id="v0v5pt2r6ttpz3e2at75wztaz9fzvsetxxsx"&gt;4621&lt;/key&gt;&lt;/foreign-keys&gt;&lt;ref-type name="Journal Article"&gt;17&lt;/ref-type&gt;&lt;contributors&gt;&lt;authors&gt;&lt;author&gt;Zhang, Wenxiong&lt;/author&gt;&lt;author&gt;Wei, Yiping&lt;/author&gt;&lt;author&gt;Yu, Dongliang&lt;/author&gt;&lt;author&gt;Xu, Jianjun&lt;/author&gt;&lt;author&gt;Peng, Jinhua&lt;/author&gt;&lt;/authors&gt;&lt;/contributors&gt;&lt;titles&gt;&lt;title&gt;Gefitinib provides similar effectiveness and improved safety than erlotinib for east Asian populations with advanced non–small cell lung cancer: a meta-analysis&lt;/title&gt;&lt;secondary-title&gt;BMC cancer&lt;/secondary-title&gt;&lt;/titles&gt;&lt;periodical&gt;&lt;full-title&gt;BMC cancer&lt;/full-title&gt;&lt;/periodical&gt;&lt;pages&gt;780&lt;/pages&gt;&lt;volume&gt;18&lt;/volume&gt;&lt;number&gt;1&lt;/number&gt;&lt;dates&gt;&lt;year&gt;2018&lt;/year&gt;&lt;/dates&gt;&lt;isbn&gt;1471-2407&lt;/isbn&gt;&lt;urls&gt;&lt;/urls&gt;&lt;/record&gt;&lt;/Cite&gt;&lt;/EndNote&gt;</w:instrText>
              </w:r>
              <w:r w:rsidRPr="00456092"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</w:rPr>
                <w:fldChar w:fldCharType="separate"/>
              </w:r>
              <w:r w:rsidRPr="00456092">
                <w:rPr>
                  <w:rFonts w:ascii="Times New Roman" w:eastAsia="宋体" w:hAnsi="Times New Roman" w:cs="Times New Roman"/>
                  <w:noProof/>
                  <w:color w:val="000000"/>
                  <w:kern w:val="0"/>
                  <w:sz w:val="20"/>
                  <w:szCs w:val="20"/>
                  <w:vertAlign w:val="superscript"/>
                </w:rPr>
                <w:t>9</w:t>
              </w:r>
              <w:r w:rsidRPr="00456092">
                <w:rPr>
                  <w:rFonts w:ascii="Times New Roman" w:eastAsia="宋体" w:hAnsi="Times New Roman" w:cs="Times New Roman"/>
                  <w:color w:val="000000"/>
                  <w:kern w:val="0"/>
                  <w:sz w:val="20"/>
                  <w:szCs w:val="20"/>
                </w:rPr>
                <w:fldChar w:fldCharType="end"/>
              </w:r>
            </w:hyperlink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77975C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2018</w:t>
            </w:r>
          </w:p>
        </w:tc>
        <w:tc>
          <w:tcPr>
            <w:tcW w:w="2718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F68407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A</w:t>
            </w: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dvanced NSCLC</w:t>
            </w:r>
            <w:r w:rsidRPr="0045609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patients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33F80E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gefitinib,</w:t>
            </w:r>
            <w:r w:rsidRPr="0045609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erlotinib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C00010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RCT(3) Non-RCT(28)</w:t>
            </w:r>
          </w:p>
        </w:tc>
        <w:tc>
          <w:tcPr>
            <w:tcW w:w="1062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CF2A86" w14:textId="77777777" w:rsidR="00B10EB3" w:rsidRPr="00456092" w:rsidRDefault="00B10EB3" w:rsidP="008907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8054</w:t>
            </w:r>
          </w:p>
        </w:tc>
        <w:tc>
          <w:tcPr>
            <w:tcW w:w="261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9F1FCF" w14:textId="77777777" w:rsidR="00B10EB3" w:rsidRPr="00456092" w:rsidRDefault="00B10EB3" w:rsidP="008907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56092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 w:rsidRPr="004560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kin rash, diarrhea, nausea, vomiting, fatigue, anorexia, interstitial lung disease, stomatitis, elevated liver enzymes, infection, neutropenia</w:t>
            </w:r>
          </w:p>
        </w:tc>
      </w:tr>
    </w:tbl>
    <w:p w14:paraId="698898AE" w14:textId="77777777" w:rsidR="00B10EB3" w:rsidRPr="00F94005" w:rsidRDefault="00F94005" w:rsidP="00B10EB3">
      <w:pPr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EGFR-TKI: epidermal growth factor receptor-tyrosine kinase inhibitor</w:t>
      </w:r>
    </w:p>
    <w:p w14:paraId="385638FB" w14:textId="77777777" w:rsidR="00F94005" w:rsidRPr="00F94005" w:rsidRDefault="00F94005" w:rsidP="00B10EB3">
      <w:pPr>
        <w:rPr>
          <w:rFonts w:ascii="Times New Roman" w:hAnsi="Times New Roman" w:cs="Times New Roman"/>
          <w:kern w:val="0"/>
          <w:sz w:val="24"/>
          <w:szCs w:val="24"/>
        </w:rPr>
      </w:pPr>
      <w:r w:rsidRPr="00F94005">
        <w:rPr>
          <w:rFonts w:ascii="Times New Roman" w:hAnsi="Times New Roman" w:cs="Times New Roman"/>
          <w:kern w:val="0"/>
          <w:sz w:val="24"/>
          <w:szCs w:val="24"/>
        </w:rPr>
        <w:t>NSCLC</w:t>
      </w:r>
      <w:r w:rsidRPr="00F94005">
        <w:rPr>
          <w:rFonts w:ascii="Times New Roman" w:hAnsi="Times New Roman" w:cs="Times New Roman" w:hint="eastAsia"/>
          <w:kern w:val="0"/>
          <w:sz w:val="24"/>
          <w:szCs w:val="24"/>
        </w:rPr>
        <w:t>: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F94005">
        <w:rPr>
          <w:rFonts w:ascii="Times New Roman" w:hAnsi="Times New Roman" w:cs="Times New Roman"/>
          <w:kern w:val="0"/>
          <w:sz w:val="24"/>
          <w:szCs w:val="24"/>
        </w:rPr>
        <w:t>non-small cell lung cancer</w:t>
      </w:r>
    </w:p>
    <w:p w14:paraId="5ED4D2FE" w14:textId="77777777" w:rsidR="00F94005" w:rsidRPr="00F94005" w:rsidRDefault="00F94005" w:rsidP="00B10EB3">
      <w:pPr>
        <w:rPr>
          <w:rFonts w:ascii="Times New Roman" w:hAnsi="Times New Roman" w:cs="Times New Roman"/>
          <w:kern w:val="0"/>
          <w:sz w:val="24"/>
          <w:szCs w:val="24"/>
        </w:rPr>
        <w:sectPr w:rsidR="00F94005" w:rsidRPr="00F94005" w:rsidSect="00093F13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F94005">
        <w:rPr>
          <w:rFonts w:ascii="Times New Roman" w:hAnsi="Times New Roman" w:cs="Times New Roman"/>
          <w:kern w:val="0"/>
          <w:sz w:val="24"/>
          <w:szCs w:val="24"/>
        </w:rPr>
        <w:t>RCT</w:t>
      </w:r>
      <w:r w:rsidRPr="00F94005">
        <w:rPr>
          <w:rFonts w:ascii="Times New Roman" w:hAnsi="Times New Roman" w:cs="Times New Roman" w:hint="eastAsia"/>
          <w:kern w:val="0"/>
          <w:sz w:val="24"/>
          <w:szCs w:val="24"/>
        </w:rPr>
        <w:t>:</w:t>
      </w:r>
      <w:r w:rsidRPr="00F94005">
        <w:rPr>
          <w:rFonts w:ascii="Times New Roman" w:hAnsi="Times New Roman" w:cs="Times New Roman"/>
          <w:kern w:val="0"/>
          <w:sz w:val="24"/>
          <w:szCs w:val="24"/>
        </w:rPr>
        <w:t xml:space="preserve"> randomized controlled trial</w:t>
      </w:r>
    </w:p>
    <w:p w14:paraId="25AF4400" w14:textId="77777777" w:rsidR="00B10EB3" w:rsidRPr="00456092" w:rsidRDefault="00B10EB3" w:rsidP="00B10EB3">
      <w:pPr>
        <w:rPr>
          <w:rFonts w:ascii="Times New Roman" w:hAnsi="Times New Roman" w:cs="Times New Roman"/>
        </w:rPr>
      </w:pPr>
    </w:p>
    <w:p w14:paraId="4FD072CA" w14:textId="77777777" w:rsidR="00B10EB3" w:rsidRPr="00456092" w:rsidRDefault="00B10EB3" w:rsidP="00B10EB3">
      <w:pPr>
        <w:jc w:val="center"/>
        <w:rPr>
          <w:rFonts w:ascii="Times New Roman" w:hAnsi="Times New Roman" w:cs="Times New Roman"/>
        </w:rPr>
      </w:pPr>
      <w:r w:rsidRPr="00456092">
        <w:rPr>
          <w:rFonts w:ascii="Times New Roman" w:hAnsi="Times New Roman" w:cs="Times New Roman"/>
        </w:rPr>
        <w:t>Reference</w:t>
      </w:r>
    </w:p>
    <w:p w14:paraId="0AD09178" w14:textId="77777777" w:rsidR="00B10EB3" w:rsidRPr="00456092" w:rsidRDefault="00B10EB3" w:rsidP="00B10EB3">
      <w:pPr>
        <w:ind w:left="720" w:hanging="720"/>
        <w:rPr>
          <w:rFonts w:ascii="Calibri" w:hAnsi="Calibri" w:cs="Calibri"/>
          <w:noProof/>
          <w:sz w:val="20"/>
        </w:rPr>
      </w:pPr>
      <w:r w:rsidRPr="00456092">
        <w:fldChar w:fldCharType="begin"/>
      </w:r>
      <w:r w:rsidRPr="00456092">
        <w:instrText xml:space="preserve"> ADDIN EN.REFLIST </w:instrText>
      </w:r>
      <w:r w:rsidRPr="00456092">
        <w:fldChar w:fldCharType="separate"/>
      </w:r>
      <w:bookmarkStart w:id="3" w:name="_ENREF_1"/>
      <w:r w:rsidRPr="00456092">
        <w:rPr>
          <w:rFonts w:ascii="Calibri" w:hAnsi="Calibri" w:cs="Calibri"/>
          <w:noProof/>
          <w:sz w:val="20"/>
        </w:rPr>
        <w:t>1</w:t>
      </w:r>
      <w:r w:rsidRPr="00456092">
        <w:rPr>
          <w:rFonts w:ascii="Calibri" w:hAnsi="Calibri" w:cs="Calibri"/>
          <w:noProof/>
          <w:sz w:val="20"/>
        </w:rPr>
        <w:tab/>
        <w:t>Zhang, Y.</w:t>
      </w:r>
      <w:r w:rsidRPr="00456092">
        <w:rPr>
          <w:rFonts w:ascii="Calibri" w:hAnsi="Calibri" w:cs="Calibri"/>
          <w:i/>
          <w:noProof/>
          <w:sz w:val="20"/>
        </w:rPr>
        <w:t xml:space="preserve"> et al.</w:t>
      </w:r>
      <w:r w:rsidRPr="00456092">
        <w:rPr>
          <w:rFonts w:ascii="Calibri" w:hAnsi="Calibri" w:cs="Calibri"/>
          <w:noProof/>
          <w:sz w:val="20"/>
        </w:rPr>
        <w:t xml:space="preserve"> Optimized selection of three major EGFR-TKIs in advanced EGFR-positive non-small cell lung cancer: a network metaanalysis. </w:t>
      </w:r>
      <w:r w:rsidRPr="00456092">
        <w:rPr>
          <w:rFonts w:ascii="Calibri" w:hAnsi="Calibri" w:cs="Calibri"/>
          <w:i/>
          <w:noProof/>
          <w:sz w:val="20"/>
        </w:rPr>
        <w:t>Oncotarget</w:t>
      </w:r>
      <w:r w:rsidRPr="00456092">
        <w:rPr>
          <w:rFonts w:ascii="Calibri" w:hAnsi="Calibri" w:cs="Calibri"/>
          <w:noProof/>
          <w:sz w:val="20"/>
        </w:rPr>
        <w:t xml:space="preserve"> </w:t>
      </w:r>
      <w:r w:rsidRPr="00456092">
        <w:rPr>
          <w:rFonts w:ascii="Calibri" w:hAnsi="Calibri" w:cs="Calibri"/>
          <w:b/>
          <w:noProof/>
          <w:sz w:val="20"/>
        </w:rPr>
        <w:t>7</w:t>
      </w:r>
      <w:r w:rsidRPr="00456092">
        <w:rPr>
          <w:rFonts w:ascii="Calibri" w:hAnsi="Calibri" w:cs="Calibri"/>
          <w:noProof/>
          <w:sz w:val="20"/>
        </w:rPr>
        <w:t>, 20093-20108 (2016).</w:t>
      </w:r>
      <w:bookmarkEnd w:id="3"/>
    </w:p>
    <w:p w14:paraId="7E695326" w14:textId="77777777" w:rsidR="00B10EB3" w:rsidRPr="00456092" w:rsidRDefault="00B10EB3" w:rsidP="00B10EB3">
      <w:pPr>
        <w:ind w:left="720" w:hanging="720"/>
        <w:rPr>
          <w:rFonts w:ascii="Calibri" w:hAnsi="Calibri" w:cs="Calibri"/>
          <w:noProof/>
          <w:sz w:val="20"/>
        </w:rPr>
      </w:pPr>
      <w:bookmarkStart w:id="4" w:name="_ENREF_2"/>
      <w:r w:rsidRPr="00456092">
        <w:rPr>
          <w:rFonts w:ascii="Calibri" w:hAnsi="Calibri" w:cs="Calibri"/>
          <w:noProof/>
          <w:sz w:val="20"/>
        </w:rPr>
        <w:t>2</w:t>
      </w:r>
      <w:r w:rsidRPr="00456092">
        <w:rPr>
          <w:rFonts w:ascii="Calibri" w:hAnsi="Calibri" w:cs="Calibri"/>
          <w:noProof/>
          <w:sz w:val="20"/>
        </w:rPr>
        <w:tab/>
        <w:t xml:space="preserve">Mauricio, B., Manasanch, E. E., Julia, W. &amp; Tito, F. Gefitinib and erlotinib in metastatic non-small cell lung cancer: a meta-analysis of toxicity and efficacy of randomized clinical trials. </w:t>
      </w:r>
      <w:r w:rsidRPr="00456092">
        <w:rPr>
          <w:rFonts w:ascii="Calibri" w:hAnsi="Calibri" w:cs="Calibri"/>
          <w:i/>
          <w:noProof/>
          <w:sz w:val="20"/>
        </w:rPr>
        <w:t>Oncologist</w:t>
      </w:r>
      <w:r w:rsidRPr="00456092">
        <w:rPr>
          <w:rFonts w:ascii="Calibri" w:hAnsi="Calibri" w:cs="Calibri"/>
          <w:noProof/>
          <w:sz w:val="20"/>
        </w:rPr>
        <w:t xml:space="preserve"> </w:t>
      </w:r>
      <w:r w:rsidRPr="00456092">
        <w:rPr>
          <w:rFonts w:ascii="Calibri" w:hAnsi="Calibri" w:cs="Calibri"/>
          <w:b/>
          <w:noProof/>
          <w:sz w:val="20"/>
        </w:rPr>
        <w:t>20</w:t>
      </w:r>
      <w:r w:rsidRPr="00456092">
        <w:rPr>
          <w:rFonts w:ascii="Calibri" w:hAnsi="Calibri" w:cs="Calibri"/>
          <w:noProof/>
          <w:sz w:val="20"/>
        </w:rPr>
        <w:t>, 400-410 (2015).</w:t>
      </w:r>
      <w:bookmarkEnd w:id="4"/>
    </w:p>
    <w:p w14:paraId="29A7DF9A" w14:textId="77777777" w:rsidR="00B10EB3" w:rsidRPr="00456092" w:rsidRDefault="00B10EB3" w:rsidP="00B10EB3">
      <w:pPr>
        <w:ind w:left="720" w:hanging="720"/>
        <w:rPr>
          <w:rFonts w:ascii="Calibri" w:hAnsi="Calibri" w:cs="Calibri"/>
          <w:noProof/>
          <w:sz w:val="20"/>
        </w:rPr>
      </w:pPr>
      <w:bookmarkStart w:id="5" w:name="_ENREF_3"/>
      <w:r w:rsidRPr="00456092">
        <w:rPr>
          <w:rFonts w:ascii="Calibri" w:hAnsi="Calibri" w:cs="Calibri"/>
          <w:noProof/>
          <w:sz w:val="20"/>
        </w:rPr>
        <w:t>3</w:t>
      </w:r>
      <w:r w:rsidRPr="00456092">
        <w:rPr>
          <w:rFonts w:ascii="Calibri" w:hAnsi="Calibri" w:cs="Calibri"/>
          <w:noProof/>
          <w:sz w:val="20"/>
        </w:rPr>
        <w:tab/>
        <w:t>Ding, P. N.</w:t>
      </w:r>
      <w:r w:rsidRPr="00456092">
        <w:rPr>
          <w:rFonts w:ascii="Calibri" w:hAnsi="Calibri" w:cs="Calibri"/>
          <w:i/>
          <w:noProof/>
          <w:sz w:val="20"/>
        </w:rPr>
        <w:t xml:space="preserve"> et al.</w:t>
      </w:r>
      <w:r w:rsidRPr="00456092">
        <w:rPr>
          <w:rFonts w:ascii="Calibri" w:hAnsi="Calibri" w:cs="Calibri"/>
          <w:noProof/>
          <w:sz w:val="20"/>
        </w:rPr>
        <w:t xml:space="preserve"> Risk of treatment-related toxicities from EGFR tyrosine kinase inhibitors: a meta-analysis of clinical trials of gefitinib, erlotinib, and afatinib in advanced EGFR-mutated non–small cell lung cancer. </w:t>
      </w:r>
      <w:r w:rsidRPr="00456092">
        <w:rPr>
          <w:rFonts w:ascii="Calibri" w:hAnsi="Calibri" w:cs="Calibri"/>
          <w:i/>
          <w:noProof/>
          <w:sz w:val="20"/>
        </w:rPr>
        <w:t>Journal of Thoracic Oncology</w:t>
      </w:r>
      <w:r w:rsidRPr="00456092">
        <w:rPr>
          <w:rFonts w:ascii="Calibri" w:hAnsi="Calibri" w:cs="Calibri"/>
          <w:noProof/>
          <w:sz w:val="20"/>
        </w:rPr>
        <w:t xml:space="preserve"> </w:t>
      </w:r>
      <w:r w:rsidRPr="00456092">
        <w:rPr>
          <w:rFonts w:ascii="Calibri" w:hAnsi="Calibri" w:cs="Calibri"/>
          <w:b/>
          <w:noProof/>
          <w:sz w:val="20"/>
        </w:rPr>
        <w:t>12</w:t>
      </w:r>
      <w:r w:rsidRPr="00456092">
        <w:rPr>
          <w:rFonts w:ascii="Calibri" w:hAnsi="Calibri" w:cs="Calibri"/>
          <w:noProof/>
          <w:sz w:val="20"/>
        </w:rPr>
        <w:t>, 633-643 (2017).</w:t>
      </w:r>
      <w:bookmarkEnd w:id="5"/>
    </w:p>
    <w:p w14:paraId="2839E818" w14:textId="77777777" w:rsidR="00B10EB3" w:rsidRPr="00456092" w:rsidRDefault="00B10EB3" w:rsidP="00B10EB3">
      <w:pPr>
        <w:ind w:left="720" w:hanging="720"/>
        <w:rPr>
          <w:rFonts w:ascii="Calibri" w:hAnsi="Calibri" w:cs="Calibri"/>
          <w:noProof/>
          <w:sz w:val="20"/>
        </w:rPr>
      </w:pPr>
      <w:bookmarkStart w:id="6" w:name="_ENREF_4"/>
      <w:r w:rsidRPr="00456092">
        <w:rPr>
          <w:rFonts w:ascii="Calibri" w:hAnsi="Calibri" w:cs="Calibri"/>
          <w:noProof/>
          <w:sz w:val="20"/>
        </w:rPr>
        <w:t>4</w:t>
      </w:r>
      <w:r w:rsidRPr="00456092">
        <w:rPr>
          <w:rFonts w:ascii="Calibri" w:hAnsi="Calibri" w:cs="Calibri"/>
          <w:noProof/>
          <w:sz w:val="20"/>
        </w:rPr>
        <w:tab/>
        <w:t xml:space="preserve">Hong, D., Zhang, G., Zhang, X. &amp; Lian, X. Pulmonary toxicities of gefitinib in patients with advanced non-small-cell lung cancer: a meta-analysis of randomized controlled trials. </w:t>
      </w:r>
      <w:r w:rsidRPr="00456092">
        <w:rPr>
          <w:rFonts w:ascii="Calibri" w:hAnsi="Calibri" w:cs="Calibri"/>
          <w:i/>
          <w:noProof/>
          <w:sz w:val="20"/>
        </w:rPr>
        <w:t>Medicine</w:t>
      </w:r>
      <w:r w:rsidRPr="00456092">
        <w:rPr>
          <w:rFonts w:ascii="Calibri" w:hAnsi="Calibri" w:cs="Calibri"/>
          <w:noProof/>
          <w:sz w:val="20"/>
        </w:rPr>
        <w:t xml:space="preserve"> </w:t>
      </w:r>
      <w:r w:rsidRPr="00456092">
        <w:rPr>
          <w:rFonts w:ascii="Calibri" w:hAnsi="Calibri" w:cs="Calibri"/>
          <w:b/>
          <w:noProof/>
          <w:sz w:val="20"/>
        </w:rPr>
        <w:t>95</w:t>
      </w:r>
      <w:r w:rsidRPr="00456092">
        <w:rPr>
          <w:rFonts w:ascii="Calibri" w:hAnsi="Calibri" w:cs="Calibri"/>
          <w:noProof/>
          <w:sz w:val="20"/>
        </w:rPr>
        <w:t xml:space="preserve"> (2016).</w:t>
      </w:r>
      <w:bookmarkEnd w:id="6"/>
    </w:p>
    <w:p w14:paraId="5089AFB1" w14:textId="77777777" w:rsidR="00B10EB3" w:rsidRPr="00456092" w:rsidRDefault="00B10EB3" w:rsidP="00B10EB3">
      <w:pPr>
        <w:ind w:left="720" w:hanging="720"/>
        <w:rPr>
          <w:rFonts w:ascii="Calibri" w:hAnsi="Calibri" w:cs="Calibri"/>
          <w:noProof/>
          <w:sz w:val="20"/>
        </w:rPr>
      </w:pPr>
      <w:bookmarkStart w:id="7" w:name="_ENREF_5"/>
      <w:r w:rsidRPr="00456092">
        <w:rPr>
          <w:rFonts w:ascii="Calibri" w:hAnsi="Calibri" w:cs="Calibri"/>
          <w:noProof/>
          <w:sz w:val="20"/>
        </w:rPr>
        <w:t>5</w:t>
      </w:r>
      <w:r w:rsidRPr="00456092">
        <w:rPr>
          <w:rFonts w:ascii="Calibri" w:hAnsi="Calibri" w:cs="Calibri"/>
          <w:noProof/>
          <w:sz w:val="20"/>
        </w:rPr>
        <w:tab/>
        <w:t xml:space="preserve">Lin, J.-Z., Ma, S.-K., Wu, S.-X., Yu, S.-H. &amp; Li, X.-Y. A network meta-analysis of nonsmall-cell lung cancer patients with an activating EGFR mutation: Should osimertinib be the first-line treatment? </w:t>
      </w:r>
      <w:r w:rsidRPr="00456092">
        <w:rPr>
          <w:rFonts w:ascii="Calibri" w:hAnsi="Calibri" w:cs="Calibri"/>
          <w:i/>
          <w:noProof/>
          <w:sz w:val="20"/>
        </w:rPr>
        <w:t>Medicine</w:t>
      </w:r>
      <w:r w:rsidRPr="00456092">
        <w:rPr>
          <w:rFonts w:ascii="Calibri" w:hAnsi="Calibri" w:cs="Calibri"/>
          <w:noProof/>
          <w:sz w:val="20"/>
        </w:rPr>
        <w:t xml:space="preserve"> </w:t>
      </w:r>
      <w:r w:rsidRPr="00456092">
        <w:rPr>
          <w:rFonts w:ascii="Calibri" w:hAnsi="Calibri" w:cs="Calibri"/>
          <w:b/>
          <w:noProof/>
          <w:sz w:val="20"/>
        </w:rPr>
        <w:t>97</w:t>
      </w:r>
      <w:r w:rsidRPr="00456092">
        <w:rPr>
          <w:rFonts w:ascii="Calibri" w:hAnsi="Calibri" w:cs="Calibri"/>
          <w:noProof/>
          <w:sz w:val="20"/>
        </w:rPr>
        <w:t xml:space="preserve"> (2018).</w:t>
      </w:r>
      <w:bookmarkEnd w:id="7"/>
    </w:p>
    <w:p w14:paraId="4D26045F" w14:textId="77777777" w:rsidR="00B10EB3" w:rsidRPr="00456092" w:rsidRDefault="00B10EB3" w:rsidP="00B10EB3">
      <w:pPr>
        <w:ind w:left="720" w:hanging="720"/>
        <w:rPr>
          <w:rFonts w:ascii="Calibri" w:hAnsi="Calibri" w:cs="Calibri"/>
          <w:noProof/>
          <w:sz w:val="20"/>
        </w:rPr>
      </w:pPr>
      <w:bookmarkStart w:id="8" w:name="_ENREF_6"/>
      <w:r w:rsidRPr="00456092">
        <w:rPr>
          <w:rFonts w:ascii="Calibri" w:hAnsi="Calibri" w:cs="Calibri"/>
          <w:noProof/>
          <w:sz w:val="20"/>
        </w:rPr>
        <w:t>6</w:t>
      </w:r>
      <w:r w:rsidRPr="00456092">
        <w:rPr>
          <w:rFonts w:ascii="Calibri" w:hAnsi="Calibri" w:cs="Calibri"/>
          <w:noProof/>
          <w:sz w:val="20"/>
        </w:rPr>
        <w:tab/>
        <w:t>Suh, C. H.</w:t>
      </w:r>
      <w:r w:rsidRPr="00456092">
        <w:rPr>
          <w:rFonts w:ascii="Calibri" w:hAnsi="Calibri" w:cs="Calibri"/>
          <w:i/>
          <w:noProof/>
          <w:sz w:val="20"/>
        </w:rPr>
        <w:t xml:space="preserve"> et al.</w:t>
      </w:r>
      <w:r w:rsidRPr="00456092">
        <w:rPr>
          <w:rFonts w:ascii="Calibri" w:hAnsi="Calibri" w:cs="Calibri"/>
          <w:noProof/>
          <w:sz w:val="20"/>
        </w:rPr>
        <w:t xml:space="preserve"> Pneumonitis in advanced non-small-cell lung cancer patients treated with EGFR tyrosine kinase inhibitor: Meta-analysis of 153 cohorts with 15,713 patients: Meta-analysis of incidence and risk factors of EGFR-TKI pneumonitis in NSCLC. </w:t>
      </w:r>
      <w:r w:rsidRPr="00456092">
        <w:rPr>
          <w:rFonts w:ascii="Calibri" w:hAnsi="Calibri" w:cs="Calibri"/>
          <w:i/>
          <w:noProof/>
          <w:sz w:val="20"/>
        </w:rPr>
        <w:t>Lung Cancer</w:t>
      </w:r>
      <w:r w:rsidRPr="00456092">
        <w:rPr>
          <w:rFonts w:ascii="Calibri" w:hAnsi="Calibri" w:cs="Calibri"/>
          <w:noProof/>
          <w:sz w:val="20"/>
        </w:rPr>
        <w:t xml:space="preserve"> </w:t>
      </w:r>
      <w:r w:rsidRPr="00456092">
        <w:rPr>
          <w:rFonts w:ascii="Calibri" w:hAnsi="Calibri" w:cs="Calibri"/>
          <w:b/>
          <w:noProof/>
          <w:sz w:val="20"/>
        </w:rPr>
        <w:t>123</w:t>
      </w:r>
      <w:r w:rsidRPr="00456092">
        <w:rPr>
          <w:rFonts w:ascii="Calibri" w:hAnsi="Calibri" w:cs="Calibri"/>
          <w:noProof/>
          <w:sz w:val="20"/>
        </w:rPr>
        <w:t>, 60-69 (2018).</w:t>
      </w:r>
      <w:bookmarkEnd w:id="8"/>
    </w:p>
    <w:p w14:paraId="4682A001" w14:textId="77777777" w:rsidR="00B10EB3" w:rsidRPr="00456092" w:rsidRDefault="00B10EB3" w:rsidP="00B10EB3">
      <w:pPr>
        <w:ind w:left="720" w:hanging="720"/>
        <w:rPr>
          <w:rFonts w:ascii="Calibri" w:hAnsi="Calibri" w:cs="Calibri"/>
          <w:noProof/>
          <w:sz w:val="20"/>
        </w:rPr>
      </w:pPr>
      <w:bookmarkStart w:id="9" w:name="_ENREF_7"/>
      <w:r w:rsidRPr="00456092">
        <w:rPr>
          <w:rFonts w:ascii="Calibri" w:hAnsi="Calibri" w:cs="Calibri" w:hint="eastAsia"/>
          <w:noProof/>
          <w:sz w:val="20"/>
        </w:rPr>
        <w:t>7</w:t>
      </w:r>
      <w:r w:rsidRPr="00456092">
        <w:rPr>
          <w:rFonts w:ascii="Calibri" w:hAnsi="Calibri" w:cs="Calibri" w:hint="eastAsia"/>
          <w:noProof/>
          <w:sz w:val="20"/>
        </w:rPr>
        <w:tab/>
        <w:t>Yang, Z.</w:t>
      </w:r>
      <w:r w:rsidRPr="00456092">
        <w:rPr>
          <w:rFonts w:ascii="Calibri" w:hAnsi="Calibri" w:cs="Calibri" w:hint="eastAsia"/>
          <w:i/>
          <w:noProof/>
          <w:sz w:val="20"/>
        </w:rPr>
        <w:t xml:space="preserve"> et al.</w:t>
      </w:r>
      <w:r w:rsidRPr="00456092">
        <w:rPr>
          <w:rFonts w:ascii="Calibri" w:hAnsi="Calibri" w:cs="Calibri" w:hint="eastAsia"/>
          <w:noProof/>
          <w:sz w:val="20"/>
        </w:rPr>
        <w:t xml:space="preserve"> Comparison of gefitinib, erlotinib and afatinib in non</w:t>
      </w:r>
      <w:r w:rsidRPr="00456092">
        <w:rPr>
          <w:rFonts w:ascii="Calibri" w:hAnsi="Calibri" w:cs="Calibri" w:hint="eastAsia"/>
          <w:noProof/>
          <w:sz w:val="20"/>
        </w:rPr>
        <w:t>‐</w:t>
      </w:r>
      <w:r w:rsidRPr="00456092">
        <w:rPr>
          <w:rFonts w:ascii="Calibri" w:hAnsi="Calibri" w:cs="Calibri" w:hint="eastAsia"/>
          <w:noProof/>
          <w:sz w:val="20"/>
        </w:rPr>
        <w:t>small cell lung cancer: A meta</w:t>
      </w:r>
      <w:r w:rsidRPr="00456092">
        <w:rPr>
          <w:rFonts w:ascii="Calibri" w:hAnsi="Calibri" w:cs="Calibri" w:hint="eastAsia"/>
          <w:noProof/>
          <w:sz w:val="20"/>
        </w:rPr>
        <w:t>‐</w:t>
      </w:r>
      <w:r w:rsidRPr="00456092">
        <w:rPr>
          <w:rFonts w:ascii="Calibri" w:hAnsi="Calibri" w:cs="Calibri" w:hint="eastAsia"/>
          <w:noProof/>
          <w:sz w:val="20"/>
        </w:rPr>
        <w:t xml:space="preserve">analysis. </w:t>
      </w:r>
      <w:r w:rsidRPr="00456092">
        <w:rPr>
          <w:rFonts w:ascii="Calibri" w:hAnsi="Calibri" w:cs="Calibri" w:hint="eastAsia"/>
          <w:i/>
          <w:noProof/>
          <w:sz w:val="20"/>
        </w:rPr>
        <w:t>International journal of cancer</w:t>
      </w:r>
      <w:r w:rsidRPr="00456092">
        <w:rPr>
          <w:rFonts w:ascii="Calibri" w:hAnsi="Calibri" w:cs="Calibri" w:hint="eastAsia"/>
          <w:noProof/>
          <w:sz w:val="20"/>
        </w:rPr>
        <w:t xml:space="preserve"> </w:t>
      </w:r>
      <w:r w:rsidRPr="00456092">
        <w:rPr>
          <w:rFonts w:ascii="Calibri" w:hAnsi="Calibri" w:cs="Calibri" w:hint="eastAsia"/>
          <w:b/>
          <w:noProof/>
          <w:sz w:val="20"/>
        </w:rPr>
        <w:t>140</w:t>
      </w:r>
      <w:r w:rsidRPr="00456092">
        <w:rPr>
          <w:rFonts w:ascii="Calibri" w:hAnsi="Calibri" w:cs="Calibri" w:hint="eastAsia"/>
          <w:noProof/>
          <w:sz w:val="20"/>
        </w:rPr>
        <w:t xml:space="preserve">, </w:t>
      </w:r>
      <w:r w:rsidRPr="00456092">
        <w:rPr>
          <w:rFonts w:ascii="Calibri" w:hAnsi="Calibri" w:cs="Calibri"/>
          <w:noProof/>
          <w:sz w:val="20"/>
        </w:rPr>
        <w:t>2805-2819 (2017).</w:t>
      </w:r>
      <w:bookmarkEnd w:id="9"/>
    </w:p>
    <w:p w14:paraId="1C412AFF" w14:textId="77777777" w:rsidR="00B10EB3" w:rsidRPr="00456092" w:rsidRDefault="00B10EB3" w:rsidP="00B10EB3">
      <w:pPr>
        <w:ind w:left="720" w:hanging="720"/>
        <w:rPr>
          <w:rFonts w:ascii="Calibri" w:hAnsi="Calibri" w:cs="Calibri"/>
          <w:noProof/>
          <w:sz w:val="20"/>
        </w:rPr>
      </w:pPr>
      <w:bookmarkStart w:id="10" w:name="_ENREF_8"/>
      <w:r w:rsidRPr="00456092">
        <w:rPr>
          <w:rFonts w:ascii="Calibri" w:hAnsi="Calibri" w:cs="Calibri"/>
          <w:noProof/>
          <w:sz w:val="20"/>
        </w:rPr>
        <w:t>8</w:t>
      </w:r>
      <w:r w:rsidRPr="00456092">
        <w:rPr>
          <w:rFonts w:ascii="Calibri" w:hAnsi="Calibri" w:cs="Calibri"/>
          <w:noProof/>
          <w:sz w:val="20"/>
        </w:rPr>
        <w:tab/>
        <w:t>Zhang, Y.</w:t>
      </w:r>
      <w:r w:rsidRPr="00456092">
        <w:rPr>
          <w:rFonts w:ascii="Calibri" w:hAnsi="Calibri" w:cs="Calibri"/>
          <w:i/>
          <w:noProof/>
          <w:sz w:val="20"/>
        </w:rPr>
        <w:t xml:space="preserve"> et al.</w:t>
      </w:r>
      <w:r w:rsidRPr="00456092">
        <w:rPr>
          <w:rFonts w:ascii="Calibri" w:hAnsi="Calibri" w:cs="Calibri"/>
          <w:noProof/>
          <w:sz w:val="20"/>
        </w:rPr>
        <w:t xml:space="preserve"> The efficacy and toxicity of afatinib in advanced EGFR-positive non-small-cell lung cancer patients after failure of first-generation tyrosine kinase inhibitors: a systematic review and meta-analysis. </w:t>
      </w:r>
      <w:r w:rsidRPr="00456092">
        <w:rPr>
          <w:rFonts w:ascii="Calibri" w:hAnsi="Calibri" w:cs="Calibri"/>
          <w:i/>
          <w:noProof/>
          <w:sz w:val="20"/>
        </w:rPr>
        <w:t>Journal of thoracic disease</w:t>
      </w:r>
      <w:r w:rsidRPr="00456092">
        <w:rPr>
          <w:rFonts w:ascii="Calibri" w:hAnsi="Calibri" w:cs="Calibri"/>
          <w:noProof/>
          <w:sz w:val="20"/>
        </w:rPr>
        <w:t xml:space="preserve"> </w:t>
      </w:r>
      <w:r w:rsidRPr="00456092">
        <w:rPr>
          <w:rFonts w:ascii="Calibri" w:hAnsi="Calibri" w:cs="Calibri"/>
          <w:b/>
          <w:noProof/>
          <w:sz w:val="20"/>
        </w:rPr>
        <w:t>9</w:t>
      </w:r>
      <w:r w:rsidRPr="00456092">
        <w:rPr>
          <w:rFonts w:ascii="Calibri" w:hAnsi="Calibri" w:cs="Calibri"/>
          <w:noProof/>
          <w:sz w:val="20"/>
        </w:rPr>
        <w:t>, 1980 (2017).</w:t>
      </w:r>
      <w:bookmarkEnd w:id="10"/>
    </w:p>
    <w:p w14:paraId="0B1B29F1" w14:textId="77777777" w:rsidR="00B10EB3" w:rsidRPr="00456092" w:rsidRDefault="00B10EB3" w:rsidP="00B10EB3">
      <w:pPr>
        <w:ind w:left="720" w:hanging="720"/>
        <w:rPr>
          <w:rFonts w:ascii="Calibri" w:hAnsi="Calibri" w:cs="Calibri"/>
          <w:noProof/>
          <w:sz w:val="20"/>
        </w:rPr>
      </w:pPr>
      <w:bookmarkStart w:id="11" w:name="_ENREF_9"/>
      <w:r w:rsidRPr="00456092">
        <w:rPr>
          <w:rFonts w:ascii="Calibri" w:hAnsi="Calibri" w:cs="Calibri"/>
          <w:noProof/>
          <w:sz w:val="20"/>
        </w:rPr>
        <w:t>9</w:t>
      </w:r>
      <w:r w:rsidRPr="00456092">
        <w:rPr>
          <w:rFonts w:ascii="Calibri" w:hAnsi="Calibri" w:cs="Calibri"/>
          <w:noProof/>
          <w:sz w:val="20"/>
        </w:rPr>
        <w:tab/>
        <w:t xml:space="preserve">Zhang, W., Wei, Y., Yu, D., Xu, J. &amp; Peng, J. Gefitinib provides similar effectiveness and improved safety than erlotinib for east Asian populations with advanced non–small cell lung cancer: a meta-analysis. </w:t>
      </w:r>
      <w:r w:rsidRPr="00456092">
        <w:rPr>
          <w:rFonts w:ascii="Calibri" w:hAnsi="Calibri" w:cs="Calibri"/>
          <w:i/>
          <w:noProof/>
          <w:sz w:val="20"/>
        </w:rPr>
        <w:t>BMC cancer</w:t>
      </w:r>
      <w:r w:rsidRPr="00456092">
        <w:rPr>
          <w:rFonts w:ascii="Calibri" w:hAnsi="Calibri" w:cs="Calibri"/>
          <w:noProof/>
          <w:sz w:val="20"/>
        </w:rPr>
        <w:t xml:space="preserve"> </w:t>
      </w:r>
      <w:r w:rsidRPr="00456092">
        <w:rPr>
          <w:rFonts w:ascii="Calibri" w:hAnsi="Calibri" w:cs="Calibri"/>
          <w:b/>
          <w:noProof/>
          <w:sz w:val="20"/>
        </w:rPr>
        <w:t>18</w:t>
      </w:r>
      <w:r w:rsidRPr="00456092">
        <w:rPr>
          <w:rFonts w:ascii="Calibri" w:hAnsi="Calibri" w:cs="Calibri"/>
          <w:noProof/>
          <w:sz w:val="20"/>
        </w:rPr>
        <w:t>, 780 (2018).</w:t>
      </w:r>
      <w:bookmarkEnd w:id="11"/>
    </w:p>
    <w:p w14:paraId="2C24C9F5" w14:textId="77777777" w:rsidR="00B10EB3" w:rsidRPr="00456092" w:rsidRDefault="00B10EB3" w:rsidP="00B10EB3">
      <w:pPr>
        <w:rPr>
          <w:rFonts w:ascii="Calibri" w:hAnsi="Calibri" w:cs="Calibri"/>
          <w:noProof/>
          <w:sz w:val="20"/>
        </w:rPr>
      </w:pPr>
    </w:p>
    <w:p w14:paraId="1A6499D1" w14:textId="77777777" w:rsidR="00D837CE" w:rsidRPr="0082259F" w:rsidRDefault="00B10EB3" w:rsidP="00B10EB3">
      <w:r w:rsidRPr="00456092">
        <w:fldChar w:fldCharType="end"/>
      </w:r>
    </w:p>
    <w:sectPr w:rsidR="00D837CE" w:rsidRPr="008225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B5E156" w14:textId="77777777" w:rsidR="002275DC" w:rsidRDefault="002275DC" w:rsidP="0082259F">
      <w:r>
        <w:separator/>
      </w:r>
    </w:p>
  </w:endnote>
  <w:endnote w:type="continuationSeparator" w:id="0">
    <w:p w14:paraId="36ACAEEB" w14:textId="77777777" w:rsidR="002275DC" w:rsidRDefault="002275DC" w:rsidP="00822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Semibold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AdvTimes">
    <w:altName w:val="微软雅黑"/>
    <w:charset w:val="00"/>
    <w:family w:val="auto"/>
    <w:pitch w:val="default"/>
    <w:sig w:usb0="00000001" w:usb1="080E0000" w:usb2="00000010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40A962" w14:textId="77777777" w:rsidR="002275DC" w:rsidRDefault="002275DC" w:rsidP="0082259F">
      <w:r>
        <w:separator/>
      </w:r>
    </w:p>
  </w:footnote>
  <w:footnote w:type="continuationSeparator" w:id="0">
    <w:p w14:paraId="19F51495" w14:textId="77777777" w:rsidR="002275DC" w:rsidRDefault="002275DC" w:rsidP="008225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2395"/>
    <w:rsid w:val="000336FA"/>
    <w:rsid w:val="000A158E"/>
    <w:rsid w:val="000E161D"/>
    <w:rsid w:val="00165091"/>
    <w:rsid w:val="001E0552"/>
    <w:rsid w:val="002275DC"/>
    <w:rsid w:val="002A6DFA"/>
    <w:rsid w:val="002F2146"/>
    <w:rsid w:val="002F6402"/>
    <w:rsid w:val="003D4FE3"/>
    <w:rsid w:val="00403456"/>
    <w:rsid w:val="00456092"/>
    <w:rsid w:val="004F07CE"/>
    <w:rsid w:val="00517F51"/>
    <w:rsid w:val="0052506E"/>
    <w:rsid w:val="00596879"/>
    <w:rsid w:val="006B5987"/>
    <w:rsid w:val="006E0B9B"/>
    <w:rsid w:val="007A7833"/>
    <w:rsid w:val="007B6361"/>
    <w:rsid w:val="00807E1F"/>
    <w:rsid w:val="0082259F"/>
    <w:rsid w:val="00873945"/>
    <w:rsid w:val="008B4AF8"/>
    <w:rsid w:val="00907645"/>
    <w:rsid w:val="009279A5"/>
    <w:rsid w:val="009560DC"/>
    <w:rsid w:val="009A3223"/>
    <w:rsid w:val="009F56A3"/>
    <w:rsid w:val="00B10EB3"/>
    <w:rsid w:val="00B24384"/>
    <w:rsid w:val="00B72395"/>
    <w:rsid w:val="00BA5EA3"/>
    <w:rsid w:val="00BE2EB9"/>
    <w:rsid w:val="00C16531"/>
    <w:rsid w:val="00C92C6A"/>
    <w:rsid w:val="00CA7899"/>
    <w:rsid w:val="00D22CA0"/>
    <w:rsid w:val="00D3517D"/>
    <w:rsid w:val="00D837CE"/>
    <w:rsid w:val="00DE36F6"/>
    <w:rsid w:val="00E57C37"/>
    <w:rsid w:val="00EF11DA"/>
    <w:rsid w:val="00F61338"/>
    <w:rsid w:val="00F9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D3FCB2"/>
  <w15:docId w15:val="{306E16AB-5E17-4804-9F84-FD662E89E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25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259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25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259F"/>
    <w:rPr>
      <w:sz w:val="18"/>
      <w:szCs w:val="18"/>
    </w:rPr>
  </w:style>
  <w:style w:type="paragraph" w:customStyle="1" w:styleId="Default">
    <w:name w:val="Default"/>
    <w:rsid w:val="00B10EB3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kern w:val="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9A3223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9A3223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9A3223"/>
  </w:style>
  <w:style w:type="paragraph" w:styleId="aa">
    <w:name w:val="annotation subject"/>
    <w:basedOn w:val="a8"/>
    <w:next w:val="a8"/>
    <w:link w:val="ab"/>
    <w:uiPriority w:val="99"/>
    <w:semiHidden/>
    <w:unhideWhenUsed/>
    <w:rsid w:val="009A3223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9A3223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9A3223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9A32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4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0C7D9-EE1C-4DEC-B0AB-12DA4804D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2654</Words>
  <Characters>15128</Characters>
  <Application>Microsoft Office Word</Application>
  <DocSecurity>0</DocSecurity>
  <Lines>126</Lines>
  <Paragraphs>35</Paragraphs>
  <ScaleCrop>false</ScaleCrop>
  <Company/>
  <LinksUpToDate>false</LinksUpToDate>
  <CharactersWithSpaces>17747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34346</dc:creator>
  <cp:lastModifiedBy>1057588658@qq.com</cp:lastModifiedBy>
  <cp:revision>4</cp:revision>
  <dcterms:created xsi:type="dcterms:W3CDTF">2020-02-12T15:18:00Z</dcterms:created>
  <dcterms:modified xsi:type="dcterms:W3CDTF">2020-02-18T14:35:00Z</dcterms:modified>
</cp:coreProperties>
</file>