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87819" w14:textId="4BA7A873" w:rsidR="00F240E4" w:rsidRDefault="001F74B2">
      <w:pPr>
        <w:pStyle w:val="BodyA"/>
        <w:spacing w:line="360" w:lineRule="auto"/>
        <w:jc w:val="both"/>
        <w:rPr>
          <w:sz w:val="36"/>
          <w:szCs w:val="36"/>
        </w:rPr>
      </w:pPr>
      <w:r>
        <w:rPr>
          <w:sz w:val="36"/>
          <w:szCs w:val="36"/>
        </w:rPr>
        <w:t xml:space="preserve">Supplementary </w:t>
      </w:r>
      <w:r w:rsidR="00F80945">
        <w:rPr>
          <w:sz w:val="36"/>
          <w:szCs w:val="36"/>
        </w:rPr>
        <w:t>Information</w:t>
      </w:r>
    </w:p>
    <w:p w14:paraId="11A44E99" w14:textId="77777777" w:rsidR="00F240E4" w:rsidRDefault="00F240E4">
      <w:pPr>
        <w:pStyle w:val="BodyA"/>
        <w:spacing w:line="360" w:lineRule="auto"/>
        <w:jc w:val="both"/>
        <w:rPr>
          <w:sz w:val="36"/>
          <w:szCs w:val="36"/>
        </w:rPr>
      </w:pPr>
    </w:p>
    <w:p w14:paraId="6767EC44" w14:textId="77777777" w:rsidR="00F240E4" w:rsidRDefault="001F74B2">
      <w:pPr>
        <w:pStyle w:val="BodyA"/>
        <w:spacing w:line="360" w:lineRule="auto"/>
        <w:jc w:val="both"/>
        <w:rPr>
          <w:rFonts w:ascii="Times New Roman" w:eastAsia="Times New Roman" w:hAnsi="Times New Roman" w:cs="Times New Roman"/>
          <w:b/>
          <w:bCs/>
          <w:sz w:val="36"/>
          <w:szCs w:val="36"/>
        </w:rPr>
      </w:pPr>
      <w:r>
        <w:rPr>
          <w:rFonts w:ascii="Times New Roman" w:hAnsi="Times New Roman"/>
          <w:b/>
          <w:bCs/>
          <w:sz w:val="36"/>
          <w:szCs w:val="36"/>
        </w:rPr>
        <w:t>Future continental summer warming constrained by the present-day seasonal cycle of surface hydrology</w:t>
      </w:r>
    </w:p>
    <w:p w14:paraId="18DFDEBF" w14:textId="77777777" w:rsidR="00F240E4" w:rsidRDefault="001F74B2">
      <w:pPr>
        <w:pStyle w:val="BodyA"/>
        <w:spacing w:line="360" w:lineRule="auto"/>
        <w:jc w:val="both"/>
        <w:rPr>
          <w:rFonts w:ascii="Times New Roman" w:eastAsia="Times New Roman" w:hAnsi="Times New Roman" w:cs="Times New Roman"/>
          <w:i/>
          <w:iCs/>
          <w:sz w:val="24"/>
          <w:szCs w:val="24"/>
        </w:rPr>
      </w:pPr>
      <w:r>
        <w:rPr>
          <w:rFonts w:ascii="Times New Roman" w:hAnsi="Times New Roman"/>
          <w:sz w:val="24"/>
          <w:szCs w:val="24"/>
        </w:rPr>
        <w:t>F. M. Selten, R. Bintanja, R. Vautard &amp; B. J. J. M. van den Hurk</w:t>
      </w:r>
    </w:p>
    <w:p w14:paraId="5F710A65" w14:textId="77777777" w:rsidR="00F240E4" w:rsidRDefault="00F240E4">
      <w:pPr>
        <w:pStyle w:val="BodyA"/>
        <w:spacing w:line="360" w:lineRule="auto"/>
        <w:jc w:val="both"/>
        <w:rPr>
          <w:rFonts w:ascii="Times New Roman" w:eastAsia="Times New Roman" w:hAnsi="Times New Roman" w:cs="Times New Roman"/>
          <w:b/>
          <w:bCs/>
          <w:sz w:val="24"/>
          <w:szCs w:val="24"/>
        </w:rPr>
      </w:pPr>
    </w:p>
    <w:p w14:paraId="38F3A3A2" w14:textId="77777777" w:rsidR="00AC1825" w:rsidRDefault="00AC1825">
      <w:pPr>
        <w:pStyle w:val="BodyA"/>
        <w:spacing w:line="360" w:lineRule="auto"/>
        <w:jc w:val="both"/>
        <w:rPr>
          <w:rFonts w:ascii="Times New Roman" w:eastAsia="Times New Roman" w:hAnsi="Times New Roman" w:cs="Times New Roman"/>
          <w:b/>
          <w:bCs/>
          <w:sz w:val="24"/>
          <w:szCs w:val="24"/>
        </w:rPr>
      </w:pPr>
    </w:p>
    <w:p w14:paraId="635ECB0B" w14:textId="2091FC04" w:rsidR="009E1DD9" w:rsidRDefault="001F74B2">
      <w:pPr>
        <w:pStyle w:val="BodyA"/>
        <w:spacing w:line="360" w:lineRule="auto"/>
        <w:jc w:val="both"/>
        <w:rPr>
          <w:rFonts w:ascii="Times New Roman" w:hAnsi="Times New Roman"/>
          <w:b/>
          <w:bCs/>
          <w:sz w:val="24"/>
          <w:szCs w:val="24"/>
        </w:rPr>
      </w:pPr>
      <w:r>
        <w:rPr>
          <w:rFonts w:ascii="Times New Roman" w:hAnsi="Times New Roman"/>
          <w:b/>
          <w:bCs/>
          <w:sz w:val="24"/>
          <w:szCs w:val="24"/>
        </w:rPr>
        <w:t xml:space="preserve">Statistical test of the </w:t>
      </w:r>
      <w:r w:rsidR="00283E4D">
        <w:rPr>
          <w:rFonts w:ascii="Times New Roman" w:hAnsi="Times New Roman"/>
          <w:b/>
          <w:bCs/>
          <w:sz w:val="24"/>
          <w:szCs w:val="24"/>
        </w:rPr>
        <w:t xml:space="preserve">null </w:t>
      </w:r>
      <w:r>
        <w:rPr>
          <w:rFonts w:ascii="Times New Roman" w:hAnsi="Times New Roman"/>
          <w:b/>
          <w:bCs/>
          <w:sz w:val="24"/>
          <w:szCs w:val="24"/>
        </w:rPr>
        <w:t>hypothesis that model bias has no relation to projected warming</w:t>
      </w:r>
    </w:p>
    <w:p w14:paraId="46A05504" w14:textId="05D9B8D9" w:rsidR="00F240E4" w:rsidRDefault="001F74B2">
      <w:pPr>
        <w:pStyle w:val="BodyA"/>
        <w:spacing w:line="360" w:lineRule="auto"/>
        <w:jc w:val="both"/>
        <w:rPr>
          <w:rFonts w:ascii="Times New Roman" w:eastAsia="Times New Roman" w:hAnsi="Times New Roman" w:cs="Times New Roman"/>
          <w:sz w:val="24"/>
          <w:szCs w:val="24"/>
        </w:rPr>
      </w:pPr>
      <w:r>
        <w:rPr>
          <w:rFonts w:ascii="Times New Roman" w:hAnsi="Times New Roman"/>
          <w:sz w:val="24"/>
          <w:szCs w:val="24"/>
        </w:rPr>
        <w:t xml:space="preserve">Supplementary Figure 1 illustrates </w:t>
      </w:r>
      <w:r w:rsidR="00AC1825">
        <w:rPr>
          <w:rFonts w:ascii="Times New Roman" w:hAnsi="Times New Roman"/>
          <w:sz w:val="24"/>
          <w:szCs w:val="24"/>
        </w:rPr>
        <w:t>the</w:t>
      </w:r>
      <w:r>
        <w:rPr>
          <w:rFonts w:ascii="Times New Roman" w:hAnsi="Times New Roman"/>
          <w:sz w:val="24"/>
          <w:szCs w:val="24"/>
        </w:rPr>
        <w:t xml:space="preserve"> </w:t>
      </w:r>
      <w:r w:rsidR="008748A9">
        <w:rPr>
          <w:rFonts w:ascii="Times New Roman" w:hAnsi="Times New Roman"/>
          <w:sz w:val="24"/>
          <w:szCs w:val="24"/>
        </w:rPr>
        <w:t>statistical test</w:t>
      </w:r>
      <w:r>
        <w:rPr>
          <w:rFonts w:ascii="Times New Roman" w:hAnsi="Times New Roman"/>
          <w:sz w:val="24"/>
          <w:szCs w:val="24"/>
        </w:rPr>
        <w:t xml:space="preserve"> </w:t>
      </w:r>
      <w:r w:rsidR="008748A9">
        <w:rPr>
          <w:rFonts w:ascii="Times New Roman" w:hAnsi="Times New Roman"/>
          <w:sz w:val="24"/>
          <w:szCs w:val="24"/>
        </w:rPr>
        <w:t>as outlined in Methods</w:t>
      </w:r>
      <w:r w:rsidR="008748A9">
        <w:rPr>
          <w:rFonts w:ascii="Times New Roman" w:hAnsi="Times New Roman"/>
          <w:sz w:val="24"/>
          <w:szCs w:val="24"/>
        </w:rPr>
        <w:t xml:space="preserve"> </w:t>
      </w:r>
      <w:r>
        <w:rPr>
          <w:rFonts w:ascii="Times New Roman" w:hAnsi="Times New Roman"/>
          <w:sz w:val="24"/>
          <w:szCs w:val="24"/>
        </w:rPr>
        <w:t xml:space="preserve">for the annual near-global mean temperature and the summer hot-spot temperature. </w:t>
      </w:r>
      <w:r w:rsidR="00283E4D">
        <w:rPr>
          <w:rFonts w:ascii="Times New Roman" w:hAnsi="Times New Roman"/>
          <w:sz w:val="24"/>
          <w:szCs w:val="24"/>
        </w:rPr>
        <w:t xml:space="preserve">For the near-global mean temperature the spread of future temperatures is consistent with the null hypothesis. In some regions however, </w:t>
      </w:r>
      <w:r w:rsidR="00FB2139">
        <w:rPr>
          <w:rFonts w:ascii="Times New Roman" w:hAnsi="Times New Roman"/>
          <w:sz w:val="24"/>
          <w:szCs w:val="24"/>
        </w:rPr>
        <w:t xml:space="preserve">for </w:t>
      </w:r>
      <w:r w:rsidR="00343808">
        <w:rPr>
          <w:rFonts w:ascii="Times New Roman" w:hAnsi="Times New Roman"/>
          <w:sz w:val="24"/>
          <w:szCs w:val="24"/>
        </w:rPr>
        <w:t xml:space="preserve">example in </w:t>
      </w:r>
      <w:r>
        <w:rPr>
          <w:rFonts w:ascii="Times New Roman" w:hAnsi="Times New Roman"/>
          <w:sz w:val="24"/>
          <w:szCs w:val="24"/>
        </w:rPr>
        <w:t xml:space="preserve">the </w:t>
      </w:r>
      <w:r w:rsidR="00283E4D">
        <w:rPr>
          <w:rFonts w:ascii="Times New Roman" w:hAnsi="Times New Roman"/>
          <w:sz w:val="24"/>
          <w:szCs w:val="24"/>
        </w:rPr>
        <w:t xml:space="preserve">summer </w:t>
      </w:r>
      <w:r>
        <w:rPr>
          <w:rFonts w:ascii="Times New Roman" w:hAnsi="Times New Roman"/>
          <w:sz w:val="24"/>
          <w:szCs w:val="24"/>
        </w:rPr>
        <w:t xml:space="preserve">hot-spot region, warmer models project stronger warming, leading to a spread that is larger than expected under the </w:t>
      </w:r>
      <w:r w:rsidR="00283E4D">
        <w:rPr>
          <w:rFonts w:ascii="Times New Roman" w:hAnsi="Times New Roman"/>
          <w:sz w:val="24"/>
          <w:szCs w:val="24"/>
        </w:rPr>
        <w:t xml:space="preserve">null </w:t>
      </w:r>
      <w:r>
        <w:rPr>
          <w:rFonts w:ascii="Times New Roman" w:hAnsi="Times New Roman"/>
          <w:sz w:val="24"/>
          <w:szCs w:val="24"/>
        </w:rPr>
        <w:t>hypothesis.</w:t>
      </w:r>
    </w:p>
    <w:p w14:paraId="0FEA4323" w14:textId="2C9235BD" w:rsidR="00F240E4" w:rsidRDefault="00F240E4">
      <w:pPr>
        <w:pStyle w:val="BodyA"/>
        <w:spacing w:line="360" w:lineRule="auto"/>
        <w:jc w:val="both"/>
        <w:rPr>
          <w:rFonts w:ascii="Times New Roman" w:eastAsia="Times New Roman" w:hAnsi="Times New Roman" w:cs="Times New Roman"/>
          <w:sz w:val="24"/>
          <w:szCs w:val="24"/>
        </w:rPr>
      </w:pPr>
    </w:p>
    <w:p w14:paraId="5FE763E8" w14:textId="5D295AE6" w:rsidR="00F86AA8" w:rsidRDefault="00F86AA8">
      <w:pPr>
        <w:pStyle w:val="BodyA"/>
        <w:spacing w:line="360" w:lineRule="auto"/>
        <w:jc w:val="both"/>
        <w:rPr>
          <w:rFonts w:ascii="Times New Roman" w:eastAsia="Times New Roman" w:hAnsi="Times New Roman" w:cs="Times New Roman"/>
          <w:b/>
          <w:bCs/>
          <w:sz w:val="24"/>
          <w:szCs w:val="24"/>
        </w:rPr>
      </w:pPr>
      <w:r w:rsidRPr="00F86AA8">
        <w:rPr>
          <w:rFonts w:ascii="Times New Roman" w:eastAsia="Times New Roman" w:hAnsi="Times New Roman" w:cs="Times New Roman"/>
          <w:b/>
          <w:bCs/>
          <w:sz w:val="24"/>
          <w:szCs w:val="24"/>
        </w:rPr>
        <w:t xml:space="preserve">Mean seasonal cycle </w:t>
      </w:r>
      <w:r w:rsidR="00BB0FF5">
        <w:rPr>
          <w:rFonts w:ascii="Times New Roman" w:eastAsia="Times New Roman" w:hAnsi="Times New Roman" w:cs="Times New Roman"/>
          <w:b/>
          <w:bCs/>
          <w:sz w:val="24"/>
          <w:szCs w:val="24"/>
        </w:rPr>
        <w:t>for the period</w:t>
      </w:r>
      <w:r w:rsidRPr="00F86AA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2071-2100</w:t>
      </w:r>
      <w:r w:rsidRPr="00F86AA8">
        <w:rPr>
          <w:rFonts w:ascii="Times New Roman" w:eastAsia="Times New Roman" w:hAnsi="Times New Roman" w:cs="Times New Roman"/>
          <w:b/>
          <w:bCs/>
          <w:sz w:val="24"/>
          <w:szCs w:val="24"/>
        </w:rPr>
        <w:t xml:space="preserve"> averaged over the hot-spot region as simulated by the EC-Earth </w:t>
      </w:r>
      <w:r w:rsidR="00BB0FF5">
        <w:rPr>
          <w:rFonts w:ascii="Times New Roman" w:eastAsia="Times New Roman" w:hAnsi="Times New Roman" w:cs="Times New Roman"/>
          <w:b/>
          <w:bCs/>
          <w:sz w:val="24"/>
          <w:szCs w:val="24"/>
        </w:rPr>
        <w:t xml:space="preserve">global </w:t>
      </w:r>
      <w:r w:rsidRPr="00F86AA8">
        <w:rPr>
          <w:rFonts w:ascii="Times New Roman" w:eastAsia="Times New Roman" w:hAnsi="Times New Roman" w:cs="Times New Roman"/>
          <w:b/>
          <w:bCs/>
          <w:sz w:val="24"/>
          <w:szCs w:val="24"/>
        </w:rPr>
        <w:t>climate model.</w:t>
      </w:r>
    </w:p>
    <w:p w14:paraId="2C9CFD0F" w14:textId="0DB4B611" w:rsidR="001B1419" w:rsidRDefault="00F86AA8">
      <w:pPr>
        <w:pStyle w:val="BodyA"/>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effect of the run-off modification on the seasonal drying and subsequent capping of the evaporative cooling in the hot-spot region is stronger in </w:t>
      </w:r>
      <w:r w:rsidR="00BB0FF5">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future than in the present-day climate</w:t>
      </w:r>
      <w:r w:rsidR="00BB0FF5">
        <w:rPr>
          <w:rFonts w:ascii="Times New Roman" w:eastAsia="Times New Roman" w:hAnsi="Times New Roman" w:cs="Times New Roman"/>
          <w:sz w:val="24"/>
          <w:szCs w:val="24"/>
        </w:rPr>
        <w:t xml:space="preserve">, as illustrated by </w:t>
      </w:r>
      <w:r>
        <w:rPr>
          <w:rFonts w:ascii="Times New Roman" w:eastAsia="Times New Roman" w:hAnsi="Times New Roman" w:cs="Times New Roman"/>
          <w:sz w:val="24"/>
          <w:szCs w:val="24"/>
        </w:rPr>
        <w:t>Supplementary Figure</w:t>
      </w:r>
      <w:r w:rsidR="008A37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00A42A99">
        <w:rPr>
          <w:rFonts w:ascii="Times New Roman" w:eastAsia="Times New Roman" w:hAnsi="Times New Roman" w:cs="Times New Roman"/>
          <w:sz w:val="24"/>
          <w:szCs w:val="24"/>
        </w:rPr>
        <w:t xml:space="preserve">The run-off modification reduces </w:t>
      </w:r>
      <w:r>
        <w:rPr>
          <w:rFonts w:ascii="Times New Roman" w:eastAsia="Times New Roman" w:hAnsi="Times New Roman" w:cs="Times New Roman"/>
          <w:sz w:val="24"/>
          <w:szCs w:val="24"/>
        </w:rPr>
        <w:t xml:space="preserve">the evaporative </w:t>
      </w:r>
      <w:r w:rsidR="00AA4A01">
        <w:rPr>
          <w:rFonts w:ascii="Times New Roman" w:eastAsia="Times New Roman" w:hAnsi="Times New Roman" w:cs="Times New Roman"/>
          <w:sz w:val="24"/>
          <w:szCs w:val="24"/>
        </w:rPr>
        <w:t>cooling by 18 W</w:t>
      </w:r>
      <w:r w:rsidR="00BB0FF5">
        <w:rPr>
          <w:rFonts w:ascii="Times New Roman" w:eastAsia="Times New Roman" w:hAnsi="Times New Roman" w:cs="Times New Roman"/>
          <w:sz w:val="24"/>
          <w:szCs w:val="24"/>
        </w:rPr>
        <w:t xml:space="preserve"> </w:t>
      </w:r>
      <w:r w:rsidR="00AA4A01">
        <w:rPr>
          <w:rFonts w:ascii="Times New Roman" w:eastAsia="Times New Roman" w:hAnsi="Times New Roman" w:cs="Times New Roman"/>
          <w:sz w:val="24"/>
          <w:szCs w:val="24"/>
        </w:rPr>
        <w:t>m</w:t>
      </w:r>
      <w:r w:rsidR="00BB0FF5">
        <w:rPr>
          <w:rFonts w:ascii="Times New Roman" w:eastAsia="Times New Roman" w:hAnsi="Times New Roman" w:cs="Times New Roman"/>
          <w:sz w:val="24"/>
          <w:szCs w:val="24"/>
          <w:vertAlign w:val="superscript"/>
        </w:rPr>
        <w:t>-2</w:t>
      </w:r>
      <w:r w:rsidR="00AA4A01">
        <w:rPr>
          <w:rFonts w:ascii="Times New Roman" w:eastAsia="Times New Roman" w:hAnsi="Times New Roman" w:cs="Times New Roman"/>
          <w:sz w:val="24"/>
          <w:szCs w:val="24"/>
        </w:rPr>
        <w:t xml:space="preserve"> in JJA the present-day climate</w:t>
      </w:r>
      <w:r w:rsidR="008F5F17">
        <w:rPr>
          <w:rFonts w:ascii="Times New Roman" w:eastAsia="Times New Roman" w:hAnsi="Times New Roman" w:cs="Times New Roman"/>
          <w:sz w:val="24"/>
          <w:szCs w:val="24"/>
        </w:rPr>
        <w:t xml:space="preserve">, but </w:t>
      </w:r>
      <w:r w:rsidR="00AA4A01">
        <w:rPr>
          <w:rFonts w:ascii="Times New Roman" w:eastAsia="Times New Roman" w:hAnsi="Times New Roman" w:cs="Times New Roman"/>
          <w:sz w:val="24"/>
          <w:szCs w:val="24"/>
        </w:rPr>
        <w:t>by 24 W</w:t>
      </w:r>
      <w:r w:rsidR="00BB0FF5">
        <w:rPr>
          <w:rFonts w:ascii="Times New Roman" w:eastAsia="Times New Roman" w:hAnsi="Times New Roman" w:cs="Times New Roman"/>
          <w:sz w:val="24"/>
          <w:szCs w:val="24"/>
        </w:rPr>
        <w:t xml:space="preserve"> </w:t>
      </w:r>
      <w:r w:rsidR="00AA4A01">
        <w:rPr>
          <w:rFonts w:ascii="Times New Roman" w:eastAsia="Times New Roman" w:hAnsi="Times New Roman" w:cs="Times New Roman"/>
          <w:sz w:val="24"/>
          <w:szCs w:val="24"/>
        </w:rPr>
        <w:t>m</w:t>
      </w:r>
      <w:r w:rsidR="00BB0FF5" w:rsidRPr="00283E4D">
        <w:rPr>
          <w:rFonts w:ascii="Times New Roman" w:eastAsia="Times New Roman" w:hAnsi="Times New Roman" w:cs="Times New Roman"/>
          <w:sz w:val="24"/>
          <w:szCs w:val="24"/>
          <w:vertAlign w:val="superscript"/>
        </w:rPr>
        <w:t>-2</w:t>
      </w:r>
      <w:r w:rsidR="00AA4A01">
        <w:rPr>
          <w:rFonts w:ascii="Times New Roman" w:eastAsia="Times New Roman" w:hAnsi="Times New Roman" w:cs="Times New Roman"/>
          <w:sz w:val="24"/>
          <w:szCs w:val="24"/>
        </w:rPr>
        <w:t xml:space="preserve"> in the future climate</w:t>
      </w:r>
      <w:r w:rsidR="00AC3CCB">
        <w:rPr>
          <w:rFonts w:ascii="Times New Roman" w:eastAsia="Times New Roman" w:hAnsi="Times New Roman" w:cs="Times New Roman"/>
          <w:sz w:val="24"/>
          <w:szCs w:val="24"/>
        </w:rPr>
        <w:t xml:space="preserve">. </w:t>
      </w:r>
      <w:r w:rsidR="002B02A6">
        <w:rPr>
          <w:rFonts w:ascii="Times New Roman" w:eastAsia="Times New Roman" w:hAnsi="Times New Roman" w:cs="Times New Roman"/>
          <w:sz w:val="24"/>
          <w:szCs w:val="24"/>
        </w:rPr>
        <w:t xml:space="preserve">This mechanism </w:t>
      </w:r>
      <w:r w:rsidR="00BB0FF5">
        <w:rPr>
          <w:rFonts w:ascii="Times New Roman" w:eastAsia="Times New Roman" w:hAnsi="Times New Roman" w:cs="Times New Roman"/>
          <w:sz w:val="24"/>
          <w:szCs w:val="24"/>
        </w:rPr>
        <w:t>thus can</w:t>
      </w:r>
      <w:r w:rsidR="002B02A6">
        <w:rPr>
          <w:rFonts w:ascii="Times New Roman" w:eastAsia="Times New Roman" w:hAnsi="Times New Roman" w:cs="Times New Roman"/>
          <w:sz w:val="24"/>
          <w:szCs w:val="24"/>
        </w:rPr>
        <w:t xml:space="preserve"> explain the multi-model relationship between present-day summer temperatures and project</w:t>
      </w:r>
      <w:r w:rsidR="00283E4D">
        <w:rPr>
          <w:rFonts w:ascii="Times New Roman" w:eastAsia="Times New Roman" w:hAnsi="Times New Roman" w:cs="Times New Roman"/>
          <w:sz w:val="24"/>
          <w:szCs w:val="24"/>
        </w:rPr>
        <w:t>ed</w:t>
      </w:r>
      <w:r w:rsidR="002B02A6">
        <w:rPr>
          <w:rFonts w:ascii="Times New Roman" w:eastAsia="Times New Roman" w:hAnsi="Times New Roman" w:cs="Times New Roman"/>
          <w:sz w:val="24"/>
          <w:szCs w:val="24"/>
        </w:rPr>
        <w:t xml:space="preserve"> summer warming in the hot-spot region. Note that a</w:t>
      </w:r>
      <w:r w:rsidR="00A42A99">
        <w:rPr>
          <w:rFonts w:ascii="Times New Roman" w:eastAsia="Times New Roman" w:hAnsi="Times New Roman" w:cs="Times New Roman"/>
          <w:sz w:val="24"/>
          <w:szCs w:val="24"/>
        </w:rPr>
        <w:t>lso in</w:t>
      </w:r>
      <w:r w:rsidR="00283E4D">
        <w:rPr>
          <w:rFonts w:ascii="Times New Roman" w:eastAsia="Times New Roman" w:hAnsi="Times New Roman" w:cs="Times New Roman"/>
          <w:sz w:val="24"/>
          <w:szCs w:val="24"/>
        </w:rPr>
        <w:t xml:space="preserve"> the</w:t>
      </w:r>
      <w:r w:rsidR="00A42A99">
        <w:rPr>
          <w:rFonts w:ascii="Times New Roman" w:eastAsia="Times New Roman" w:hAnsi="Times New Roman" w:cs="Times New Roman"/>
          <w:sz w:val="24"/>
          <w:szCs w:val="24"/>
        </w:rPr>
        <w:t xml:space="preserve"> future, the net radiation </w:t>
      </w:r>
      <w:r w:rsidR="002B02A6">
        <w:rPr>
          <w:rFonts w:ascii="Times New Roman" w:eastAsia="Times New Roman" w:hAnsi="Times New Roman" w:cs="Times New Roman"/>
          <w:sz w:val="24"/>
          <w:szCs w:val="24"/>
        </w:rPr>
        <w:t>absorbed by</w:t>
      </w:r>
      <w:r w:rsidR="00A42A99">
        <w:rPr>
          <w:rFonts w:ascii="Times New Roman" w:eastAsia="Times New Roman" w:hAnsi="Times New Roman" w:cs="Times New Roman"/>
          <w:sz w:val="24"/>
          <w:szCs w:val="24"/>
        </w:rPr>
        <w:t xml:space="preserve"> the surface is </w:t>
      </w:r>
      <w:r w:rsidR="00ED6303">
        <w:rPr>
          <w:rFonts w:ascii="Times New Roman" w:eastAsia="Times New Roman" w:hAnsi="Times New Roman" w:cs="Times New Roman"/>
          <w:sz w:val="24"/>
          <w:szCs w:val="24"/>
        </w:rPr>
        <w:t>hardly</w:t>
      </w:r>
      <w:r w:rsidR="00A42A99">
        <w:rPr>
          <w:rFonts w:ascii="Times New Roman" w:eastAsia="Times New Roman" w:hAnsi="Times New Roman" w:cs="Times New Roman"/>
          <w:sz w:val="24"/>
          <w:szCs w:val="24"/>
        </w:rPr>
        <w:t xml:space="preserve"> affected by the run-off modification, </w:t>
      </w:r>
      <w:r w:rsidR="00BB0FF5">
        <w:rPr>
          <w:rFonts w:ascii="Times New Roman" w:eastAsia="Times New Roman" w:hAnsi="Times New Roman" w:cs="Times New Roman"/>
          <w:sz w:val="24"/>
          <w:szCs w:val="24"/>
        </w:rPr>
        <w:t xml:space="preserve">as </w:t>
      </w:r>
      <w:r w:rsidR="00A42A99">
        <w:rPr>
          <w:rFonts w:ascii="Times New Roman" w:eastAsia="Times New Roman" w:hAnsi="Times New Roman" w:cs="Times New Roman"/>
          <w:sz w:val="24"/>
          <w:szCs w:val="24"/>
        </w:rPr>
        <w:t xml:space="preserve">the increase in </w:t>
      </w:r>
      <w:r w:rsidR="002B02A6">
        <w:rPr>
          <w:rFonts w:ascii="Times New Roman" w:eastAsia="Times New Roman" w:hAnsi="Times New Roman" w:cs="Times New Roman"/>
          <w:sz w:val="24"/>
          <w:szCs w:val="24"/>
        </w:rPr>
        <w:t xml:space="preserve">absorbed </w:t>
      </w:r>
      <w:r w:rsidR="00A42A99">
        <w:rPr>
          <w:rFonts w:ascii="Times New Roman" w:eastAsia="Times New Roman" w:hAnsi="Times New Roman" w:cs="Times New Roman"/>
          <w:sz w:val="24"/>
          <w:szCs w:val="24"/>
        </w:rPr>
        <w:t xml:space="preserve">solar radiation is compensated by the net </w:t>
      </w:r>
      <w:r w:rsidR="002B02A6">
        <w:rPr>
          <w:rFonts w:ascii="Times New Roman" w:eastAsia="Times New Roman" w:hAnsi="Times New Roman" w:cs="Times New Roman"/>
          <w:sz w:val="24"/>
          <w:szCs w:val="24"/>
        </w:rPr>
        <w:t>increase in</w:t>
      </w:r>
      <w:r w:rsidR="007567D1">
        <w:rPr>
          <w:rFonts w:ascii="Times New Roman" w:eastAsia="Times New Roman" w:hAnsi="Times New Roman" w:cs="Times New Roman"/>
          <w:sz w:val="24"/>
          <w:szCs w:val="24"/>
        </w:rPr>
        <w:t xml:space="preserve"> cooling by upward </w:t>
      </w:r>
      <w:r w:rsidR="00A42A99">
        <w:rPr>
          <w:rFonts w:ascii="Times New Roman" w:eastAsia="Times New Roman" w:hAnsi="Times New Roman" w:cs="Times New Roman"/>
          <w:sz w:val="24"/>
          <w:szCs w:val="24"/>
        </w:rPr>
        <w:t>thermal radiation.</w:t>
      </w:r>
    </w:p>
    <w:p w14:paraId="58890976" w14:textId="77777777" w:rsidR="00A8388D" w:rsidRPr="00F86AA8" w:rsidRDefault="00A8388D">
      <w:pPr>
        <w:pStyle w:val="BodyA"/>
        <w:spacing w:line="360" w:lineRule="auto"/>
        <w:jc w:val="both"/>
        <w:rPr>
          <w:rFonts w:ascii="Times New Roman" w:eastAsia="Times New Roman" w:hAnsi="Times New Roman" w:cs="Times New Roman"/>
          <w:sz w:val="24"/>
          <w:szCs w:val="24"/>
        </w:rPr>
      </w:pPr>
      <w:bookmarkStart w:id="0" w:name="_GoBack"/>
      <w:bookmarkEnd w:id="0"/>
    </w:p>
    <w:p w14:paraId="291E5089" w14:textId="77777777" w:rsidR="009E1DD9" w:rsidRDefault="001F74B2">
      <w:pPr>
        <w:pStyle w:val="BodyA"/>
        <w:spacing w:line="360" w:lineRule="auto"/>
        <w:jc w:val="both"/>
        <w:rPr>
          <w:rFonts w:ascii="Times New Roman" w:hAnsi="Times New Roman"/>
          <w:b/>
          <w:bCs/>
          <w:sz w:val="24"/>
          <w:szCs w:val="24"/>
        </w:rPr>
      </w:pPr>
      <w:r>
        <w:rPr>
          <w:rFonts w:ascii="Times New Roman" w:hAnsi="Times New Roman"/>
          <w:b/>
          <w:bCs/>
          <w:sz w:val="24"/>
          <w:szCs w:val="24"/>
        </w:rPr>
        <w:t>Constraining the projected warming for summer continental regions other than the hot-spot region</w:t>
      </w:r>
    </w:p>
    <w:p w14:paraId="0B0461CD" w14:textId="6A4CEC6A" w:rsidR="00F240E4" w:rsidRPr="00343808" w:rsidRDefault="001F74B2">
      <w:pPr>
        <w:pStyle w:val="BodyA"/>
        <w:spacing w:line="360" w:lineRule="auto"/>
        <w:jc w:val="both"/>
        <w:rPr>
          <w:rFonts w:ascii="Times New Roman" w:eastAsia="Times New Roman" w:hAnsi="Times New Roman" w:cs="Times New Roman"/>
          <w:b/>
          <w:bCs/>
          <w:sz w:val="24"/>
          <w:szCs w:val="24"/>
        </w:rPr>
      </w:pPr>
      <w:r>
        <w:rPr>
          <w:rFonts w:ascii="Times New Roman" w:hAnsi="Times New Roman"/>
          <w:sz w:val="24"/>
          <w:szCs w:val="24"/>
        </w:rPr>
        <w:t xml:space="preserve">This study has identified regions where models that are too warm in the present-day summer are likely to over-estimate the warming in response to the enhanced greenhouse effect. This knowledge is used in Figure 4 to constrain the warming in </w:t>
      </w:r>
      <w:r w:rsidR="00283E4D">
        <w:rPr>
          <w:rFonts w:ascii="Times New Roman" w:hAnsi="Times New Roman"/>
          <w:sz w:val="24"/>
          <w:szCs w:val="24"/>
        </w:rPr>
        <w:t xml:space="preserve">the </w:t>
      </w:r>
      <w:r>
        <w:rPr>
          <w:rFonts w:ascii="Times New Roman" w:hAnsi="Times New Roman"/>
          <w:sz w:val="24"/>
          <w:szCs w:val="24"/>
        </w:rPr>
        <w:t>hot-spot region. The unconstrained range is given by the minimum and maximum warming in the ensemble, the constrained range by the minimum warming among models with correct or warmer present-day temperature and the maximum warming among models with correct or colder present-day temperature. We also applied the same approach to other regions where according to Figure 1bd warmer models project stronger warming. These regions are located in North-America, Russia, China and Australia and are defined as land points where the fractional increase in summer temperature spread exceeds 50% in North-</w:t>
      </w:r>
      <w:r>
        <w:rPr>
          <w:rFonts w:ascii="Times New Roman" w:hAnsi="Times New Roman"/>
          <w:sz w:val="24"/>
          <w:szCs w:val="24"/>
        </w:rPr>
        <w:lastRenderedPageBreak/>
        <w:t xml:space="preserve">America and Australia, 75% in Russia and 65% in China. Supplementary Table 1 summarizes the results. In North-America and Russia the reduction in the spread of the projected warming is similar to that obtained for the hot-spot region in Europe. In China and Australia the reduction is somewhat lower because in these regions the relation between current temperature bias and projected warming </w:t>
      </w:r>
      <w:r w:rsidRPr="00343808">
        <w:rPr>
          <w:rFonts w:ascii="Times New Roman" w:hAnsi="Times New Roman" w:cs="Times New Roman"/>
          <w:sz w:val="24"/>
          <w:szCs w:val="24"/>
        </w:rPr>
        <w:t>is less pronounced.</w:t>
      </w:r>
      <w:r w:rsidR="00283E4D" w:rsidRPr="00343808">
        <w:rPr>
          <w:rFonts w:ascii="Times New Roman" w:hAnsi="Times New Roman" w:cs="Times New Roman"/>
          <w:sz w:val="24"/>
          <w:szCs w:val="24"/>
        </w:rPr>
        <w:t xml:space="preserve"> The consistency of the results across these regions is an important result.</w:t>
      </w:r>
    </w:p>
    <w:p w14:paraId="4228BAA2" w14:textId="77777777" w:rsidR="00F240E4" w:rsidRDefault="00F240E4">
      <w:pPr>
        <w:pStyle w:val="BodyA"/>
        <w:spacing w:line="360" w:lineRule="auto"/>
        <w:jc w:val="both"/>
        <w:rPr>
          <w:rFonts w:ascii="Times New Roman" w:eastAsia="Times New Roman" w:hAnsi="Times New Roman" w:cs="Times New Roman"/>
          <w:sz w:val="24"/>
          <w:szCs w:val="24"/>
        </w:rPr>
      </w:pPr>
    </w:p>
    <w:p w14:paraId="2F8CA56E" w14:textId="77777777" w:rsidR="00F240E4" w:rsidRDefault="001F74B2">
      <w:pPr>
        <w:pStyle w:val="BodyA"/>
        <w:spacing w:line="360" w:lineRule="auto"/>
        <w:jc w:val="both"/>
      </w:pPr>
      <w:r>
        <w:rPr>
          <w:rFonts w:ascii="Arial Unicode MS" w:hAnsi="Arial Unicode MS"/>
          <w:sz w:val="24"/>
          <w:szCs w:val="24"/>
        </w:rPr>
        <w:br w:type="page"/>
      </w:r>
    </w:p>
    <w:p w14:paraId="41B338DD" w14:textId="77777777" w:rsidR="00F240E4" w:rsidRDefault="009E1DD9">
      <w:pPr>
        <w:pStyle w:val="BodyA"/>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2AE33B" wp14:editId="3E5C2A99">
            <wp:extent cx="6113145" cy="2430145"/>
            <wp:effectExtent l="0" t="0" r="8255" b="8255"/>
            <wp:docPr id="1" name="Picture 1" descr="HD:Users:RBintanja:Desktop:Screen Shot 2019-05-10 at 13.0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RBintanja:Desktop:Screen Shot 2019-05-10 at 13.05.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3145" cy="2430145"/>
                    </a:xfrm>
                    <a:prstGeom prst="rect">
                      <a:avLst/>
                    </a:prstGeom>
                    <a:noFill/>
                    <a:ln>
                      <a:noFill/>
                    </a:ln>
                  </pic:spPr>
                </pic:pic>
              </a:graphicData>
            </a:graphic>
          </wp:inline>
        </w:drawing>
      </w:r>
    </w:p>
    <w:p w14:paraId="13995034" w14:textId="77777777" w:rsidR="00F240E4" w:rsidRDefault="001F74B2">
      <w:pPr>
        <w:pStyle w:val="BodyA"/>
        <w:spacing w:line="360" w:lineRule="auto"/>
        <w:jc w:val="both"/>
        <w:rPr>
          <w:rFonts w:ascii="Times New Roman" w:eastAsia="Times New Roman" w:hAnsi="Times New Roman" w:cs="Times New Roman"/>
          <w:i/>
          <w:iCs/>
          <w:sz w:val="24"/>
          <w:szCs w:val="24"/>
        </w:rPr>
      </w:pPr>
      <w:r>
        <w:rPr>
          <w:rFonts w:ascii="Times New Roman" w:hAnsi="Times New Roman"/>
          <w:b/>
          <w:bCs/>
          <w:sz w:val="24"/>
          <w:szCs w:val="24"/>
        </w:rPr>
        <w:t>Supplementary Figure 1 | Probability density function of the spread in future temperatures consistent with the zero hypothesis that simulated present-day temperatures exhibit no relation with the projected warming.</w:t>
      </w:r>
      <w:r>
        <w:rPr>
          <w:rFonts w:ascii="Times New Roman" w:hAnsi="Times New Roman"/>
          <w:i/>
          <w:iCs/>
          <w:sz w:val="24"/>
          <w:szCs w:val="24"/>
        </w:rPr>
        <w:t xml:space="preserve"> </w:t>
      </w:r>
      <w:r>
        <w:rPr>
          <w:rFonts w:ascii="Times New Roman" w:hAnsi="Times New Roman"/>
          <w:sz w:val="24"/>
          <w:szCs w:val="24"/>
        </w:rPr>
        <w:t>(a) Probability density function (PDF) of the spread in 31-member ensembles of surrogate future annual near-global mean temperatures (60° S – 70° N) constructed by randomly choosing the present-day temperature of CMIP5 model X and adding the projected warming of model Y. Here the standard deviation is used as an indicator of the spread. The PDF is estimated from 50,000 surrogate ensembles. The actual spread in the CMIP5 future temperatures is indicated by the vertical green line, the 95% percentile by the blue line. (b) as (a) but for hot-spot temperatures.</w:t>
      </w:r>
    </w:p>
    <w:p w14:paraId="7BA68D2A" w14:textId="77777777" w:rsidR="00F240E4" w:rsidRDefault="00F240E4">
      <w:pPr>
        <w:pStyle w:val="BodyA"/>
        <w:spacing w:line="360" w:lineRule="auto"/>
        <w:jc w:val="both"/>
        <w:rPr>
          <w:rFonts w:ascii="Times New Roman" w:eastAsia="Times New Roman" w:hAnsi="Times New Roman" w:cs="Times New Roman"/>
          <w:sz w:val="24"/>
          <w:szCs w:val="24"/>
        </w:rPr>
      </w:pPr>
    </w:p>
    <w:p w14:paraId="3F827FE4" w14:textId="641FF37E" w:rsidR="00F240E4" w:rsidRDefault="00EA31BB">
      <w:pPr>
        <w:pStyle w:val="BodyA"/>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ADEBD6C" wp14:editId="019C7045">
            <wp:extent cx="6115050" cy="4320540"/>
            <wp:effectExtent l="0" t="0" r="0" b="0"/>
            <wp:docPr id="3" name="Picture 3" descr="HD:Users:RBintanja:Desktop:revision:fig2_future_ensemb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RBintanja:Desktop:revision:fig2_future_ensemble.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320540"/>
                    </a:xfrm>
                    <a:prstGeom prst="rect">
                      <a:avLst/>
                    </a:prstGeom>
                    <a:noFill/>
                    <a:ln>
                      <a:noFill/>
                    </a:ln>
                  </pic:spPr>
                </pic:pic>
              </a:graphicData>
            </a:graphic>
          </wp:inline>
        </w:drawing>
      </w:r>
    </w:p>
    <w:p w14:paraId="0C711C95" w14:textId="77777777" w:rsidR="00F240E4" w:rsidRDefault="00F240E4">
      <w:pPr>
        <w:pStyle w:val="BodyA"/>
        <w:spacing w:line="360" w:lineRule="auto"/>
        <w:jc w:val="both"/>
        <w:rPr>
          <w:rFonts w:ascii="Times New Roman" w:eastAsia="Times New Roman" w:hAnsi="Times New Roman" w:cs="Times New Roman"/>
          <w:sz w:val="24"/>
          <w:szCs w:val="24"/>
        </w:rPr>
      </w:pPr>
    </w:p>
    <w:p w14:paraId="741972C8" w14:textId="674A0539" w:rsidR="008F5F17" w:rsidRDefault="008F5F17" w:rsidP="008F5F17">
      <w:pPr>
        <w:pStyle w:val="BodyA"/>
        <w:spacing w:line="360" w:lineRule="auto"/>
        <w:jc w:val="both"/>
        <w:rPr>
          <w:rFonts w:ascii="Times New Roman" w:eastAsia="Times New Roman" w:hAnsi="Times New Roman" w:cs="Times New Roman"/>
          <w:i/>
          <w:iCs/>
          <w:sz w:val="24"/>
          <w:szCs w:val="24"/>
        </w:rPr>
      </w:pPr>
      <w:r>
        <w:rPr>
          <w:rFonts w:ascii="Times New Roman" w:hAnsi="Times New Roman"/>
          <w:b/>
          <w:bCs/>
          <w:sz w:val="24"/>
          <w:szCs w:val="24"/>
        </w:rPr>
        <w:t>Supplementary Figure 2 | |</w:t>
      </w:r>
      <w:r>
        <w:rPr>
          <w:rFonts w:ascii="Times New Roman" w:hAnsi="Times New Roman"/>
          <w:i/>
          <w:iCs/>
          <w:sz w:val="24"/>
          <w:szCs w:val="24"/>
        </w:rPr>
        <w:t xml:space="preserve"> </w:t>
      </w:r>
      <w:r>
        <w:rPr>
          <w:rFonts w:ascii="Times New Roman" w:hAnsi="Times New Roman"/>
          <w:b/>
          <w:bCs/>
          <w:sz w:val="24"/>
          <w:szCs w:val="24"/>
        </w:rPr>
        <w:t>Mean seasonal cycle during 2071-2100 averaged over the hot-spot region as simulated by the EC-Earth climate model.</w:t>
      </w:r>
      <w:r>
        <w:rPr>
          <w:rFonts w:ascii="Times New Roman" w:hAnsi="Times New Roman"/>
          <w:sz w:val="24"/>
          <w:szCs w:val="24"/>
        </w:rPr>
        <w:t xml:space="preserve"> Solid lines indicate surface air temperature (red), downward solar radiation at surface (yellow), net absorbed radiation at surface (black)</w:t>
      </w:r>
      <w:r w:rsidR="00A823F4">
        <w:rPr>
          <w:rFonts w:ascii="Times New Roman" w:hAnsi="Times New Roman"/>
          <w:sz w:val="24"/>
          <w:szCs w:val="24"/>
        </w:rPr>
        <w:t xml:space="preserve">, </w:t>
      </w:r>
      <w:r>
        <w:rPr>
          <w:rFonts w:ascii="Times New Roman" w:hAnsi="Times New Roman"/>
          <w:sz w:val="24"/>
          <w:szCs w:val="24"/>
        </w:rPr>
        <w:t xml:space="preserve">  upward latent heat flux (blue) and upward sensible heat flux (green). Pink bars indicate total precipitation, blue bars the amount of soil water available for evaporation as a fraction of the maximum amount of soil water that can potentially evaporate from the upper two layers of the land model with a combined depth of 28 cm (equal to the field capacity minus the wilting point). Dashed lines represent corresponding values for a sensitivity simulation with a more efficient surface runoff.</w:t>
      </w:r>
    </w:p>
    <w:p w14:paraId="6A622FEE" w14:textId="77777777" w:rsidR="00F240E4" w:rsidRDefault="00F240E4">
      <w:pPr>
        <w:pStyle w:val="BodyA"/>
        <w:spacing w:line="360" w:lineRule="auto"/>
        <w:jc w:val="both"/>
        <w:rPr>
          <w:rFonts w:ascii="Times New Roman" w:eastAsia="Times New Roman" w:hAnsi="Times New Roman" w:cs="Times New Roman"/>
          <w:sz w:val="24"/>
          <w:szCs w:val="24"/>
        </w:rPr>
      </w:pPr>
    </w:p>
    <w:p w14:paraId="53D5B951" w14:textId="77777777" w:rsidR="00F240E4" w:rsidRDefault="00F240E4">
      <w:pPr>
        <w:pStyle w:val="BodyA"/>
        <w:spacing w:line="360" w:lineRule="auto"/>
        <w:jc w:val="both"/>
        <w:rPr>
          <w:rFonts w:ascii="Times New Roman" w:eastAsia="Times New Roman" w:hAnsi="Times New Roman" w:cs="Times New Roman"/>
          <w:sz w:val="24"/>
          <w:szCs w:val="24"/>
        </w:rPr>
      </w:pPr>
    </w:p>
    <w:p w14:paraId="49333BEE" w14:textId="77777777" w:rsidR="00F240E4" w:rsidRDefault="00F240E4">
      <w:pPr>
        <w:pStyle w:val="BodyA"/>
        <w:spacing w:line="360" w:lineRule="auto"/>
        <w:jc w:val="both"/>
        <w:rPr>
          <w:rFonts w:ascii="Times New Roman" w:eastAsia="Times New Roman" w:hAnsi="Times New Roman" w:cs="Times New Roman"/>
          <w:sz w:val="24"/>
          <w:szCs w:val="24"/>
        </w:rPr>
      </w:pPr>
    </w:p>
    <w:p w14:paraId="4D8EFBB1" w14:textId="77777777" w:rsidR="00F240E4" w:rsidRDefault="00F240E4">
      <w:pPr>
        <w:pStyle w:val="BodyA"/>
        <w:spacing w:line="360" w:lineRule="auto"/>
        <w:jc w:val="both"/>
        <w:rPr>
          <w:rFonts w:ascii="Times New Roman" w:eastAsia="Times New Roman" w:hAnsi="Times New Roman" w:cs="Times New Roman"/>
          <w:sz w:val="24"/>
          <w:szCs w:val="24"/>
        </w:rPr>
      </w:pPr>
    </w:p>
    <w:p w14:paraId="015A942A" w14:textId="77777777" w:rsidR="00F240E4" w:rsidRDefault="00F240E4">
      <w:pPr>
        <w:pStyle w:val="BodyA"/>
        <w:spacing w:line="360" w:lineRule="auto"/>
        <w:jc w:val="both"/>
        <w:rPr>
          <w:rFonts w:ascii="Times New Roman" w:eastAsia="Times New Roman" w:hAnsi="Times New Roman" w:cs="Times New Roman"/>
          <w:sz w:val="24"/>
          <w:szCs w:val="24"/>
        </w:rPr>
      </w:pPr>
    </w:p>
    <w:p w14:paraId="0AF2C117" w14:textId="77777777" w:rsidR="00F240E4" w:rsidRDefault="00F240E4">
      <w:pPr>
        <w:pStyle w:val="BodyA"/>
        <w:spacing w:line="360" w:lineRule="auto"/>
        <w:jc w:val="both"/>
        <w:rPr>
          <w:rFonts w:ascii="Times New Roman" w:eastAsia="Times New Roman" w:hAnsi="Times New Roman" w:cs="Times New Roman"/>
          <w:sz w:val="24"/>
          <w:szCs w:val="24"/>
        </w:rPr>
      </w:pPr>
    </w:p>
    <w:p w14:paraId="1DE63AD1" w14:textId="77777777" w:rsidR="00F240E4" w:rsidRDefault="00F240E4">
      <w:pPr>
        <w:pStyle w:val="BodyA"/>
        <w:spacing w:line="360" w:lineRule="auto"/>
        <w:jc w:val="both"/>
        <w:rPr>
          <w:rFonts w:ascii="Times New Roman" w:eastAsia="Times New Roman" w:hAnsi="Times New Roman" w:cs="Times New Roman"/>
          <w:sz w:val="24"/>
          <w:szCs w:val="24"/>
        </w:rPr>
      </w:pPr>
    </w:p>
    <w:p w14:paraId="246B3064" w14:textId="77777777" w:rsidR="00F240E4" w:rsidRDefault="00F240E4">
      <w:pPr>
        <w:pStyle w:val="BodyA"/>
        <w:spacing w:line="360" w:lineRule="auto"/>
        <w:jc w:val="both"/>
        <w:rPr>
          <w:rFonts w:ascii="Times New Roman" w:eastAsia="Times New Roman" w:hAnsi="Times New Roman" w:cs="Times New Roman"/>
          <w:sz w:val="24"/>
          <w:szCs w:val="24"/>
        </w:rPr>
      </w:pPr>
    </w:p>
    <w:p w14:paraId="3F2C40F6" w14:textId="77777777" w:rsidR="00F240E4" w:rsidRDefault="00F240E4">
      <w:pPr>
        <w:pStyle w:val="BodyA"/>
        <w:spacing w:line="360" w:lineRule="auto"/>
        <w:jc w:val="both"/>
        <w:rPr>
          <w:rFonts w:ascii="Times New Roman" w:eastAsia="Times New Roman" w:hAnsi="Times New Roman" w:cs="Times New Roman"/>
          <w:sz w:val="24"/>
          <w:szCs w:val="24"/>
        </w:rPr>
      </w:pPr>
    </w:p>
    <w:p w14:paraId="1FC4EA49" w14:textId="77777777" w:rsidR="00F240E4" w:rsidRDefault="00F240E4">
      <w:pPr>
        <w:pStyle w:val="BodyA"/>
        <w:spacing w:line="360" w:lineRule="auto"/>
        <w:jc w:val="both"/>
        <w:rPr>
          <w:rFonts w:ascii="Times New Roman" w:eastAsia="Times New Roman" w:hAnsi="Times New Roman" w:cs="Times New Roman"/>
          <w:sz w:val="24"/>
          <w:szCs w:val="24"/>
        </w:rPr>
      </w:pPr>
    </w:p>
    <w:p w14:paraId="605CA445" w14:textId="77777777" w:rsidR="00F240E4" w:rsidRDefault="00F240E4">
      <w:pPr>
        <w:pStyle w:val="BodyA"/>
        <w:spacing w:line="360" w:lineRule="auto"/>
        <w:jc w:val="both"/>
        <w:rPr>
          <w:rFonts w:ascii="Times New Roman" w:eastAsia="Times New Roman" w:hAnsi="Times New Roman" w:cs="Times New Roman"/>
          <w:sz w:val="24"/>
          <w:szCs w:val="24"/>
        </w:rPr>
      </w:pPr>
    </w:p>
    <w:p w14:paraId="5D16DC48" w14:textId="77777777" w:rsidR="00F240E4" w:rsidRDefault="00F240E4">
      <w:pPr>
        <w:pStyle w:val="BodyA"/>
        <w:spacing w:line="360" w:lineRule="auto"/>
        <w:jc w:val="both"/>
        <w:rPr>
          <w:rFonts w:ascii="Times New Roman" w:eastAsia="Times New Roman" w:hAnsi="Times New Roman" w:cs="Times New Roman"/>
          <w:sz w:val="24"/>
          <w:szCs w:val="24"/>
        </w:rPr>
      </w:pPr>
    </w:p>
    <w:p w14:paraId="510DA19A" w14:textId="77777777" w:rsidR="00F240E4" w:rsidRDefault="00F240E4">
      <w:pPr>
        <w:pStyle w:val="BodyA"/>
        <w:spacing w:line="360" w:lineRule="auto"/>
        <w:jc w:val="both"/>
        <w:rPr>
          <w:rFonts w:ascii="Times New Roman" w:eastAsia="Times New Roman" w:hAnsi="Times New Roman" w:cs="Times New Roman"/>
          <w:sz w:val="24"/>
          <w:szCs w:val="24"/>
        </w:rPr>
      </w:pPr>
    </w:p>
    <w:p w14:paraId="12FD7CEC" w14:textId="77777777" w:rsidR="00F240E4" w:rsidRDefault="009E1DD9">
      <w:pPr>
        <w:pStyle w:val="BodyA"/>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DAF317" wp14:editId="1AACAC73">
            <wp:extent cx="6113145" cy="3183255"/>
            <wp:effectExtent l="0" t="0" r="8255" b="0"/>
            <wp:docPr id="2" name="Picture 2" descr="HD:Users:RBintanja:Desktop:Screen Shot 2019-05-10 at 13.0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RBintanja:Desktop:Screen Shot 2019-05-10 at 13.06.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3145" cy="3183255"/>
                    </a:xfrm>
                    <a:prstGeom prst="rect">
                      <a:avLst/>
                    </a:prstGeom>
                    <a:noFill/>
                    <a:ln>
                      <a:noFill/>
                    </a:ln>
                  </pic:spPr>
                </pic:pic>
              </a:graphicData>
            </a:graphic>
          </wp:inline>
        </w:drawing>
      </w:r>
    </w:p>
    <w:p w14:paraId="21AE1366" w14:textId="77777777" w:rsidR="00F240E4" w:rsidRDefault="001F74B2">
      <w:pPr>
        <w:pStyle w:val="BodyA"/>
        <w:spacing w:line="360" w:lineRule="auto"/>
        <w:jc w:val="both"/>
      </w:pPr>
      <w:r>
        <w:rPr>
          <w:rFonts w:ascii="Times New Roman" w:hAnsi="Times New Roman"/>
          <w:b/>
          <w:bCs/>
          <w:sz w:val="24"/>
          <w:szCs w:val="24"/>
        </w:rPr>
        <w:t>Supplementary Table 1 | Unconstrained and constrained ranges in projected warming for the CMIP5 model ensemble under the RCP8.5 scenario in selected continental summer regions.</w:t>
      </w:r>
      <w:r>
        <w:rPr>
          <w:rFonts w:ascii="Times New Roman" w:hAnsi="Times New Roman"/>
          <w:sz w:val="24"/>
          <w:szCs w:val="24"/>
        </w:rPr>
        <w:t xml:space="preserve"> In all selected regions, models with warmer present-day (1981-2010) temperatures project stronger warming in the future (2071-2100). The relationship is characterised by the slope of the linear regression line with the associated p and r values. The unconstrained range is given by the minimum and maximum warming in the ensemble, the constrained range by the minimum warming among models with correct or warmer present-day temperature and the maximum warming among models with correct or colder present-day temperature. The final column depicts the relative reduction resulting from the constraining procedure. Results are shown for absolute and relative (with respect to the near-global mean [60° S – 70° N] ) temperatures.</w:t>
      </w:r>
    </w:p>
    <w:sectPr w:rsidR="00F240E4">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6F97B" w14:textId="77777777" w:rsidR="00AC1825" w:rsidRDefault="00AC1825">
      <w:r>
        <w:separator/>
      </w:r>
    </w:p>
  </w:endnote>
  <w:endnote w:type="continuationSeparator" w:id="0">
    <w:p w14:paraId="7E9B8009" w14:textId="77777777" w:rsidR="00AC1825" w:rsidRDefault="00AC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FC718" w14:textId="77777777" w:rsidR="00AC1825" w:rsidRDefault="00AC1825">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F4A0C" w14:textId="77777777" w:rsidR="00AC1825" w:rsidRDefault="00AC1825">
      <w:r>
        <w:separator/>
      </w:r>
    </w:p>
  </w:footnote>
  <w:footnote w:type="continuationSeparator" w:id="0">
    <w:p w14:paraId="755CCA7B" w14:textId="77777777" w:rsidR="00AC1825" w:rsidRDefault="00AC182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F909D" w14:textId="77777777" w:rsidR="00AC1825" w:rsidRDefault="00AC182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240E4"/>
    <w:rsid w:val="001B1419"/>
    <w:rsid w:val="001C6E15"/>
    <w:rsid w:val="001E2C23"/>
    <w:rsid w:val="001E5D8E"/>
    <w:rsid w:val="001F74B2"/>
    <w:rsid w:val="00283E4D"/>
    <w:rsid w:val="002B02A6"/>
    <w:rsid w:val="002F17E4"/>
    <w:rsid w:val="003307E3"/>
    <w:rsid w:val="00343808"/>
    <w:rsid w:val="004C4C10"/>
    <w:rsid w:val="00531266"/>
    <w:rsid w:val="005B6AC7"/>
    <w:rsid w:val="00687603"/>
    <w:rsid w:val="007567D1"/>
    <w:rsid w:val="008748A9"/>
    <w:rsid w:val="008A0FD3"/>
    <w:rsid w:val="008A3779"/>
    <w:rsid w:val="008F5F17"/>
    <w:rsid w:val="00904874"/>
    <w:rsid w:val="00963203"/>
    <w:rsid w:val="009E1DD9"/>
    <w:rsid w:val="00A42A99"/>
    <w:rsid w:val="00A525B1"/>
    <w:rsid w:val="00A823F4"/>
    <w:rsid w:val="00A8388D"/>
    <w:rsid w:val="00A83EEE"/>
    <w:rsid w:val="00AA4A01"/>
    <w:rsid w:val="00AC1825"/>
    <w:rsid w:val="00AC3CCB"/>
    <w:rsid w:val="00B84D99"/>
    <w:rsid w:val="00BB0FF5"/>
    <w:rsid w:val="00C612E8"/>
    <w:rsid w:val="00C90BD3"/>
    <w:rsid w:val="00CC34FD"/>
    <w:rsid w:val="00CD20F6"/>
    <w:rsid w:val="00DD5CA8"/>
    <w:rsid w:val="00EA31BB"/>
    <w:rsid w:val="00ED6303"/>
    <w:rsid w:val="00F0237E"/>
    <w:rsid w:val="00F240E4"/>
    <w:rsid w:val="00F44B68"/>
    <w:rsid w:val="00F80945"/>
    <w:rsid w:val="00F86AA8"/>
    <w:rsid w:val="00F972F9"/>
    <w:rsid w:val="00FB2139"/>
    <w:rsid w:val="00FD2E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35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styleId="BalloonText">
    <w:name w:val="Balloon Text"/>
    <w:basedOn w:val="Normal"/>
    <w:link w:val="BalloonTextChar"/>
    <w:uiPriority w:val="99"/>
    <w:semiHidden/>
    <w:unhideWhenUsed/>
    <w:rsid w:val="009E1D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1DD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styleId="BalloonText">
    <w:name w:val="Balloon Text"/>
    <w:basedOn w:val="Normal"/>
    <w:link w:val="BalloonTextChar"/>
    <w:uiPriority w:val="99"/>
    <w:semiHidden/>
    <w:unhideWhenUsed/>
    <w:rsid w:val="009E1DD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1DD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image" Target="media/image3.png"/><Relationship Id="rId10"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815</Words>
  <Characters>4740</Characters>
  <Application>Microsoft Macintosh Word</Application>
  <DocSecurity>0</DocSecurity>
  <Lines>87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rb</cp:lastModifiedBy>
  <cp:revision>3</cp:revision>
  <dcterms:created xsi:type="dcterms:W3CDTF">2020-02-11T12:23:00Z</dcterms:created>
  <dcterms:modified xsi:type="dcterms:W3CDTF">2020-02-11T12:32:00Z</dcterms:modified>
</cp:coreProperties>
</file>