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119" w:rsidRDefault="000D0119" w:rsidP="000D0119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Supplementary Figure S1.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Map of the Aragón region within the Spain-France-Andorra </w:t>
      </w:r>
      <w:proofErr w:type="spellStart"/>
      <w:r>
        <w:rPr>
          <w:sz w:val="24"/>
          <w:szCs w:val="24"/>
        </w:rPr>
        <w:t>transboundary</w:t>
      </w:r>
      <w:proofErr w:type="spellEnd"/>
      <w:r>
        <w:rPr>
          <w:sz w:val="24"/>
          <w:szCs w:val="24"/>
        </w:rPr>
        <w:t xml:space="preserve"> territory showing the geographical location of the flocks wherefrom the </w:t>
      </w:r>
      <w:proofErr w:type="spellStart"/>
      <w:r>
        <w:rPr>
          <w:sz w:val="24"/>
          <w:szCs w:val="24"/>
        </w:rPr>
        <w:t>scrapie</w:t>
      </w:r>
      <w:proofErr w:type="spellEnd"/>
      <w:r>
        <w:rPr>
          <w:sz w:val="24"/>
          <w:szCs w:val="24"/>
        </w:rPr>
        <w:t>-infected sheep were obtained.</w:t>
      </w:r>
      <w:proofErr w:type="gramEnd"/>
      <w:r>
        <w:rPr>
          <w:sz w:val="24"/>
          <w:szCs w:val="24"/>
        </w:rPr>
        <w:t xml:space="preserve"> The map was obtained from Google Maps and the data provider appears in the lower part of the image.</w:t>
      </w:r>
    </w:p>
    <w:p w:rsidR="000D0119" w:rsidRDefault="000D0119" w:rsidP="000D0119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Supplementary Figure S2.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Distribution of spongiform lesions and </w:t>
      </w:r>
      <w:proofErr w:type="spellStart"/>
      <w:r>
        <w:rPr>
          <w:sz w:val="24"/>
          <w:szCs w:val="24"/>
        </w:rPr>
        <w:t>PrP</w:t>
      </w:r>
      <w:r>
        <w:rPr>
          <w:sz w:val="24"/>
          <w:szCs w:val="24"/>
          <w:vertAlign w:val="superscript"/>
        </w:rPr>
        <w:t>Sc</w:t>
      </w:r>
      <w:proofErr w:type="spellEnd"/>
      <w:r>
        <w:rPr>
          <w:sz w:val="24"/>
          <w:szCs w:val="24"/>
        </w:rPr>
        <w:t xml:space="preserve"> deposits in the brain of </w:t>
      </w:r>
      <w:proofErr w:type="spellStart"/>
      <w:r>
        <w:rPr>
          <w:sz w:val="24"/>
          <w:szCs w:val="24"/>
        </w:rPr>
        <w:t>TgShp</w:t>
      </w:r>
      <w:proofErr w:type="spellEnd"/>
      <w:r>
        <w:rPr>
          <w:sz w:val="24"/>
          <w:szCs w:val="24"/>
        </w:rPr>
        <w:t xml:space="preserve"> XI and Tg338 mice and correlation analysis between them.</w:t>
      </w:r>
      <w:proofErr w:type="gramEnd"/>
      <w:r>
        <w:rPr>
          <w:sz w:val="24"/>
          <w:szCs w:val="24"/>
        </w:rPr>
        <w:t xml:space="preserve"> Curves were plotted from the average vacuolization or </w:t>
      </w:r>
      <w:proofErr w:type="spellStart"/>
      <w:r>
        <w:rPr>
          <w:sz w:val="24"/>
          <w:szCs w:val="24"/>
        </w:rPr>
        <w:t>PrP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immunostaining</w:t>
      </w:r>
      <w:proofErr w:type="spellEnd"/>
      <w:r>
        <w:rPr>
          <w:sz w:val="24"/>
          <w:szCs w:val="24"/>
        </w:rPr>
        <w:t xml:space="preserve"> intensity for each transgenic line. At least three animals for each challenged group were included. The correlation analysis was performed using the non-parametric Spearman’s correlation coefficient (r). </w:t>
      </w:r>
      <w:proofErr w:type="spellStart"/>
      <w:r>
        <w:rPr>
          <w:sz w:val="24"/>
          <w:szCs w:val="24"/>
        </w:rPr>
        <w:t>Mobl</w:t>
      </w:r>
      <w:proofErr w:type="spellEnd"/>
      <w:r>
        <w:rPr>
          <w:sz w:val="24"/>
          <w:szCs w:val="24"/>
        </w:rPr>
        <w:t xml:space="preserve">: medulla oblongata, </w:t>
      </w:r>
      <w:proofErr w:type="spellStart"/>
      <w:r>
        <w:rPr>
          <w:sz w:val="24"/>
          <w:szCs w:val="24"/>
        </w:rPr>
        <w:t>Cb</w:t>
      </w:r>
      <w:proofErr w:type="spellEnd"/>
      <w:r>
        <w:rPr>
          <w:sz w:val="24"/>
          <w:szCs w:val="24"/>
        </w:rPr>
        <w:t xml:space="preserve">: cerebellar cortex, </w:t>
      </w:r>
      <w:proofErr w:type="spellStart"/>
      <w:r>
        <w:rPr>
          <w:sz w:val="24"/>
          <w:szCs w:val="24"/>
        </w:rPr>
        <w:t>Mes</w:t>
      </w:r>
      <w:proofErr w:type="spellEnd"/>
      <w:r>
        <w:rPr>
          <w:sz w:val="24"/>
          <w:szCs w:val="24"/>
        </w:rPr>
        <w:t xml:space="preserve">: mesencephalon, </w:t>
      </w:r>
      <w:proofErr w:type="spellStart"/>
      <w:r>
        <w:rPr>
          <w:sz w:val="24"/>
          <w:szCs w:val="24"/>
        </w:rPr>
        <w:t>Hy</w:t>
      </w:r>
      <w:proofErr w:type="spellEnd"/>
      <w:r>
        <w:rPr>
          <w:sz w:val="24"/>
          <w:szCs w:val="24"/>
        </w:rPr>
        <w:t xml:space="preserve">: hypothalamus, </w:t>
      </w:r>
      <w:proofErr w:type="spellStart"/>
      <w:r>
        <w:rPr>
          <w:sz w:val="24"/>
          <w:szCs w:val="24"/>
        </w:rPr>
        <w:t>Th</w:t>
      </w:r>
      <w:proofErr w:type="spellEnd"/>
      <w:r>
        <w:rPr>
          <w:sz w:val="24"/>
          <w:szCs w:val="24"/>
        </w:rPr>
        <w:t xml:space="preserve">: thalamus, </w:t>
      </w:r>
      <w:proofErr w:type="spellStart"/>
      <w:r>
        <w:rPr>
          <w:sz w:val="24"/>
          <w:szCs w:val="24"/>
        </w:rPr>
        <w:t>Hp</w:t>
      </w:r>
      <w:proofErr w:type="spellEnd"/>
      <w:r>
        <w:rPr>
          <w:sz w:val="24"/>
          <w:szCs w:val="24"/>
        </w:rPr>
        <w:t xml:space="preserve">: hippocampus, </w:t>
      </w:r>
      <w:proofErr w:type="spellStart"/>
      <w:r>
        <w:rPr>
          <w:sz w:val="24"/>
          <w:szCs w:val="24"/>
        </w:rPr>
        <w:t>Sn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septal</w:t>
      </w:r>
      <w:proofErr w:type="spellEnd"/>
      <w:r>
        <w:rPr>
          <w:sz w:val="24"/>
          <w:szCs w:val="24"/>
        </w:rPr>
        <w:t xml:space="preserve"> nuclei, </w:t>
      </w:r>
      <w:proofErr w:type="spellStart"/>
      <w:r>
        <w:rPr>
          <w:sz w:val="24"/>
          <w:szCs w:val="24"/>
        </w:rPr>
        <w:t>Tc</w:t>
      </w:r>
      <w:proofErr w:type="spellEnd"/>
      <w:r>
        <w:rPr>
          <w:sz w:val="24"/>
          <w:szCs w:val="24"/>
        </w:rPr>
        <w:t>: cortex at the level of thalamus, Fc: frontal cortex. Error bars represent SEM.</w:t>
      </w:r>
    </w:p>
    <w:p w:rsidR="00E03C95" w:rsidRDefault="000D0119" w:rsidP="000D0119">
      <w:proofErr w:type="gramStart"/>
      <w:r>
        <w:rPr>
          <w:b/>
          <w:sz w:val="24"/>
          <w:szCs w:val="24"/>
        </w:rPr>
        <w:t>Supplementary Figure S3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Original, full images of Western blots from Figures 1, 2 and 3.</w:t>
      </w:r>
      <w:proofErr w:type="gramEnd"/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M</w:t>
      </w:r>
      <w:r>
        <w:rPr>
          <w:sz w:val="24"/>
          <w:szCs w:val="24"/>
        </w:rPr>
        <w:t xml:space="preserve">: molecular weight marker, </w:t>
      </w:r>
      <w:r>
        <w:rPr>
          <w:i/>
          <w:sz w:val="24"/>
          <w:szCs w:val="24"/>
        </w:rPr>
        <w:t>C+</w:t>
      </w:r>
      <w:r>
        <w:rPr>
          <w:sz w:val="24"/>
          <w:szCs w:val="24"/>
        </w:rPr>
        <w:t xml:space="preserve">: positive control, </w:t>
      </w:r>
      <w:r>
        <w:rPr>
          <w:i/>
          <w:sz w:val="24"/>
          <w:szCs w:val="24"/>
        </w:rPr>
        <w:t>C-</w:t>
      </w:r>
      <w:r>
        <w:rPr>
          <w:sz w:val="24"/>
          <w:szCs w:val="24"/>
        </w:rPr>
        <w:t xml:space="preserve">: negative control, </w:t>
      </w:r>
      <w:r>
        <w:rPr>
          <w:i/>
          <w:sz w:val="24"/>
          <w:szCs w:val="24"/>
        </w:rPr>
        <w:t>n/</w:t>
      </w:r>
      <w:proofErr w:type="spellStart"/>
      <w:r>
        <w:rPr>
          <w:i/>
          <w:sz w:val="24"/>
          <w:szCs w:val="24"/>
        </w:rPr>
        <w:t>i</w:t>
      </w:r>
      <w:proofErr w:type="spellEnd"/>
      <w:r>
        <w:rPr>
          <w:sz w:val="24"/>
          <w:szCs w:val="24"/>
        </w:rPr>
        <w:t>: not included (lane not included in the study).</w:t>
      </w:r>
      <w:bookmarkStart w:id="0" w:name="_GoBack"/>
      <w:bookmarkEnd w:id="0"/>
    </w:p>
    <w:sectPr w:rsidR="00E03C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19"/>
    <w:rsid w:val="000D0119"/>
    <w:rsid w:val="00480178"/>
    <w:rsid w:val="00556593"/>
    <w:rsid w:val="00E0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5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>Microsoft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Vimal Saklani</dc:creator>
  <cp:lastModifiedBy>Vimal Saklani</cp:lastModifiedBy>
  <cp:revision>1</cp:revision>
  <dcterms:created xsi:type="dcterms:W3CDTF">2020-03-06T20:41:00Z</dcterms:created>
  <dcterms:modified xsi:type="dcterms:W3CDTF">2020-03-06T20:41:00Z</dcterms:modified>
</cp:coreProperties>
</file>