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729F4" w14:textId="79E913C5" w:rsidR="00EC7C50" w:rsidRDefault="0049766A" w:rsidP="0049766A">
      <w:pPr>
        <w:suppressAutoHyphens w:val="0"/>
        <w:spacing w:after="0" w:line="480" w:lineRule="auto"/>
        <w:contextualSpacing/>
        <w:jc w:val="both"/>
        <w:rPr>
          <w:rFonts w:ascii="Times New Roman" w:hAnsi="Times New Roman" w:cs="Times New Roman"/>
          <w:b/>
          <w:sz w:val="24"/>
          <w:szCs w:val="24"/>
        </w:rPr>
      </w:pPr>
      <w:r w:rsidRPr="00BE49BE">
        <w:rPr>
          <w:rFonts w:ascii="Times New Roman" w:hAnsi="Times New Roman" w:cs="Times New Roman"/>
          <w:b/>
          <w:sz w:val="24"/>
          <w:szCs w:val="24"/>
        </w:rPr>
        <w:t>Visual appearance of the virtual hand affects embodiment in the virtual hand illusion</w:t>
      </w:r>
    </w:p>
    <w:p w14:paraId="7DA86B44" w14:textId="77777777" w:rsidR="0049766A" w:rsidRPr="00087DFF" w:rsidRDefault="0049766A" w:rsidP="0049766A">
      <w:pPr>
        <w:suppressAutoHyphens w:val="0"/>
        <w:spacing w:after="0" w:line="480" w:lineRule="auto"/>
        <w:contextualSpacing/>
        <w:jc w:val="both"/>
        <w:rPr>
          <w:rFonts w:ascii="Times New Roman" w:hAnsi="Times New Roman" w:cs="Times New Roman"/>
          <w:b/>
          <w:sz w:val="24"/>
          <w:szCs w:val="24"/>
        </w:rPr>
      </w:pPr>
      <w:bookmarkStart w:id="0" w:name="_GoBack"/>
      <w:bookmarkEnd w:id="0"/>
    </w:p>
    <w:p w14:paraId="33A46908" w14:textId="43A55646" w:rsidR="001711D3" w:rsidRPr="00341830" w:rsidRDefault="001711D3" w:rsidP="001711D3">
      <w:pPr>
        <w:suppressAutoHyphens w:val="0"/>
        <w:spacing w:after="0" w:line="480" w:lineRule="auto"/>
        <w:contextualSpacing/>
        <w:jc w:val="both"/>
        <w:rPr>
          <w:rFonts w:ascii="Times New Roman" w:hAnsi="Times New Roman" w:cs="Times New Roman"/>
          <w:sz w:val="24"/>
          <w:szCs w:val="24"/>
          <w:vertAlign w:val="superscript"/>
          <w:lang w:val="it-IT"/>
        </w:rPr>
      </w:pPr>
      <w:r w:rsidRPr="00341830">
        <w:rPr>
          <w:rFonts w:ascii="Times New Roman" w:hAnsi="Times New Roman" w:cs="Times New Roman"/>
          <w:sz w:val="24"/>
          <w:szCs w:val="24"/>
          <w:lang w:val="it-IT"/>
        </w:rPr>
        <w:t>Maria Pyasik, Gaetano Tieri, Lorenzo Pia</w:t>
      </w:r>
    </w:p>
    <w:p w14:paraId="455E21EF" w14:textId="77777777" w:rsidR="00AF76FC" w:rsidRDefault="00AF76FC">
      <w:pPr>
        <w:rPr>
          <w:lang w:val="it-IT"/>
        </w:rPr>
      </w:pPr>
    </w:p>
    <w:p w14:paraId="4748B959" w14:textId="77777777" w:rsidR="001711D3" w:rsidRDefault="001711D3">
      <w:pPr>
        <w:suppressAutoHyphens w:val="0"/>
        <w:spacing w:line="259" w:lineRule="auto"/>
        <w:rPr>
          <w:lang w:val="it-IT"/>
        </w:rPr>
      </w:pPr>
      <w:r>
        <w:rPr>
          <w:lang w:val="it-IT"/>
        </w:rPr>
        <w:br w:type="page"/>
      </w:r>
    </w:p>
    <w:p w14:paraId="2969DC8F" w14:textId="4C40529D" w:rsidR="00BA5DE9" w:rsidRDefault="00BA5DE9">
      <w:pPr>
        <w:rPr>
          <w:rFonts w:ascii="Times New Roman" w:hAnsi="Times New Roman" w:cs="Times New Roman"/>
          <w:b/>
          <w:sz w:val="24"/>
          <w:szCs w:val="24"/>
          <w:lang w:val="en-GB"/>
        </w:rPr>
      </w:pPr>
      <w:r w:rsidRPr="00C2451E">
        <w:rPr>
          <w:rFonts w:ascii="Times New Roman" w:hAnsi="Times New Roman" w:cs="Times New Roman"/>
          <w:b/>
          <w:sz w:val="24"/>
          <w:szCs w:val="24"/>
          <w:lang w:val="en-GB"/>
        </w:rPr>
        <w:lastRenderedPageBreak/>
        <w:t>Supplementary r</w:t>
      </w:r>
      <w:r w:rsidR="001711D3" w:rsidRPr="00C2451E">
        <w:rPr>
          <w:rFonts w:ascii="Times New Roman" w:hAnsi="Times New Roman" w:cs="Times New Roman"/>
          <w:b/>
          <w:sz w:val="24"/>
          <w:szCs w:val="24"/>
          <w:lang w:val="en-GB"/>
        </w:rPr>
        <w:t>esults</w:t>
      </w:r>
    </w:p>
    <w:p w14:paraId="5AAE29C0" w14:textId="77777777" w:rsidR="00170E24" w:rsidRPr="00C2451E" w:rsidRDefault="00170E24">
      <w:pPr>
        <w:rPr>
          <w:rFonts w:ascii="Times New Roman" w:hAnsi="Times New Roman" w:cs="Times New Roman"/>
          <w:b/>
          <w:sz w:val="24"/>
          <w:szCs w:val="24"/>
          <w:lang w:val="en-GB"/>
        </w:rPr>
      </w:pPr>
    </w:p>
    <w:p w14:paraId="38B78462" w14:textId="77777777" w:rsidR="000C21BB" w:rsidRPr="00087DFF" w:rsidRDefault="000C21BB" w:rsidP="000C21BB">
      <w:pPr>
        <w:spacing w:line="480" w:lineRule="auto"/>
        <w:contextualSpacing/>
        <w:jc w:val="both"/>
      </w:pPr>
      <w:r w:rsidRPr="00087DFF">
        <w:rPr>
          <w:rFonts w:ascii="Times New Roman" w:hAnsi="Times New Roman" w:cs="Times New Roman"/>
          <w:i/>
          <w:sz w:val="24"/>
          <w:szCs w:val="24"/>
        </w:rPr>
        <w:t>3.1 Subjective reports on ownership</w:t>
      </w:r>
    </w:p>
    <w:p w14:paraId="735E64DC" w14:textId="633F8296" w:rsidR="000C21BB" w:rsidRPr="00087DFF" w:rsidRDefault="000C21BB" w:rsidP="003A7E68">
      <w:pPr>
        <w:spacing w:line="480" w:lineRule="auto"/>
        <w:contextualSpacing/>
        <w:jc w:val="both"/>
        <w:rPr>
          <w:rFonts w:ascii="Times New Roman" w:hAnsi="Times New Roman" w:cs="Times New Roman"/>
          <w:sz w:val="24"/>
          <w:szCs w:val="24"/>
        </w:rPr>
      </w:pPr>
      <w:r w:rsidRPr="00087DFF">
        <w:rPr>
          <w:rFonts w:ascii="Times New Roman" w:hAnsi="Times New Roman" w:cs="Times New Roman"/>
          <w:sz w:val="24"/>
          <w:szCs w:val="24"/>
        </w:rPr>
        <w:t xml:space="preserve">We used Wilcoxon signed rank test to analyze the questionnaire ratings (see </w:t>
      </w:r>
      <w:r w:rsidR="001158B9">
        <w:rPr>
          <w:rFonts w:ascii="Times New Roman" w:hAnsi="Times New Roman" w:cs="Times New Roman"/>
          <w:sz w:val="24"/>
          <w:szCs w:val="24"/>
        </w:rPr>
        <w:t>Supplementary table 1</w:t>
      </w:r>
      <w:r w:rsidRPr="00087DFF">
        <w:rPr>
          <w:rFonts w:ascii="Times New Roman" w:hAnsi="Times New Roman" w:cs="Times New Roman"/>
          <w:sz w:val="24"/>
          <w:szCs w:val="24"/>
        </w:rPr>
        <w:t xml:space="preserve"> for medians and IQRs). Firstly, we compared averaged Ownership and Control ratings within each condition (see Figure 2A and B</w:t>
      </w:r>
      <w:r w:rsidR="00C2451E">
        <w:rPr>
          <w:rFonts w:ascii="Times New Roman" w:hAnsi="Times New Roman" w:cs="Times New Roman"/>
          <w:sz w:val="24"/>
          <w:szCs w:val="24"/>
        </w:rPr>
        <w:t xml:space="preserve"> in the main text</w:t>
      </w:r>
      <w:r w:rsidRPr="00087DFF">
        <w:rPr>
          <w:rFonts w:ascii="Times New Roman" w:hAnsi="Times New Roman" w:cs="Times New Roman"/>
          <w:sz w:val="24"/>
          <w:szCs w:val="24"/>
        </w:rPr>
        <w:t>). The ratings in Ownership statements were significantly higher than in Control statements in all OH conditions (Congr Syn: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 .13; Congr Asyn: p = .005,</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 .47; Incongr Syn: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 .43; Incongr Asyn: p = .004,</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 .41)</w:t>
      </w:r>
      <w:r w:rsidRPr="00087DFF">
        <w:rPr>
          <w:rFonts w:ascii="Times New Roman" w:hAnsi="Times New Roman" w:cs="Times New Roman"/>
          <w:sz w:val="24"/>
          <w:szCs w:val="24"/>
        </w:rPr>
        <w:t>,  FH with Syn stimulation (Congr Syn: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 .32; Incongr Syn: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 xml:space="preserve">= .12) </w:t>
      </w:r>
      <w:r w:rsidRPr="00087DFF">
        <w:rPr>
          <w:rFonts w:ascii="Times New Roman" w:hAnsi="Times New Roman" w:cs="Times New Roman"/>
          <w:sz w:val="24"/>
          <w:szCs w:val="24"/>
        </w:rPr>
        <w:t>and Obj Congr Syn (p = .001,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 .56). I</w:t>
      </w:r>
      <w:r w:rsidRPr="00087DFF">
        <w:rPr>
          <w:rFonts w:ascii="Times New Roman" w:hAnsi="Times New Roman" w:cs="Times New Roman"/>
          <w:sz w:val="24"/>
          <w:szCs w:val="24"/>
        </w:rPr>
        <w:t>n case of Obj Incongr Asyn, the ratings in Control statements were significantly higher than the ratings in Ownership statements (p = .001,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 .47).</w:t>
      </w:r>
      <w:r w:rsidRPr="00087DFF">
        <w:rPr>
          <w:rFonts w:ascii="Times New Roman" w:hAnsi="Times New Roman" w:cs="Times New Roman"/>
          <w:sz w:val="24"/>
          <w:szCs w:val="24"/>
        </w:rPr>
        <w:t xml:space="preserve"> Finally, no significant differences were observed for FH with Asyn stimulation (both Congr and Incongr), Obj Congr Asyn and Obj Incongr Syn (.30 &lt; p &lt; .55).</w:t>
      </w:r>
    </w:p>
    <w:p w14:paraId="07505425" w14:textId="77777777" w:rsidR="000C21BB" w:rsidRPr="00087DFF" w:rsidRDefault="000C21BB" w:rsidP="000C21BB">
      <w:pPr>
        <w:spacing w:line="480" w:lineRule="auto"/>
        <w:ind w:firstLine="720"/>
        <w:contextualSpacing/>
        <w:jc w:val="both"/>
        <w:rPr>
          <w:rFonts w:ascii="Times New Roman" w:hAnsi="Times New Roman" w:cs="Times New Roman"/>
          <w:sz w:val="24"/>
          <w:szCs w:val="24"/>
        </w:rPr>
      </w:pPr>
      <w:r w:rsidRPr="00087DFF">
        <w:rPr>
          <w:rFonts w:ascii="Times New Roman" w:hAnsi="Times New Roman" w:cs="Times New Roman"/>
          <w:sz w:val="24"/>
          <w:szCs w:val="24"/>
        </w:rPr>
        <w:t xml:space="preserve">As for the comparison of ownership ratings between Syn and Asyn stimulation conditions for each type of object, they were significantly higher after Syn stimulation compared to Asyn stimulation in every condition (OH Congr: </w:t>
      </w:r>
      <w:r w:rsidRPr="00087DFF">
        <w:rPr>
          <w:rFonts w:ascii="Times New Roman" w:hAnsi="Times New Roman" w:cs="Times New Roman"/>
          <w:sz w:val="24"/>
          <w:szCs w:val="24"/>
          <w:highlight w:val="white"/>
        </w:rPr>
        <w:t>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w:t>
      </w:r>
      <w:r w:rsidRPr="00087DFF">
        <w:rPr>
          <w:rFonts w:ascii="Times New Roman" w:hAnsi="Times New Roman" w:cs="Times New Roman"/>
          <w:sz w:val="24"/>
          <w:szCs w:val="24"/>
        </w:rPr>
        <w:t xml:space="preserve"> .54; OH Incongr: </w:t>
      </w:r>
      <w:r w:rsidRPr="00087DFF">
        <w:rPr>
          <w:rFonts w:ascii="Times New Roman" w:hAnsi="Times New Roman" w:cs="Times New Roman"/>
          <w:sz w:val="24"/>
          <w:szCs w:val="24"/>
          <w:highlight w:val="white"/>
        </w:rPr>
        <w:t>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w:t>
      </w:r>
      <w:r w:rsidRPr="00087DFF">
        <w:rPr>
          <w:rFonts w:ascii="Times New Roman" w:hAnsi="Times New Roman" w:cs="Times New Roman"/>
          <w:sz w:val="24"/>
          <w:szCs w:val="24"/>
        </w:rPr>
        <w:t xml:space="preserve"> .55; FH Congr: </w:t>
      </w:r>
      <w:r w:rsidRPr="00087DFF">
        <w:rPr>
          <w:rFonts w:ascii="Times New Roman" w:hAnsi="Times New Roman" w:cs="Times New Roman"/>
          <w:sz w:val="24"/>
          <w:szCs w:val="24"/>
          <w:highlight w:val="white"/>
        </w:rPr>
        <w:t>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w:t>
      </w:r>
      <w:r w:rsidRPr="00087DFF">
        <w:rPr>
          <w:rFonts w:ascii="Times New Roman" w:hAnsi="Times New Roman" w:cs="Times New Roman"/>
          <w:sz w:val="24"/>
          <w:szCs w:val="24"/>
        </w:rPr>
        <w:t xml:space="preserve"> .48; FH Incongr: </w:t>
      </w:r>
      <w:r w:rsidRPr="00087DFF">
        <w:rPr>
          <w:rFonts w:ascii="Times New Roman" w:hAnsi="Times New Roman" w:cs="Times New Roman"/>
          <w:sz w:val="24"/>
          <w:szCs w:val="24"/>
          <w:highlight w:val="white"/>
        </w:rPr>
        <w:t>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w:t>
      </w:r>
      <w:r w:rsidRPr="00087DFF">
        <w:rPr>
          <w:rFonts w:ascii="Times New Roman" w:hAnsi="Times New Roman" w:cs="Times New Roman"/>
          <w:sz w:val="24"/>
          <w:szCs w:val="24"/>
        </w:rPr>
        <w:t xml:space="preserve"> .57; Obj Congr: </w:t>
      </w:r>
      <w:r w:rsidRPr="00087DFF">
        <w:rPr>
          <w:rFonts w:ascii="Times New Roman" w:hAnsi="Times New Roman" w:cs="Times New Roman"/>
          <w:sz w:val="24"/>
          <w:szCs w:val="24"/>
          <w:highlight w:val="white"/>
        </w:rPr>
        <w:t>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w:t>
      </w:r>
      <w:r w:rsidRPr="00087DFF">
        <w:rPr>
          <w:rFonts w:ascii="Times New Roman" w:hAnsi="Times New Roman" w:cs="Times New Roman"/>
          <w:sz w:val="24"/>
          <w:szCs w:val="24"/>
        </w:rPr>
        <w:t xml:space="preserve"> .59; Obj Incongr: </w:t>
      </w:r>
      <w:r w:rsidRPr="00087DFF">
        <w:rPr>
          <w:rFonts w:ascii="Times New Roman" w:hAnsi="Times New Roman" w:cs="Times New Roman"/>
          <w:sz w:val="24"/>
          <w:szCs w:val="24"/>
          <w:highlight w:val="white"/>
        </w:rPr>
        <w:t>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w:t>
      </w:r>
      <w:r w:rsidRPr="00087DFF">
        <w:rPr>
          <w:rFonts w:ascii="Times New Roman" w:hAnsi="Times New Roman" w:cs="Times New Roman"/>
          <w:sz w:val="24"/>
          <w:szCs w:val="24"/>
        </w:rPr>
        <w:t xml:space="preserve"> .43).</w:t>
      </w:r>
    </w:p>
    <w:p w14:paraId="2FB8CB9C" w14:textId="77777777" w:rsidR="000C21BB" w:rsidRPr="00087DFF" w:rsidRDefault="000C21BB" w:rsidP="000C21BB">
      <w:pPr>
        <w:spacing w:line="480" w:lineRule="auto"/>
        <w:ind w:firstLine="720"/>
        <w:contextualSpacing/>
        <w:jc w:val="both"/>
        <w:rPr>
          <w:rFonts w:ascii="Times New Roman" w:hAnsi="Times New Roman" w:cs="Times New Roman"/>
          <w:sz w:val="24"/>
          <w:szCs w:val="24"/>
        </w:rPr>
      </w:pPr>
      <w:r w:rsidRPr="00087DFF">
        <w:rPr>
          <w:rFonts w:ascii="Times New Roman" w:hAnsi="Times New Roman" w:cs="Times New Roman"/>
          <w:sz w:val="24"/>
          <w:szCs w:val="24"/>
        </w:rPr>
        <w:t xml:space="preserve">The comparisons within Syn stimulation conditions showed comparable ownership of OH and FH both in Congr and Incongr location (Congr: </w:t>
      </w:r>
      <w:r w:rsidRPr="00087DFF">
        <w:rPr>
          <w:rFonts w:ascii="Times New Roman" w:hAnsi="Times New Roman" w:cs="Times New Roman"/>
          <w:sz w:val="24"/>
          <w:szCs w:val="24"/>
          <w:highlight w:val="white"/>
        </w:rPr>
        <w:t>p = .016</w:t>
      </w:r>
      <w:r w:rsidRPr="00087DFF">
        <w:rPr>
          <w:rFonts w:ascii="Times New Roman" w:hAnsi="Times New Roman" w:cs="Times New Roman"/>
          <w:sz w:val="24"/>
          <w:szCs w:val="24"/>
        </w:rPr>
        <w:t xml:space="preserve"> [N.S. after Bonferroni correction; alpha level: p = .006]; Incongr: p = .56). In turn, both OH and FH had significantly higher ownership ratings then Obj in both locations (Congr location, OH: </w:t>
      </w:r>
      <w:r w:rsidRPr="00087DFF">
        <w:rPr>
          <w:rFonts w:ascii="Times New Roman" w:hAnsi="Times New Roman" w:cs="Times New Roman"/>
          <w:sz w:val="24"/>
          <w:szCs w:val="24"/>
          <w:highlight w:val="white"/>
        </w:rPr>
        <w:t>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w:t>
      </w:r>
      <w:r w:rsidRPr="00087DFF">
        <w:rPr>
          <w:rFonts w:ascii="Times New Roman" w:hAnsi="Times New Roman" w:cs="Times New Roman"/>
          <w:sz w:val="24"/>
          <w:szCs w:val="24"/>
        </w:rPr>
        <w:t xml:space="preserve"> .48, FH: </w:t>
      </w:r>
      <w:r w:rsidRPr="00087DFF">
        <w:rPr>
          <w:rFonts w:ascii="Times New Roman" w:hAnsi="Times New Roman" w:cs="Times New Roman"/>
          <w:sz w:val="24"/>
          <w:szCs w:val="24"/>
          <w:highlight w:val="white"/>
        </w:rPr>
        <w:t>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w:t>
      </w:r>
      <w:r w:rsidRPr="00087DFF">
        <w:rPr>
          <w:rFonts w:ascii="Times New Roman" w:hAnsi="Times New Roman" w:cs="Times New Roman"/>
          <w:sz w:val="24"/>
          <w:szCs w:val="24"/>
        </w:rPr>
        <w:t xml:space="preserve"> .38; Incongr location, OH: </w:t>
      </w:r>
      <w:r w:rsidRPr="00087DFF">
        <w:rPr>
          <w:rFonts w:ascii="Times New Roman" w:hAnsi="Times New Roman" w:cs="Times New Roman"/>
          <w:sz w:val="24"/>
          <w:szCs w:val="24"/>
          <w:highlight w:val="white"/>
        </w:rPr>
        <w:t>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w:t>
      </w:r>
      <w:r w:rsidRPr="00087DFF">
        <w:rPr>
          <w:rFonts w:ascii="Times New Roman" w:hAnsi="Times New Roman" w:cs="Times New Roman"/>
          <w:sz w:val="24"/>
          <w:szCs w:val="24"/>
        </w:rPr>
        <w:t xml:space="preserve"> .68; FH: </w:t>
      </w:r>
      <w:r w:rsidRPr="00087DFF">
        <w:rPr>
          <w:rFonts w:ascii="Times New Roman" w:hAnsi="Times New Roman" w:cs="Times New Roman"/>
          <w:sz w:val="24"/>
          <w:szCs w:val="24"/>
          <w:highlight w:val="white"/>
        </w:rPr>
        <w:t>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w:t>
      </w:r>
      <w:r w:rsidRPr="00087DFF">
        <w:rPr>
          <w:rFonts w:ascii="Times New Roman" w:hAnsi="Times New Roman" w:cs="Times New Roman"/>
          <w:sz w:val="24"/>
          <w:szCs w:val="24"/>
        </w:rPr>
        <w:t xml:space="preserve"> .65).  Neither OH (p = .82), nor FH (p = .16) ratings differed between Congr and Incongr location, while for Obj, the ratings in Congr location were significantly higher compared to Incongr (</w:t>
      </w:r>
      <w:r w:rsidRPr="00087DFF">
        <w:rPr>
          <w:rFonts w:ascii="Times New Roman" w:hAnsi="Times New Roman" w:cs="Times New Roman"/>
          <w:sz w:val="24"/>
          <w:szCs w:val="24"/>
          <w:highlight w:val="white"/>
        </w:rPr>
        <w:t>p = .003,</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w:t>
      </w:r>
      <w:r w:rsidRPr="00087DFF">
        <w:rPr>
          <w:rFonts w:ascii="Times New Roman" w:hAnsi="Times New Roman" w:cs="Times New Roman"/>
          <w:sz w:val="24"/>
          <w:szCs w:val="24"/>
        </w:rPr>
        <w:t xml:space="preserve"> .28).</w:t>
      </w:r>
    </w:p>
    <w:p w14:paraId="5F67F40A" w14:textId="2A849998" w:rsidR="000C21BB" w:rsidRPr="00A306EC" w:rsidRDefault="000C21BB" w:rsidP="000C21BB">
      <w:pPr>
        <w:spacing w:line="480" w:lineRule="auto"/>
        <w:contextualSpacing/>
        <w:jc w:val="both"/>
        <w:rPr>
          <w:rFonts w:ascii="Times New Roman" w:hAnsi="Times New Roman" w:cs="Times New Roman"/>
          <w:sz w:val="24"/>
          <w:szCs w:val="24"/>
        </w:rPr>
      </w:pPr>
      <w:r w:rsidRPr="00087DFF">
        <w:rPr>
          <w:rFonts w:ascii="Times New Roman" w:hAnsi="Times New Roman" w:cs="Times New Roman"/>
          <w:sz w:val="24"/>
          <w:szCs w:val="24"/>
        </w:rPr>
        <w:lastRenderedPageBreak/>
        <w:tab/>
        <w:t>Crucially, the ownership ratings were positive only for OH and FH with Syn stimulation, both Congr and Incongr location (median ± IQR ranging from 20.63±30.94 to 34.79±31.15 on a -50/+50 scale). Negative ratings in other conditions suggest the absence of subjective ownership.</w:t>
      </w:r>
    </w:p>
    <w:p w14:paraId="0449F9F3" w14:textId="4F151880" w:rsidR="00C2451E" w:rsidRDefault="000C21BB" w:rsidP="00C2451E">
      <w:pPr>
        <w:spacing w:line="480" w:lineRule="auto"/>
        <w:ind w:firstLine="567"/>
        <w:contextualSpacing/>
        <w:jc w:val="both"/>
        <w:rPr>
          <w:rFonts w:ascii="Times New Roman" w:hAnsi="Times New Roman" w:cs="Times New Roman"/>
          <w:sz w:val="24"/>
          <w:szCs w:val="24"/>
        </w:rPr>
      </w:pPr>
      <w:r w:rsidRPr="00087DFF">
        <w:rPr>
          <w:rFonts w:ascii="Times New Roman" w:hAnsi="Times New Roman" w:cs="Times New Roman"/>
          <w:sz w:val="24"/>
          <w:szCs w:val="24"/>
        </w:rPr>
        <w:t>In order to obtain more detailed results on ownership, we analyzed the three Ownership statements separately (see Figure 3).</w:t>
      </w:r>
      <w:r w:rsidRPr="00087DFF" w:rsidDel="00CD72B9">
        <w:t xml:space="preserve"> </w:t>
      </w:r>
      <w:r w:rsidRPr="00087DFF">
        <w:rPr>
          <w:rFonts w:ascii="Times New Roman" w:hAnsi="Times New Roman" w:cs="Times New Roman"/>
          <w:sz w:val="24"/>
          <w:szCs w:val="24"/>
        </w:rPr>
        <w:t>In Q1 (</w:t>
      </w:r>
      <w:r w:rsidRPr="00087DFF">
        <w:rPr>
          <w:rFonts w:ascii="Times New Roman" w:hAnsi="Times New Roman" w:cs="Times New Roman"/>
          <w:i/>
          <w:iCs/>
          <w:sz w:val="24"/>
          <w:szCs w:val="24"/>
        </w:rPr>
        <w:t xml:space="preserve">“I felt as if I </w:t>
      </w:r>
      <w:r w:rsidR="007D09B8">
        <w:rPr>
          <w:rFonts w:ascii="Times New Roman" w:hAnsi="Times New Roman" w:cs="Times New Roman"/>
          <w:i/>
          <w:iCs/>
          <w:sz w:val="24"/>
          <w:szCs w:val="24"/>
        </w:rPr>
        <w:t>was</w:t>
      </w:r>
      <w:r w:rsidRPr="00087DFF">
        <w:rPr>
          <w:rFonts w:ascii="Times New Roman" w:hAnsi="Times New Roman" w:cs="Times New Roman"/>
          <w:i/>
          <w:iCs/>
          <w:sz w:val="24"/>
          <w:szCs w:val="24"/>
        </w:rPr>
        <w:t xml:space="preserve"> looking at my own hand”</w:t>
      </w:r>
      <w:r w:rsidRPr="00087DFF">
        <w:rPr>
          <w:rFonts w:ascii="Times New Roman" w:hAnsi="Times New Roman" w:cs="Times New Roman"/>
          <w:sz w:val="24"/>
          <w:szCs w:val="24"/>
        </w:rPr>
        <w:t>), the ratings in Syn stimulation were significantly higher than in Asyn in all conditions, except for Obj Incongr (p = .14): OH Congr (p = .0004,</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.47), OH Incongr (p = .0005,</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.52), FH Congr (p = .002,</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.27), FH Incongr (p = .0007,</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.38), Obj Congr (p = .0008,</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.53). Further comparisons within the Syn stimulation conditions showed that the ratings were the highest for OH in Congr location (OH vs FH: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.58; OH vs Obj: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.16), but comparable between OH and FH in Incogr location (p = .03 [N.S. after Bonferroni correction; alpha level: p = .006]. Additionally, in Incongr location, the ratings for OH were significantly higher than for Obj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.04). The ratings for FH were also significantly higher compared to Obj (Congr: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.38; Incongr: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.14). As for the comparisons between Congr and Incongr locations within each type of virtual object, there were no significant differences either for OH (p = .66), or for FH (p = .22), but the ratings were significantly higher for Obj Congr compared to Incongr (p = .0003,</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.59). Importantly, the ratings were positive for OH and FH in Syn conditions in both locations (medians ± IQRs ranging from 13.70±40.00 to 33.75±33.75 with the highest rating for OH Congr), and for OH after Asyn stimulation (Congr: 13.13±59.01; Incongr: 15.50±40.60), but negative for FH Asyn and all Obj conditions (medians ± IQRs ranging from -48.13±22.50 for Obj Incongr to -1.85±53.65 for FH Incongr).</w:t>
      </w:r>
    </w:p>
    <w:p w14:paraId="4859945B" w14:textId="714FA568" w:rsidR="000C21BB" w:rsidRPr="00087DFF" w:rsidRDefault="000C21BB" w:rsidP="00C2451E">
      <w:pPr>
        <w:spacing w:line="480" w:lineRule="auto"/>
        <w:ind w:firstLine="567"/>
        <w:contextualSpacing/>
        <w:jc w:val="both"/>
        <w:rPr>
          <w:rFonts w:ascii="Times New Roman" w:hAnsi="Times New Roman" w:cs="Times New Roman"/>
          <w:sz w:val="24"/>
          <w:szCs w:val="24"/>
        </w:rPr>
      </w:pPr>
      <w:r w:rsidRPr="00087DFF">
        <w:rPr>
          <w:rFonts w:ascii="Times New Roman" w:hAnsi="Times New Roman" w:cs="Times New Roman"/>
          <w:sz w:val="24"/>
          <w:szCs w:val="24"/>
        </w:rPr>
        <w:t>In Q2 (</w:t>
      </w:r>
      <w:r w:rsidRPr="00087DFF">
        <w:rPr>
          <w:rFonts w:ascii="Times New Roman" w:hAnsi="Times New Roman" w:cs="Times New Roman"/>
          <w:i/>
          <w:iCs/>
          <w:sz w:val="24"/>
          <w:szCs w:val="24"/>
        </w:rPr>
        <w:t xml:space="preserve">“I felt as if the Virtual Hand/Virtual Object </w:t>
      </w:r>
      <w:r w:rsidR="007D09B8">
        <w:rPr>
          <w:rFonts w:ascii="Times New Roman" w:hAnsi="Times New Roman" w:cs="Times New Roman"/>
          <w:i/>
          <w:iCs/>
          <w:sz w:val="24"/>
          <w:szCs w:val="24"/>
        </w:rPr>
        <w:t>was</w:t>
      </w:r>
      <w:r w:rsidRPr="00087DFF">
        <w:rPr>
          <w:rFonts w:ascii="Times New Roman" w:hAnsi="Times New Roman" w:cs="Times New Roman"/>
          <w:i/>
          <w:iCs/>
          <w:sz w:val="24"/>
          <w:szCs w:val="24"/>
        </w:rPr>
        <w:t xml:space="preserve"> part of my body”</w:t>
      </w:r>
      <w:r w:rsidRPr="00087DFF">
        <w:rPr>
          <w:rFonts w:ascii="Times New Roman" w:hAnsi="Times New Roman" w:cs="Times New Roman"/>
          <w:sz w:val="24"/>
          <w:szCs w:val="24"/>
        </w:rPr>
        <w:t xml:space="preserve">), similarly to Q1, the ratings were significantly higher in Syn stimulation than in Asyn in all conditions, </w:t>
      </w:r>
      <w:r w:rsidRPr="00087DFF">
        <w:rPr>
          <w:rFonts w:ascii="Times New Roman" w:hAnsi="Times New Roman" w:cs="Times New Roman"/>
          <w:sz w:val="24"/>
          <w:szCs w:val="24"/>
        </w:rPr>
        <w:lastRenderedPageBreak/>
        <w:t>except for Obj Incongr (p = .07): OH Congr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.62), OH Incongr (p = .0003,</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.64), FH Congr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.53), FH Incongr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.49), Obj Congr (p = .02,</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.40). Within the Syn stimulation conditions, OH and FH did not differ in either of the locations (Congr: p = .99; Incongr: p = .79), and both OH and FH had significantly higher ratings than Obj (Congr: OH vs Obj – p =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.18; FH vs Obj –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.44; Incongr: OH vs Obj -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.27; FH vs Obj –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.16). Within each type of virtual object, there were no significant differences between Congr and Incongr conditions for any of the objects (.02 [N.S. after Bonferroni correction; alpha level: p = .006] &lt; p &lt; .</w:t>
      </w:r>
      <w:r>
        <w:rPr>
          <w:rFonts w:ascii="Times New Roman" w:hAnsi="Times New Roman" w:cs="Times New Roman"/>
          <w:sz w:val="24"/>
          <w:szCs w:val="24"/>
        </w:rPr>
        <w:t>75</w:t>
      </w:r>
      <w:r w:rsidRPr="00087DFF">
        <w:rPr>
          <w:rFonts w:ascii="Times New Roman" w:hAnsi="Times New Roman" w:cs="Times New Roman"/>
          <w:sz w:val="24"/>
          <w:szCs w:val="24"/>
        </w:rPr>
        <w:t>). As in Q1, the ratings were positive for OH and FH Syn in both Congr and Incongr location (ranging from 19.10±31.90 to 26.10±41.25 with the highest rating for OH Incongr), and for OH Asyn (Congr: 7.5±45.00; Incongr: 10.30±57.80), but not for any of Obj conditions (ranging from -35.00±32.80 to -13.1±54.40).</w:t>
      </w:r>
    </w:p>
    <w:p w14:paraId="40BB131D" w14:textId="4690E11D" w:rsidR="000C21BB" w:rsidRPr="00087DFF" w:rsidRDefault="000C21BB" w:rsidP="000C21BB">
      <w:pPr>
        <w:spacing w:line="480" w:lineRule="auto"/>
        <w:ind w:firstLine="567"/>
        <w:contextualSpacing/>
        <w:jc w:val="both"/>
        <w:rPr>
          <w:rFonts w:ascii="Times New Roman" w:hAnsi="Times New Roman" w:cs="Times New Roman"/>
          <w:sz w:val="24"/>
          <w:szCs w:val="24"/>
        </w:rPr>
      </w:pPr>
      <w:r w:rsidRPr="00087DFF">
        <w:rPr>
          <w:rFonts w:ascii="Times New Roman" w:hAnsi="Times New Roman" w:cs="Times New Roman"/>
          <w:sz w:val="24"/>
          <w:szCs w:val="24"/>
        </w:rPr>
        <w:t>In Q3 (“</w:t>
      </w:r>
      <w:r w:rsidRPr="00087DFF">
        <w:rPr>
          <w:rFonts w:ascii="Times New Roman" w:hAnsi="Times New Roman" w:cs="Times New Roman"/>
          <w:i/>
          <w:iCs/>
          <w:sz w:val="24"/>
          <w:szCs w:val="24"/>
        </w:rPr>
        <w:t xml:space="preserve">It felt as if the touch I experienced </w:t>
      </w:r>
      <w:r w:rsidR="007D09B8">
        <w:rPr>
          <w:rFonts w:ascii="Times New Roman" w:hAnsi="Times New Roman" w:cs="Times New Roman"/>
          <w:i/>
          <w:iCs/>
          <w:sz w:val="24"/>
          <w:szCs w:val="24"/>
        </w:rPr>
        <w:t>was</w:t>
      </w:r>
      <w:r w:rsidRPr="00087DFF">
        <w:rPr>
          <w:rFonts w:ascii="Times New Roman" w:hAnsi="Times New Roman" w:cs="Times New Roman"/>
          <w:i/>
          <w:iCs/>
          <w:sz w:val="24"/>
          <w:szCs w:val="24"/>
        </w:rPr>
        <w:t xml:space="preserve"> directly caused by the ball that was touching the virtual hand/object</w:t>
      </w:r>
      <w:r w:rsidRPr="00087DFF">
        <w:rPr>
          <w:rFonts w:ascii="Times New Roman" w:hAnsi="Times New Roman" w:cs="Times New Roman"/>
          <w:sz w:val="24"/>
          <w:szCs w:val="24"/>
        </w:rPr>
        <w:t>”), the ratings after Syn stimulation were significantly higher than after Asyn stimulation in all conditions: OH Congr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.02), OH Incongr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.18), FH Congr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.28), FH Incongr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.34), Obj Congr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.09), Obj Incongr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xml:space="preserve">= .16). In Syn Congr conditions, the ratings for the three types of virtual object were not different (.01 [N.S. after Bonferroni correction; alpha level: p = .006] &lt; p &lt; </w:t>
      </w:r>
      <w:r>
        <w:rPr>
          <w:rFonts w:ascii="Times New Roman" w:hAnsi="Times New Roman" w:cs="Times New Roman"/>
          <w:sz w:val="24"/>
          <w:szCs w:val="24"/>
        </w:rPr>
        <w:t>.73</w:t>
      </w:r>
      <w:r w:rsidRPr="00087DFF">
        <w:rPr>
          <w:rFonts w:ascii="Times New Roman" w:hAnsi="Times New Roman" w:cs="Times New Roman"/>
          <w:sz w:val="24"/>
          <w:szCs w:val="24"/>
        </w:rPr>
        <w:t>), and in Syn Incongr conditions, OH and FH did not differ between each other (p = .82) but had significantly higher ratings than Obj (OH vs Obj: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.69; FH vs Obj: p &lt; .0001,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rPr>
        <w:t xml:space="preserve">= .78). Within each type of virtual object, Congr condition did not differ significantly from Incongr condition (.02 [N.S. after Bonferroni correction; alpha level: p = .006] &lt; p &lt; </w:t>
      </w:r>
      <w:r>
        <w:rPr>
          <w:rFonts w:ascii="Times New Roman" w:hAnsi="Times New Roman" w:cs="Times New Roman"/>
          <w:sz w:val="24"/>
          <w:szCs w:val="24"/>
        </w:rPr>
        <w:t>.51</w:t>
      </w:r>
      <w:r w:rsidRPr="00087DFF">
        <w:rPr>
          <w:rFonts w:ascii="Times New Roman" w:hAnsi="Times New Roman" w:cs="Times New Roman"/>
          <w:sz w:val="24"/>
          <w:szCs w:val="24"/>
        </w:rPr>
        <w:t>). The ratings were positive in all Syn conditions (ranging from 17.35±36.85 for Obj Syn Incgr to 43.44±33.13 for OH Syn Congr) and negative in all Asyn conditions (from -44.85±20.30 for FH Asyn Congr to -38.40±24.70 for OH Asyn Congr).</w:t>
      </w:r>
    </w:p>
    <w:p w14:paraId="187EC2C5" w14:textId="77777777" w:rsidR="000C21BB" w:rsidRPr="00087DFF" w:rsidRDefault="000C21BB" w:rsidP="000C21BB">
      <w:pPr>
        <w:spacing w:line="480" w:lineRule="auto"/>
        <w:contextualSpacing/>
        <w:jc w:val="both"/>
        <w:rPr>
          <w:rFonts w:ascii="Times New Roman" w:hAnsi="Times New Roman" w:cs="Times New Roman"/>
          <w:sz w:val="24"/>
          <w:szCs w:val="24"/>
        </w:rPr>
      </w:pPr>
    </w:p>
    <w:p w14:paraId="5202B092" w14:textId="77777777" w:rsidR="000C21BB" w:rsidRPr="00087DFF" w:rsidRDefault="000C21BB" w:rsidP="000C21BB">
      <w:pPr>
        <w:spacing w:line="480" w:lineRule="auto"/>
        <w:contextualSpacing/>
        <w:jc w:val="both"/>
      </w:pPr>
      <w:r w:rsidRPr="00087DFF">
        <w:rPr>
          <w:rFonts w:ascii="Times New Roman" w:hAnsi="Times New Roman" w:cs="Times New Roman"/>
          <w:i/>
          <w:iCs/>
          <w:sz w:val="24"/>
          <w:szCs w:val="24"/>
        </w:rPr>
        <w:t>3.2. P</w:t>
      </w:r>
      <w:r w:rsidRPr="00087DFF">
        <w:rPr>
          <w:rFonts w:ascii="Times New Roman" w:hAnsi="Times New Roman" w:cs="Times New Roman"/>
          <w:i/>
          <w:sz w:val="24"/>
          <w:szCs w:val="24"/>
        </w:rPr>
        <w:t>roprioceptive drift</w:t>
      </w:r>
    </w:p>
    <w:p w14:paraId="4C3CA2EF" w14:textId="202E236F" w:rsidR="000C21BB" w:rsidRPr="00087DFF" w:rsidRDefault="000C21BB" w:rsidP="003A7E68">
      <w:pPr>
        <w:spacing w:line="480" w:lineRule="auto"/>
        <w:contextualSpacing/>
        <w:jc w:val="both"/>
      </w:pPr>
      <w:r w:rsidRPr="00087DFF">
        <w:rPr>
          <w:rFonts w:ascii="Times New Roman" w:hAnsi="Times New Roman" w:cs="Times New Roman"/>
          <w:sz w:val="24"/>
          <w:szCs w:val="24"/>
        </w:rPr>
        <w:t xml:space="preserve">According to the Wilcoxon signed rank test, proprioceptive drift was not significantly different between Syn and Asyn stimulation in any of the conditions (.41 &lt; p &lt; .95); see Figure 4 and </w:t>
      </w:r>
      <w:r w:rsidR="001158B9">
        <w:rPr>
          <w:rFonts w:ascii="Times New Roman" w:hAnsi="Times New Roman" w:cs="Times New Roman"/>
          <w:sz w:val="24"/>
          <w:szCs w:val="24"/>
        </w:rPr>
        <w:t>Supplementary table 1</w:t>
      </w:r>
      <w:r w:rsidRPr="00087DFF">
        <w:rPr>
          <w:rFonts w:ascii="Times New Roman" w:hAnsi="Times New Roman" w:cs="Times New Roman"/>
          <w:sz w:val="24"/>
          <w:szCs w:val="24"/>
        </w:rPr>
        <w:t>. Furthermore, in the conditions with Congr location, the drift did not differ significantly between OH, FH and Obj neither in Syn (.12 &lt; p &lt; .67), nor in Asyn (.15 &lt; p &lt; .80) stimulation. As for the Incongr location, in Syn stimulation, the drift was significantly higher for OH (p = .001,</w:t>
      </w:r>
      <w:r w:rsidRPr="00087DFF">
        <w:rPr>
          <w:rFonts w:ascii="Times New Roman" w:hAnsi="Times New Roman" w:cs="Times New Roman"/>
          <w:i/>
          <w:sz w:val="24"/>
          <w:szCs w:val="24"/>
        </w:rPr>
        <w:t xml:space="preserve"> r </w:t>
      </w:r>
      <w:r w:rsidRPr="00087DFF">
        <w:rPr>
          <w:rFonts w:ascii="Times New Roman" w:hAnsi="Times New Roman" w:cs="Times New Roman"/>
          <w:sz w:val="24"/>
          <w:szCs w:val="24"/>
          <w:highlight w:val="white"/>
        </w:rPr>
        <w:t>= .20) co</w:t>
      </w:r>
      <w:r w:rsidRPr="00087DFF">
        <w:rPr>
          <w:rFonts w:ascii="Times New Roman" w:hAnsi="Times New Roman" w:cs="Times New Roman"/>
          <w:sz w:val="24"/>
          <w:szCs w:val="24"/>
        </w:rPr>
        <w:t>mpared to Obj (.92±2.57). In turn, OH and FH were not significantly different (p = .23), as well as FH and Obj (p = .027, N.S. after Bonferroni correction, alpha level: p = .017]. In Incongr Asyn conditions, there were no significant differences between OH, FH and Obj (.02 [N.S. after Bonferroni correction, alpha level: p = .017] &lt; p &lt; .22]. To summarize, proprioceptive drift did not differ significantly between Syn and Asyn stimulation in any of the conditions; it was significantly higher for OH than for Obj in Incongr Syn condition, while no significant differences were present for Congr conditions.</w:t>
      </w:r>
    </w:p>
    <w:p w14:paraId="4D43991E" w14:textId="77777777" w:rsidR="000C21BB" w:rsidRPr="00087DFF" w:rsidRDefault="000C21BB" w:rsidP="000C21BB">
      <w:pPr>
        <w:spacing w:line="480" w:lineRule="auto"/>
        <w:ind w:firstLine="567"/>
        <w:contextualSpacing/>
        <w:jc w:val="both"/>
        <w:rPr>
          <w:rFonts w:ascii="Times New Roman" w:hAnsi="Times New Roman" w:cs="Times New Roman"/>
          <w:sz w:val="24"/>
          <w:szCs w:val="24"/>
        </w:rPr>
      </w:pPr>
      <w:r w:rsidRPr="00087DFF">
        <w:rPr>
          <w:rFonts w:ascii="Times New Roman" w:hAnsi="Times New Roman" w:cs="Times New Roman"/>
          <w:sz w:val="24"/>
          <w:szCs w:val="24"/>
        </w:rPr>
        <w:t>It is also necessary to note that in all Congr conditions, the proprioceptive drift was negative (ranging from -1.97±4.13 cm for Obj Asyn Congr to -1.50±2.61 cm for FH Syn Congr), i.e., the perceived position of participant’s own hand shifted away from the body midline. On the contrary, in all Incongr conditions, it was positive (from .92±4.38 cm for Obj Syn Incongr to 3.18±6.77 cm for OH Syn Incongr), which suggests the perceived shift of participant’s hand towards the incongruently located virtual object and the body midline.</w:t>
      </w:r>
    </w:p>
    <w:p w14:paraId="3555FC20" w14:textId="77777777" w:rsidR="000C21BB" w:rsidRPr="00087DFF" w:rsidRDefault="000C21BB" w:rsidP="000C21BB">
      <w:pPr>
        <w:spacing w:line="480" w:lineRule="auto"/>
        <w:contextualSpacing/>
        <w:jc w:val="both"/>
        <w:rPr>
          <w:rFonts w:ascii="Times New Roman" w:hAnsi="Times New Roman" w:cs="Times New Roman"/>
          <w:sz w:val="24"/>
          <w:szCs w:val="24"/>
        </w:rPr>
      </w:pPr>
    </w:p>
    <w:p w14:paraId="3EB62480" w14:textId="77777777" w:rsidR="000C21BB" w:rsidRPr="00087DFF" w:rsidRDefault="000C21BB" w:rsidP="000C21BB">
      <w:pPr>
        <w:spacing w:line="480" w:lineRule="auto"/>
        <w:contextualSpacing/>
        <w:jc w:val="both"/>
      </w:pPr>
      <w:r w:rsidRPr="00087DFF">
        <w:rPr>
          <w:rFonts w:ascii="Times New Roman" w:hAnsi="Times New Roman" w:cs="Times New Roman"/>
          <w:i/>
          <w:sz w:val="24"/>
          <w:szCs w:val="24"/>
        </w:rPr>
        <w:t>3.3. Subjective reports on disownership</w:t>
      </w:r>
    </w:p>
    <w:p w14:paraId="67C66FAB" w14:textId="77777777" w:rsidR="00E90D82" w:rsidRDefault="004F2C43" w:rsidP="000C21B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For disownership questions (</w:t>
      </w:r>
      <w:r w:rsidRPr="00087DFF">
        <w:rPr>
          <w:rFonts w:ascii="Times New Roman" w:hAnsi="Times New Roman" w:cs="Times New Roman"/>
          <w:sz w:val="24"/>
          <w:szCs w:val="24"/>
        </w:rPr>
        <w:t>averaged Q7-Q9</w:t>
      </w:r>
      <w:r>
        <w:rPr>
          <w:rFonts w:ascii="Times New Roman" w:hAnsi="Times New Roman" w:cs="Times New Roman"/>
          <w:sz w:val="24"/>
          <w:szCs w:val="24"/>
        </w:rPr>
        <w:t xml:space="preserve">), </w:t>
      </w:r>
      <w:r w:rsidR="003A7E68">
        <w:rPr>
          <w:rFonts w:ascii="Times New Roman" w:hAnsi="Times New Roman" w:cs="Times New Roman"/>
          <w:sz w:val="24"/>
          <w:szCs w:val="24"/>
        </w:rPr>
        <w:t xml:space="preserve">Wilcoxon signed rank test showed </w:t>
      </w:r>
      <w:r w:rsidR="006628C2">
        <w:rPr>
          <w:rFonts w:ascii="Times New Roman" w:hAnsi="Times New Roman" w:cs="Times New Roman"/>
          <w:sz w:val="24"/>
          <w:szCs w:val="24"/>
        </w:rPr>
        <w:t xml:space="preserve">no significant differences between Syn and Asyn stimulation either for OH (Congr: p = .32; Incongr: p = .34), or for FH (Congr: p = .07; Incongr: p = .79). However, for the Obj, the </w:t>
      </w:r>
      <w:r w:rsidR="006628C2">
        <w:rPr>
          <w:rFonts w:ascii="Times New Roman" w:hAnsi="Times New Roman" w:cs="Times New Roman"/>
          <w:sz w:val="24"/>
          <w:szCs w:val="24"/>
        </w:rPr>
        <w:lastRenderedPageBreak/>
        <w:t>disownership ratings were significantly higher after Syn stimulation compared to Asyn in both locations (Congr: p = .00</w:t>
      </w:r>
      <w:r w:rsidR="00A735CC">
        <w:rPr>
          <w:rFonts w:ascii="Times New Roman" w:hAnsi="Times New Roman" w:cs="Times New Roman"/>
          <w:sz w:val="24"/>
          <w:szCs w:val="24"/>
        </w:rPr>
        <w:t>6</w:t>
      </w:r>
      <w:r w:rsidR="006628C2" w:rsidRPr="00087DFF">
        <w:rPr>
          <w:rFonts w:ascii="Times New Roman" w:hAnsi="Times New Roman" w:cs="Times New Roman"/>
          <w:sz w:val="24"/>
          <w:szCs w:val="24"/>
        </w:rPr>
        <w:t>,</w:t>
      </w:r>
      <w:r w:rsidR="006628C2" w:rsidRPr="00087DFF">
        <w:rPr>
          <w:rFonts w:ascii="Times New Roman" w:hAnsi="Times New Roman" w:cs="Times New Roman"/>
          <w:i/>
          <w:sz w:val="24"/>
          <w:szCs w:val="24"/>
        </w:rPr>
        <w:t xml:space="preserve"> r </w:t>
      </w:r>
      <w:r w:rsidR="006628C2" w:rsidRPr="00087DFF">
        <w:rPr>
          <w:rFonts w:ascii="Times New Roman" w:hAnsi="Times New Roman" w:cs="Times New Roman"/>
          <w:sz w:val="24"/>
          <w:szCs w:val="24"/>
          <w:highlight w:val="white"/>
        </w:rPr>
        <w:t>=</w:t>
      </w:r>
      <w:r w:rsidR="00553615">
        <w:rPr>
          <w:rFonts w:ascii="Times New Roman" w:hAnsi="Times New Roman" w:cs="Times New Roman"/>
          <w:sz w:val="24"/>
          <w:szCs w:val="24"/>
        </w:rPr>
        <w:t xml:space="preserve"> .18</w:t>
      </w:r>
      <w:r w:rsidR="006628C2">
        <w:rPr>
          <w:rFonts w:ascii="Times New Roman" w:hAnsi="Times New Roman" w:cs="Times New Roman"/>
          <w:sz w:val="24"/>
          <w:szCs w:val="24"/>
        </w:rPr>
        <w:t>; Incongr: p = .004</w:t>
      </w:r>
      <w:r w:rsidR="006628C2" w:rsidRPr="00087DFF">
        <w:rPr>
          <w:rFonts w:ascii="Times New Roman" w:hAnsi="Times New Roman" w:cs="Times New Roman"/>
          <w:sz w:val="24"/>
          <w:szCs w:val="24"/>
        </w:rPr>
        <w:t>,</w:t>
      </w:r>
      <w:r w:rsidR="006628C2" w:rsidRPr="00087DFF">
        <w:rPr>
          <w:rFonts w:ascii="Times New Roman" w:hAnsi="Times New Roman" w:cs="Times New Roman"/>
          <w:i/>
          <w:sz w:val="24"/>
          <w:szCs w:val="24"/>
        </w:rPr>
        <w:t xml:space="preserve"> r </w:t>
      </w:r>
      <w:r w:rsidR="006628C2" w:rsidRPr="00087DFF">
        <w:rPr>
          <w:rFonts w:ascii="Times New Roman" w:hAnsi="Times New Roman" w:cs="Times New Roman"/>
          <w:sz w:val="24"/>
          <w:szCs w:val="24"/>
          <w:highlight w:val="white"/>
        </w:rPr>
        <w:t>=</w:t>
      </w:r>
      <w:r w:rsidR="00553615">
        <w:rPr>
          <w:rFonts w:ascii="Times New Roman" w:hAnsi="Times New Roman" w:cs="Times New Roman"/>
          <w:sz w:val="24"/>
          <w:szCs w:val="24"/>
        </w:rPr>
        <w:t xml:space="preserve"> .20</w:t>
      </w:r>
      <w:r w:rsidR="006628C2">
        <w:rPr>
          <w:rFonts w:ascii="Times New Roman" w:hAnsi="Times New Roman" w:cs="Times New Roman"/>
          <w:sz w:val="24"/>
          <w:szCs w:val="24"/>
        </w:rPr>
        <w:t>).</w:t>
      </w:r>
      <w:r w:rsidR="001A3592">
        <w:rPr>
          <w:rFonts w:ascii="Times New Roman" w:hAnsi="Times New Roman" w:cs="Times New Roman"/>
          <w:sz w:val="24"/>
          <w:szCs w:val="24"/>
        </w:rPr>
        <w:t xml:space="preserve"> In Syn Congr conditions, the ratings for OH did not differ significantly either from FH (p = .70), or from Obj (p = .02 </w:t>
      </w:r>
      <w:r w:rsidR="001A3592" w:rsidRPr="00087DFF">
        <w:rPr>
          <w:rFonts w:ascii="Times New Roman" w:hAnsi="Times New Roman" w:cs="Times New Roman"/>
          <w:sz w:val="24"/>
          <w:szCs w:val="24"/>
        </w:rPr>
        <w:t xml:space="preserve">[N.S. after Bonferroni correction; </w:t>
      </w:r>
      <w:r w:rsidR="001A3592" w:rsidRPr="002B53C0">
        <w:rPr>
          <w:rFonts w:ascii="Times New Roman" w:hAnsi="Times New Roman" w:cs="Times New Roman"/>
          <w:sz w:val="24"/>
          <w:szCs w:val="24"/>
        </w:rPr>
        <w:t xml:space="preserve">alpha level: p = .006]); however, </w:t>
      </w:r>
      <w:r w:rsidR="00BB04BA" w:rsidRPr="002B53C0">
        <w:rPr>
          <w:rFonts w:ascii="Times New Roman" w:hAnsi="Times New Roman" w:cs="Times New Roman"/>
          <w:sz w:val="24"/>
          <w:szCs w:val="24"/>
        </w:rPr>
        <w:t>they were significantly higher for FH compared to Obj (</w:t>
      </w:r>
      <w:r w:rsidR="00A735CC" w:rsidRPr="002B53C0">
        <w:rPr>
          <w:rFonts w:ascii="Times New Roman" w:hAnsi="Times New Roman" w:cs="Times New Roman"/>
          <w:sz w:val="24"/>
          <w:szCs w:val="24"/>
        </w:rPr>
        <w:t>p = .005</w:t>
      </w:r>
      <w:r w:rsidR="00BB04BA" w:rsidRPr="002B53C0">
        <w:rPr>
          <w:rFonts w:ascii="Times New Roman" w:hAnsi="Times New Roman" w:cs="Times New Roman"/>
          <w:sz w:val="24"/>
          <w:szCs w:val="24"/>
        </w:rPr>
        <w:t>,</w:t>
      </w:r>
      <w:r w:rsidR="00BB04BA" w:rsidRPr="002B53C0">
        <w:rPr>
          <w:rFonts w:ascii="Times New Roman" w:hAnsi="Times New Roman" w:cs="Times New Roman"/>
          <w:i/>
          <w:sz w:val="24"/>
          <w:szCs w:val="24"/>
        </w:rPr>
        <w:t xml:space="preserve"> r </w:t>
      </w:r>
      <w:r w:rsidR="00BB04BA" w:rsidRPr="002B53C0">
        <w:rPr>
          <w:rFonts w:ascii="Times New Roman" w:hAnsi="Times New Roman" w:cs="Times New Roman"/>
          <w:sz w:val="24"/>
          <w:szCs w:val="24"/>
        </w:rPr>
        <w:t>=</w:t>
      </w:r>
      <w:r w:rsidR="00A735CC" w:rsidRPr="002B53C0">
        <w:rPr>
          <w:rFonts w:ascii="Times New Roman" w:hAnsi="Times New Roman" w:cs="Times New Roman"/>
          <w:sz w:val="24"/>
          <w:szCs w:val="24"/>
        </w:rPr>
        <w:t xml:space="preserve"> </w:t>
      </w:r>
      <w:r w:rsidR="002B53C0" w:rsidRPr="002B53C0">
        <w:rPr>
          <w:rFonts w:ascii="Times New Roman" w:hAnsi="Times New Roman" w:cs="Times New Roman"/>
          <w:sz w:val="24"/>
          <w:szCs w:val="24"/>
        </w:rPr>
        <w:t>.23</w:t>
      </w:r>
      <w:r w:rsidR="00BB04BA" w:rsidRPr="002B53C0">
        <w:rPr>
          <w:rFonts w:ascii="Times New Roman" w:hAnsi="Times New Roman" w:cs="Times New Roman"/>
          <w:sz w:val="24"/>
          <w:szCs w:val="24"/>
        </w:rPr>
        <w:t>)</w:t>
      </w:r>
      <w:r w:rsidR="00A735CC" w:rsidRPr="002B53C0">
        <w:rPr>
          <w:rFonts w:ascii="Times New Roman" w:hAnsi="Times New Roman" w:cs="Times New Roman"/>
          <w:sz w:val="24"/>
          <w:szCs w:val="24"/>
        </w:rPr>
        <w:t xml:space="preserve">. In Syn Incongr conditions, </w:t>
      </w:r>
      <w:r w:rsidR="001764B6" w:rsidRPr="002B53C0">
        <w:rPr>
          <w:rFonts w:ascii="Times New Roman" w:hAnsi="Times New Roman" w:cs="Times New Roman"/>
          <w:sz w:val="24"/>
          <w:szCs w:val="24"/>
        </w:rPr>
        <w:t xml:space="preserve">the ratings were comparable between OH and FH (p = .11) but were significantly higher in both those conditions compared to Obj (OH: (p </w:t>
      </w:r>
      <w:r w:rsidR="00152772" w:rsidRPr="002B53C0">
        <w:rPr>
          <w:rFonts w:ascii="Times New Roman" w:hAnsi="Times New Roman" w:cs="Times New Roman"/>
          <w:sz w:val="24"/>
          <w:szCs w:val="24"/>
        </w:rPr>
        <w:t>&lt; .001</w:t>
      </w:r>
      <w:r w:rsidR="001764B6" w:rsidRPr="002B53C0">
        <w:rPr>
          <w:rFonts w:ascii="Times New Roman" w:hAnsi="Times New Roman" w:cs="Times New Roman"/>
          <w:sz w:val="24"/>
          <w:szCs w:val="24"/>
        </w:rPr>
        <w:t>,</w:t>
      </w:r>
      <w:r w:rsidR="001764B6" w:rsidRPr="002B53C0">
        <w:rPr>
          <w:rFonts w:ascii="Times New Roman" w:hAnsi="Times New Roman" w:cs="Times New Roman"/>
          <w:i/>
          <w:sz w:val="24"/>
          <w:szCs w:val="24"/>
        </w:rPr>
        <w:t xml:space="preserve"> r </w:t>
      </w:r>
      <w:r w:rsidR="001764B6" w:rsidRPr="002B53C0">
        <w:rPr>
          <w:rFonts w:ascii="Times New Roman" w:hAnsi="Times New Roman" w:cs="Times New Roman"/>
          <w:sz w:val="24"/>
          <w:szCs w:val="24"/>
        </w:rPr>
        <w:t>=</w:t>
      </w:r>
      <w:r w:rsidR="002B53C0" w:rsidRPr="002B53C0">
        <w:rPr>
          <w:rFonts w:ascii="Times New Roman" w:hAnsi="Times New Roman" w:cs="Times New Roman"/>
          <w:sz w:val="24"/>
          <w:szCs w:val="24"/>
        </w:rPr>
        <w:t xml:space="preserve"> .39</w:t>
      </w:r>
      <w:r w:rsidR="001764B6" w:rsidRPr="002B53C0">
        <w:rPr>
          <w:rFonts w:ascii="Times New Roman" w:hAnsi="Times New Roman" w:cs="Times New Roman"/>
          <w:sz w:val="24"/>
          <w:szCs w:val="24"/>
        </w:rPr>
        <w:t xml:space="preserve">; FH: (p </w:t>
      </w:r>
      <w:r w:rsidR="00152772" w:rsidRPr="002B53C0">
        <w:rPr>
          <w:rFonts w:ascii="Times New Roman" w:hAnsi="Times New Roman" w:cs="Times New Roman"/>
          <w:sz w:val="24"/>
          <w:szCs w:val="24"/>
        </w:rPr>
        <w:t>&lt; .001</w:t>
      </w:r>
      <w:r w:rsidR="001764B6" w:rsidRPr="002B53C0">
        <w:rPr>
          <w:rFonts w:ascii="Times New Roman" w:hAnsi="Times New Roman" w:cs="Times New Roman"/>
          <w:sz w:val="24"/>
          <w:szCs w:val="24"/>
        </w:rPr>
        <w:t>,</w:t>
      </w:r>
      <w:r w:rsidR="001764B6" w:rsidRPr="002B53C0">
        <w:rPr>
          <w:rFonts w:ascii="Times New Roman" w:hAnsi="Times New Roman" w:cs="Times New Roman"/>
          <w:i/>
          <w:sz w:val="24"/>
          <w:szCs w:val="24"/>
        </w:rPr>
        <w:t xml:space="preserve"> r </w:t>
      </w:r>
      <w:r w:rsidR="001764B6" w:rsidRPr="002B53C0">
        <w:rPr>
          <w:rFonts w:ascii="Times New Roman" w:hAnsi="Times New Roman" w:cs="Times New Roman"/>
          <w:sz w:val="24"/>
          <w:szCs w:val="24"/>
        </w:rPr>
        <w:t xml:space="preserve">= </w:t>
      </w:r>
      <w:r w:rsidR="002B53C0" w:rsidRPr="002B53C0">
        <w:rPr>
          <w:rFonts w:ascii="Times New Roman" w:hAnsi="Times New Roman" w:cs="Times New Roman"/>
          <w:sz w:val="24"/>
          <w:szCs w:val="24"/>
        </w:rPr>
        <w:t>.37</w:t>
      </w:r>
      <w:r w:rsidR="001764B6" w:rsidRPr="002B53C0">
        <w:rPr>
          <w:rFonts w:ascii="Times New Roman" w:hAnsi="Times New Roman" w:cs="Times New Roman"/>
          <w:sz w:val="24"/>
          <w:szCs w:val="24"/>
        </w:rPr>
        <w:t>).</w:t>
      </w:r>
      <w:r w:rsidR="0016315B" w:rsidRPr="002B53C0">
        <w:rPr>
          <w:rFonts w:ascii="Times New Roman" w:hAnsi="Times New Roman" w:cs="Times New Roman"/>
          <w:sz w:val="24"/>
          <w:szCs w:val="24"/>
        </w:rPr>
        <w:t xml:space="preserve"> Finally, </w:t>
      </w:r>
      <w:r w:rsidR="00E41F91" w:rsidRPr="002B53C0">
        <w:rPr>
          <w:rFonts w:ascii="Times New Roman" w:hAnsi="Times New Roman" w:cs="Times New Roman"/>
          <w:sz w:val="24"/>
          <w:szCs w:val="24"/>
        </w:rPr>
        <w:t>no significant differences were observed between Co</w:t>
      </w:r>
      <w:r w:rsidR="00E41F91">
        <w:rPr>
          <w:rFonts w:ascii="Times New Roman" w:hAnsi="Times New Roman" w:cs="Times New Roman"/>
          <w:sz w:val="24"/>
          <w:szCs w:val="24"/>
        </w:rPr>
        <w:t>ngr and Incongr location for any type of virtual object (.12 &lt; p &lt; .77).</w:t>
      </w:r>
    </w:p>
    <w:p w14:paraId="3A998B66" w14:textId="46F1FB3E" w:rsidR="003A7E68" w:rsidRDefault="00E90D82" w:rsidP="00E90D82">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Importantly, t</w:t>
      </w:r>
      <w:r w:rsidR="000C21BB" w:rsidRPr="00087DFF">
        <w:rPr>
          <w:rFonts w:ascii="Times New Roman" w:hAnsi="Times New Roman" w:cs="Times New Roman"/>
          <w:sz w:val="24"/>
          <w:szCs w:val="24"/>
        </w:rPr>
        <w:t xml:space="preserve">he ratings were negative in all conditions (ranging from -35.73±30.42 for Obj Incongr Asyn to -6.04±22.66 for OH Congr Asyn); see Figure </w:t>
      </w:r>
      <w:r w:rsidR="00170E24">
        <w:rPr>
          <w:rFonts w:ascii="Times New Roman" w:hAnsi="Times New Roman" w:cs="Times New Roman"/>
          <w:sz w:val="24"/>
          <w:szCs w:val="24"/>
        </w:rPr>
        <w:t>5</w:t>
      </w:r>
      <w:r w:rsidR="000C21BB" w:rsidRPr="00087DFF">
        <w:rPr>
          <w:rFonts w:ascii="Times New Roman" w:hAnsi="Times New Roman" w:cs="Times New Roman"/>
          <w:sz w:val="24"/>
          <w:szCs w:val="24"/>
        </w:rPr>
        <w:t xml:space="preserve"> and </w:t>
      </w:r>
      <w:r w:rsidR="001158B9">
        <w:rPr>
          <w:rFonts w:ascii="Times New Roman" w:hAnsi="Times New Roman" w:cs="Times New Roman"/>
          <w:sz w:val="24"/>
          <w:szCs w:val="24"/>
        </w:rPr>
        <w:t>Supplementary table 1</w:t>
      </w:r>
      <w:r w:rsidR="000C21BB" w:rsidRPr="00087DFF">
        <w:rPr>
          <w:rFonts w:ascii="Times New Roman" w:hAnsi="Times New Roman" w:cs="Times New Roman"/>
          <w:sz w:val="24"/>
          <w:szCs w:val="24"/>
        </w:rPr>
        <w:t xml:space="preserve">. </w:t>
      </w:r>
      <w:r>
        <w:rPr>
          <w:rFonts w:ascii="Times New Roman" w:hAnsi="Times New Roman" w:cs="Times New Roman"/>
          <w:sz w:val="24"/>
          <w:szCs w:val="24"/>
        </w:rPr>
        <w:t xml:space="preserve">However, </w:t>
      </w:r>
      <w:r w:rsidR="000F228A">
        <w:rPr>
          <w:rFonts w:ascii="Times New Roman" w:hAnsi="Times New Roman" w:cs="Times New Roman"/>
          <w:sz w:val="24"/>
          <w:szCs w:val="24"/>
        </w:rPr>
        <w:t xml:space="preserve">they were </w:t>
      </w:r>
      <w:r w:rsidR="001043D0">
        <w:rPr>
          <w:rFonts w:ascii="Times New Roman" w:hAnsi="Times New Roman" w:cs="Times New Roman"/>
          <w:sz w:val="24"/>
          <w:szCs w:val="24"/>
        </w:rPr>
        <w:t>relatively higher for OH and FH conditions, especially in Incongr location, regardless of the stimulation type.</w:t>
      </w:r>
    </w:p>
    <w:p w14:paraId="4A99AF39" w14:textId="77777777" w:rsidR="000C21BB" w:rsidRPr="00087DFF" w:rsidRDefault="000C21BB" w:rsidP="000C21BB">
      <w:pPr>
        <w:spacing w:line="480" w:lineRule="auto"/>
        <w:contextualSpacing/>
        <w:jc w:val="both"/>
        <w:rPr>
          <w:rFonts w:ascii="Times New Roman" w:hAnsi="Times New Roman" w:cs="Times New Roman"/>
          <w:i/>
          <w:sz w:val="24"/>
          <w:szCs w:val="24"/>
        </w:rPr>
      </w:pPr>
    </w:p>
    <w:p w14:paraId="04E3F7DA" w14:textId="77777777" w:rsidR="000C21BB" w:rsidRPr="00087DFF" w:rsidRDefault="000C21BB" w:rsidP="000C21BB">
      <w:pPr>
        <w:spacing w:line="480" w:lineRule="auto"/>
        <w:contextualSpacing/>
        <w:jc w:val="both"/>
      </w:pPr>
      <w:r w:rsidRPr="00087DFF">
        <w:rPr>
          <w:rFonts w:ascii="Times New Roman" w:hAnsi="Times New Roman" w:cs="Times New Roman"/>
          <w:i/>
          <w:sz w:val="24"/>
          <w:szCs w:val="24"/>
        </w:rPr>
        <w:t>3.4. Correlations</w:t>
      </w:r>
    </w:p>
    <w:p w14:paraId="38A80704" w14:textId="77777777" w:rsidR="000C21BB" w:rsidRPr="00087DFF" w:rsidRDefault="000C21BB" w:rsidP="000C21BB">
      <w:pPr>
        <w:spacing w:line="480" w:lineRule="auto"/>
        <w:contextualSpacing/>
        <w:jc w:val="both"/>
      </w:pPr>
      <w:r w:rsidRPr="00087DFF">
        <w:rPr>
          <w:rFonts w:ascii="Times New Roman" w:hAnsi="Times New Roman" w:cs="Times New Roman"/>
          <w:sz w:val="24"/>
          <w:szCs w:val="24"/>
        </w:rPr>
        <w:t xml:space="preserve">We calculated Spearman rank order correlations between the subjective ratings of virtual OH similarity to participant’s own real hand and the proprioceptive drift and ownership ratings, represented both by the averaged ownership ratings (Q1-Q3) and by the three statements separately. The only significant positive correlation was observed between the subjective OH similarity and the ratings in ownership Q2 in OH Congr Asyn condition (ρ = .45, p = .002). No significant correlations were present in other conditions either for the questionnaire, or for the drift (.007 [N.S. after Bonferroni correction; alpha level: p = .004] &lt; p &lt; </w:t>
      </w:r>
      <w:r>
        <w:rPr>
          <w:rFonts w:ascii="Times New Roman" w:hAnsi="Times New Roman" w:cs="Times New Roman"/>
          <w:sz w:val="24"/>
          <w:szCs w:val="24"/>
        </w:rPr>
        <w:t>.97</w:t>
      </w:r>
      <w:r w:rsidRPr="00087DFF">
        <w:rPr>
          <w:rFonts w:ascii="Times New Roman" w:hAnsi="Times New Roman" w:cs="Times New Roman"/>
          <w:sz w:val="24"/>
          <w:szCs w:val="24"/>
        </w:rPr>
        <w:t>). Therefore, stronger embodiment of the virtual OH after Asyn stimulation was observed in the participants that were more ready to recognize their own hand in its 3D scan prior to the experimental task.</w:t>
      </w:r>
    </w:p>
    <w:p w14:paraId="2121ED5C" w14:textId="77777777" w:rsidR="000C21BB" w:rsidRPr="00087DFF" w:rsidRDefault="000C21BB" w:rsidP="000C21BB">
      <w:pPr>
        <w:rPr>
          <w:rFonts w:ascii="Times New Roman" w:hAnsi="Times New Roman" w:cs="Times New Roman"/>
          <w:sz w:val="20"/>
          <w:szCs w:val="20"/>
        </w:rPr>
      </w:pPr>
    </w:p>
    <w:p w14:paraId="053B6265" w14:textId="77777777" w:rsidR="00170E24" w:rsidRDefault="00170E24" w:rsidP="000C21BB">
      <w:pPr>
        <w:spacing w:line="480" w:lineRule="auto"/>
        <w:contextualSpacing/>
        <w:rPr>
          <w:rFonts w:ascii="Times New Roman" w:hAnsi="Times New Roman" w:cs="Times New Roman"/>
          <w:b/>
          <w:sz w:val="24"/>
          <w:szCs w:val="24"/>
        </w:rPr>
      </w:pPr>
    </w:p>
    <w:p w14:paraId="2D9BB226" w14:textId="668486FC" w:rsidR="000C21BB" w:rsidRPr="00087DFF" w:rsidRDefault="001158B9" w:rsidP="000C21BB">
      <w:pPr>
        <w:spacing w:line="480" w:lineRule="auto"/>
        <w:contextualSpacing/>
        <w:rPr>
          <w:rFonts w:ascii="Times New Roman" w:hAnsi="Times New Roman" w:cs="Times New Roman"/>
          <w:sz w:val="24"/>
          <w:szCs w:val="24"/>
        </w:rPr>
      </w:pPr>
      <w:r>
        <w:rPr>
          <w:rFonts w:ascii="Times New Roman" w:hAnsi="Times New Roman" w:cs="Times New Roman"/>
          <w:b/>
          <w:sz w:val="24"/>
          <w:szCs w:val="24"/>
        </w:rPr>
        <w:lastRenderedPageBreak/>
        <w:t>Supplementary table 1</w:t>
      </w:r>
      <w:r w:rsidR="000C21BB" w:rsidRPr="00087DFF">
        <w:rPr>
          <w:rFonts w:ascii="Times New Roman" w:hAnsi="Times New Roman" w:cs="Times New Roman"/>
          <w:b/>
          <w:sz w:val="24"/>
          <w:szCs w:val="24"/>
        </w:rPr>
        <w:t>.</w:t>
      </w:r>
      <w:r w:rsidR="000C21BB" w:rsidRPr="00087DFF">
        <w:rPr>
          <w:rFonts w:ascii="Times New Roman" w:hAnsi="Times New Roman" w:cs="Times New Roman"/>
          <w:sz w:val="24"/>
          <w:szCs w:val="24"/>
        </w:rPr>
        <w:t xml:space="preserve"> Medians and IQRs of proprioceptive drift (cm), ownership and disownership ratings (-50/+50)</w:t>
      </w:r>
    </w:p>
    <w:tbl>
      <w:tblPr>
        <w:tblpPr w:leftFromText="187" w:rightFromText="187" w:vertAnchor="text" w:horzAnchor="margin" w:tblpX="-910" w:tblpY="1"/>
        <w:tblOverlap w:val="never"/>
        <w:tblW w:w="6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1187"/>
        <w:gridCol w:w="393"/>
        <w:gridCol w:w="1580"/>
        <w:gridCol w:w="795"/>
        <w:gridCol w:w="788"/>
        <w:gridCol w:w="1580"/>
        <w:gridCol w:w="400"/>
        <w:gridCol w:w="1181"/>
        <w:gridCol w:w="1587"/>
      </w:tblGrid>
      <w:tr w:rsidR="000C21BB" w:rsidRPr="00087DFF" w14:paraId="3CF3FD3E" w14:textId="77777777" w:rsidTr="007C2129">
        <w:trPr>
          <w:trHeight w:val="288"/>
        </w:trPr>
        <w:tc>
          <w:tcPr>
            <w:tcW w:w="5000" w:type="pct"/>
            <w:gridSpan w:val="10"/>
            <w:tcBorders>
              <w:top w:val="nil"/>
              <w:left w:val="nil"/>
              <w:bottom w:val="single" w:sz="4" w:space="0" w:color="auto"/>
              <w:right w:val="nil"/>
            </w:tcBorders>
            <w:shd w:val="clear" w:color="auto" w:fill="auto"/>
            <w:noWrap/>
            <w:vAlign w:val="bottom"/>
            <w:hideMark/>
          </w:tcPr>
          <w:p w14:paraId="490E1978" w14:textId="77777777" w:rsidR="000C21BB" w:rsidRPr="00087DFF" w:rsidRDefault="000C21BB" w:rsidP="007C2129">
            <w:pPr>
              <w:suppressAutoHyphens w:val="0"/>
              <w:spacing w:after="0" w:line="240" w:lineRule="auto"/>
              <w:jc w:val="center"/>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Congruent Location</w:t>
            </w:r>
          </w:p>
        </w:tc>
      </w:tr>
      <w:tr w:rsidR="007C2129" w:rsidRPr="00087DFF" w14:paraId="6E0DFB27" w14:textId="77777777" w:rsidTr="007C2129">
        <w:trPr>
          <w:trHeight w:val="288"/>
        </w:trPr>
        <w:tc>
          <w:tcPr>
            <w:tcW w:w="1280" w:type="pct"/>
            <w:gridSpan w:val="2"/>
            <w:tcBorders>
              <w:left w:val="nil"/>
              <w:bottom w:val="single" w:sz="4" w:space="0" w:color="auto"/>
              <w:right w:val="nil"/>
            </w:tcBorders>
            <w:shd w:val="clear" w:color="auto" w:fill="auto"/>
            <w:noWrap/>
            <w:vAlign w:val="bottom"/>
            <w:hideMark/>
          </w:tcPr>
          <w:p w14:paraId="7746F588" w14:textId="77777777" w:rsidR="000C21BB" w:rsidRPr="00087DFF" w:rsidRDefault="000C21BB" w:rsidP="007C2129">
            <w:pPr>
              <w:suppressAutoHyphens w:val="0"/>
              <w:spacing w:after="0" w:line="240" w:lineRule="auto"/>
              <w:jc w:val="center"/>
              <w:rPr>
                <w:rFonts w:ascii="Times New Roman" w:eastAsia="Times New Roman" w:hAnsi="Times New Roman" w:cs="Times New Roman"/>
                <w:color w:val="000000"/>
                <w:lang w:eastAsia="en-GB"/>
              </w:rPr>
            </w:pPr>
          </w:p>
        </w:tc>
        <w:tc>
          <w:tcPr>
            <w:tcW w:w="1240" w:type="pct"/>
            <w:gridSpan w:val="3"/>
            <w:tcBorders>
              <w:left w:val="nil"/>
              <w:bottom w:val="single" w:sz="4" w:space="0" w:color="auto"/>
              <w:right w:val="nil"/>
            </w:tcBorders>
            <w:shd w:val="clear" w:color="auto" w:fill="auto"/>
            <w:noWrap/>
            <w:vAlign w:val="bottom"/>
            <w:hideMark/>
          </w:tcPr>
          <w:p w14:paraId="78466394"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OH</w:t>
            </w:r>
          </w:p>
        </w:tc>
        <w:tc>
          <w:tcPr>
            <w:tcW w:w="1240" w:type="pct"/>
            <w:gridSpan w:val="3"/>
            <w:tcBorders>
              <w:left w:val="nil"/>
              <w:bottom w:val="single" w:sz="4" w:space="0" w:color="auto"/>
              <w:right w:val="nil"/>
            </w:tcBorders>
            <w:shd w:val="clear" w:color="auto" w:fill="auto"/>
            <w:noWrap/>
            <w:vAlign w:val="bottom"/>
            <w:hideMark/>
          </w:tcPr>
          <w:p w14:paraId="3F672AAA"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FH</w:t>
            </w:r>
          </w:p>
        </w:tc>
        <w:tc>
          <w:tcPr>
            <w:tcW w:w="1240" w:type="pct"/>
            <w:gridSpan w:val="2"/>
            <w:tcBorders>
              <w:left w:val="nil"/>
              <w:bottom w:val="single" w:sz="4" w:space="0" w:color="auto"/>
              <w:right w:val="nil"/>
            </w:tcBorders>
            <w:shd w:val="clear" w:color="auto" w:fill="auto"/>
            <w:noWrap/>
            <w:vAlign w:val="bottom"/>
            <w:hideMark/>
          </w:tcPr>
          <w:p w14:paraId="73DC8602"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 xml:space="preserve">           Obj</w:t>
            </w:r>
          </w:p>
        </w:tc>
      </w:tr>
      <w:tr w:rsidR="007C2129" w:rsidRPr="00087DFF" w14:paraId="59972F7F" w14:textId="77777777" w:rsidTr="007C2129">
        <w:trPr>
          <w:trHeight w:val="288"/>
        </w:trPr>
        <w:tc>
          <w:tcPr>
            <w:tcW w:w="748" w:type="pct"/>
            <w:tcBorders>
              <w:left w:val="nil"/>
              <w:bottom w:val="single" w:sz="4" w:space="0" w:color="auto"/>
              <w:right w:val="nil"/>
            </w:tcBorders>
            <w:shd w:val="clear" w:color="auto" w:fill="auto"/>
            <w:noWrap/>
            <w:vAlign w:val="bottom"/>
            <w:hideMark/>
          </w:tcPr>
          <w:p w14:paraId="2968EDE5" w14:textId="77777777" w:rsidR="000C21BB" w:rsidRPr="00087DFF" w:rsidRDefault="000C21BB" w:rsidP="007C2129">
            <w:pPr>
              <w:suppressAutoHyphens w:val="0"/>
              <w:spacing w:after="0" w:line="240" w:lineRule="auto"/>
              <w:jc w:val="center"/>
              <w:rPr>
                <w:rFonts w:ascii="Times New Roman" w:eastAsia="Times New Roman" w:hAnsi="Times New Roman" w:cs="Times New Roman"/>
                <w:color w:val="000000"/>
                <w:lang w:eastAsia="en-GB"/>
              </w:rPr>
            </w:pPr>
          </w:p>
        </w:tc>
        <w:tc>
          <w:tcPr>
            <w:tcW w:w="708" w:type="pct"/>
            <w:gridSpan w:val="2"/>
            <w:tcBorders>
              <w:left w:val="nil"/>
              <w:bottom w:val="single" w:sz="4" w:space="0" w:color="auto"/>
              <w:right w:val="nil"/>
            </w:tcBorders>
            <w:shd w:val="clear" w:color="auto" w:fill="auto"/>
            <w:noWrap/>
            <w:vAlign w:val="bottom"/>
            <w:hideMark/>
          </w:tcPr>
          <w:p w14:paraId="397B453B"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Syn (median±IQR)</w:t>
            </w:r>
          </w:p>
        </w:tc>
        <w:tc>
          <w:tcPr>
            <w:tcW w:w="708" w:type="pct"/>
            <w:tcBorders>
              <w:left w:val="nil"/>
              <w:bottom w:val="single" w:sz="4" w:space="0" w:color="auto"/>
              <w:right w:val="nil"/>
            </w:tcBorders>
            <w:shd w:val="clear" w:color="auto" w:fill="auto"/>
            <w:noWrap/>
            <w:vAlign w:val="bottom"/>
            <w:hideMark/>
          </w:tcPr>
          <w:p w14:paraId="491BB682"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Asyn (median±IQR)</w:t>
            </w:r>
          </w:p>
        </w:tc>
        <w:tc>
          <w:tcPr>
            <w:tcW w:w="709" w:type="pct"/>
            <w:gridSpan w:val="2"/>
            <w:tcBorders>
              <w:left w:val="nil"/>
              <w:bottom w:val="single" w:sz="4" w:space="0" w:color="auto"/>
              <w:right w:val="nil"/>
            </w:tcBorders>
            <w:shd w:val="clear" w:color="auto" w:fill="auto"/>
            <w:noWrap/>
            <w:vAlign w:val="bottom"/>
            <w:hideMark/>
          </w:tcPr>
          <w:p w14:paraId="47357D68"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Syn (median±IQR)</w:t>
            </w:r>
          </w:p>
        </w:tc>
        <w:tc>
          <w:tcPr>
            <w:tcW w:w="708" w:type="pct"/>
            <w:tcBorders>
              <w:left w:val="nil"/>
              <w:bottom w:val="single" w:sz="4" w:space="0" w:color="auto"/>
              <w:right w:val="nil"/>
            </w:tcBorders>
            <w:shd w:val="clear" w:color="auto" w:fill="auto"/>
            <w:noWrap/>
            <w:vAlign w:val="bottom"/>
            <w:hideMark/>
          </w:tcPr>
          <w:p w14:paraId="6A18D300"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Asyn (median±IQR)</w:t>
            </w:r>
          </w:p>
        </w:tc>
        <w:tc>
          <w:tcPr>
            <w:tcW w:w="708" w:type="pct"/>
            <w:gridSpan w:val="2"/>
            <w:tcBorders>
              <w:left w:val="nil"/>
              <w:bottom w:val="single" w:sz="4" w:space="0" w:color="auto"/>
              <w:right w:val="nil"/>
            </w:tcBorders>
            <w:shd w:val="clear" w:color="auto" w:fill="auto"/>
            <w:noWrap/>
            <w:vAlign w:val="bottom"/>
            <w:hideMark/>
          </w:tcPr>
          <w:p w14:paraId="55638722"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Syn (median±IQR)</w:t>
            </w:r>
          </w:p>
        </w:tc>
        <w:tc>
          <w:tcPr>
            <w:tcW w:w="709" w:type="pct"/>
            <w:tcBorders>
              <w:left w:val="nil"/>
              <w:bottom w:val="single" w:sz="4" w:space="0" w:color="auto"/>
              <w:right w:val="nil"/>
            </w:tcBorders>
            <w:shd w:val="clear" w:color="auto" w:fill="auto"/>
            <w:noWrap/>
            <w:vAlign w:val="bottom"/>
            <w:hideMark/>
          </w:tcPr>
          <w:p w14:paraId="6643FEE9"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Asyn (median±IQR)</w:t>
            </w:r>
          </w:p>
        </w:tc>
      </w:tr>
      <w:tr w:rsidR="007C2129" w:rsidRPr="00087DFF" w14:paraId="66B288D2" w14:textId="77777777" w:rsidTr="007C2129">
        <w:trPr>
          <w:trHeight w:val="288"/>
        </w:trPr>
        <w:tc>
          <w:tcPr>
            <w:tcW w:w="748" w:type="pct"/>
            <w:tcBorders>
              <w:left w:val="nil"/>
              <w:bottom w:val="nil"/>
              <w:right w:val="nil"/>
            </w:tcBorders>
            <w:shd w:val="clear" w:color="auto" w:fill="auto"/>
            <w:noWrap/>
            <w:vAlign w:val="bottom"/>
            <w:hideMark/>
          </w:tcPr>
          <w:p w14:paraId="180608D6"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Proprioceptive drift</w:t>
            </w:r>
          </w:p>
        </w:tc>
        <w:tc>
          <w:tcPr>
            <w:tcW w:w="708" w:type="pct"/>
            <w:gridSpan w:val="2"/>
            <w:tcBorders>
              <w:left w:val="nil"/>
              <w:bottom w:val="nil"/>
              <w:right w:val="nil"/>
            </w:tcBorders>
            <w:shd w:val="clear" w:color="auto" w:fill="auto"/>
            <w:noWrap/>
            <w:vAlign w:val="bottom"/>
            <w:hideMark/>
          </w:tcPr>
          <w:p w14:paraId="3A8DAA39"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-1.54±1.66</w:t>
            </w:r>
          </w:p>
        </w:tc>
        <w:tc>
          <w:tcPr>
            <w:tcW w:w="708" w:type="pct"/>
            <w:tcBorders>
              <w:left w:val="nil"/>
              <w:bottom w:val="nil"/>
              <w:right w:val="nil"/>
            </w:tcBorders>
            <w:shd w:val="clear" w:color="auto" w:fill="auto"/>
            <w:noWrap/>
            <w:vAlign w:val="bottom"/>
            <w:hideMark/>
          </w:tcPr>
          <w:p w14:paraId="67C81430"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-1.56±2.90</w:t>
            </w:r>
          </w:p>
        </w:tc>
        <w:tc>
          <w:tcPr>
            <w:tcW w:w="709" w:type="pct"/>
            <w:gridSpan w:val="2"/>
            <w:tcBorders>
              <w:left w:val="nil"/>
              <w:bottom w:val="nil"/>
              <w:right w:val="nil"/>
            </w:tcBorders>
            <w:shd w:val="clear" w:color="auto" w:fill="auto"/>
            <w:noWrap/>
            <w:vAlign w:val="bottom"/>
            <w:hideMark/>
          </w:tcPr>
          <w:p w14:paraId="01BB5A38"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-1.50±2.61</w:t>
            </w:r>
          </w:p>
        </w:tc>
        <w:tc>
          <w:tcPr>
            <w:tcW w:w="708" w:type="pct"/>
            <w:tcBorders>
              <w:left w:val="nil"/>
              <w:bottom w:val="nil"/>
              <w:right w:val="nil"/>
            </w:tcBorders>
            <w:shd w:val="clear" w:color="auto" w:fill="auto"/>
            <w:noWrap/>
            <w:vAlign w:val="bottom"/>
            <w:hideMark/>
          </w:tcPr>
          <w:p w14:paraId="0B80D596"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-1.71±2.99</w:t>
            </w:r>
          </w:p>
        </w:tc>
        <w:tc>
          <w:tcPr>
            <w:tcW w:w="708" w:type="pct"/>
            <w:gridSpan w:val="2"/>
            <w:tcBorders>
              <w:left w:val="nil"/>
              <w:bottom w:val="nil"/>
              <w:right w:val="nil"/>
            </w:tcBorders>
            <w:shd w:val="clear" w:color="auto" w:fill="auto"/>
            <w:noWrap/>
            <w:vAlign w:val="bottom"/>
            <w:hideMark/>
          </w:tcPr>
          <w:p w14:paraId="688E9AA8"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-1.76±3.11</w:t>
            </w:r>
          </w:p>
        </w:tc>
        <w:tc>
          <w:tcPr>
            <w:tcW w:w="709" w:type="pct"/>
            <w:tcBorders>
              <w:left w:val="nil"/>
              <w:bottom w:val="nil"/>
              <w:right w:val="nil"/>
            </w:tcBorders>
            <w:shd w:val="clear" w:color="auto" w:fill="auto"/>
            <w:noWrap/>
            <w:vAlign w:val="bottom"/>
            <w:hideMark/>
          </w:tcPr>
          <w:p w14:paraId="41D01496"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-1.97±4.13</w:t>
            </w:r>
          </w:p>
        </w:tc>
      </w:tr>
      <w:tr w:rsidR="007C2129" w:rsidRPr="00087DFF" w14:paraId="48F45119" w14:textId="77777777" w:rsidTr="007C2129">
        <w:trPr>
          <w:trHeight w:val="288"/>
        </w:trPr>
        <w:tc>
          <w:tcPr>
            <w:tcW w:w="748" w:type="pct"/>
            <w:tcBorders>
              <w:top w:val="nil"/>
              <w:left w:val="nil"/>
              <w:bottom w:val="nil"/>
              <w:right w:val="nil"/>
            </w:tcBorders>
            <w:shd w:val="clear" w:color="auto" w:fill="auto"/>
            <w:noWrap/>
            <w:vAlign w:val="bottom"/>
            <w:hideMark/>
          </w:tcPr>
          <w:p w14:paraId="6A37C152"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Ownership (Q1-Q3)</w:t>
            </w:r>
          </w:p>
        </w:tc>
        <w:tc>
          <w:tcPr>
            <w:tcW w:w="708" w:type="pct"/>
            <w:gridSpan w:val="2"/>
            <w:tcBorders>
              <w:top w:val="nil"/>
              <w:left w:val="nil"/>
              <w:bottom w:val="nil"/>
              <w:right w:val="nil"/>
            </w:tcBorders>
            <w:shd w:val="clear" w:color="auto" w:fill="auto"/>
            <w:noWrap/>
            <w:vAlign w:val="bottom"/>
            <w:hideMark/>
          </w:tcPr>
          <w:p w14:paraId="7800493E"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34.79±31.15</w:t>
            </w:r>
          </w:p>
        </w:tc>
        <w:tc>
          <w:tcPr>
            <w:tcW w:w="708" w:type="pct"/>
            <w:tcBorders>
              <w:top w:val="nil"/>
              <w:left w:val="nil"/>
              <w:bottom w:val="nil"/>
              <w:right w:val="nil"/>
            </w:tcBorders>
            <w:shd w:val="clear" w:color="auto" w:fill="auto"/>
            <w:noWrap/>
            <w:vAlign w:val="bottom"/>
            <w:hideMark/>
          </w:tcPr>
          <w:p w14:paraId="3E06C34A"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-.42±31.25</w:t>
            </w:r>
          </w:p>
        </w:tc>
        <w:tc>
          <w:tcPr>
            <w:tcW w:w="709" w:type="pct"/>
            <w:gridSpan w:val="2"/>
            <w:tcBorders>
              <w:top w:val="nil"/>
              <w:left w:val="nil"/>
              <w:bottom w:val="nil"/>
              <w:right w:val="nil"/>
            </w:tcBorders>
            <w:shd w:val="clear" w:color="auto" w:fill="auto"/>
            <w:noWrap/>
            <w:vAlign w:val="bottom"/>
            <w:hideMark/>
          </w:tcPr>
          <w:p w14:paraId="247EB9CA"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20.63±30.94</w:t>
            </w:r>
          </w:p>
        </w:tc>
        <w:tc>
          <w:tcPr>
            <w:tcW w:w="708" w:type="pct"/>
            <w:tcBorders>
              <w:top w:val="nil"/>
              <w:left w:val="nil"/>
              <w:bottom w:val="nil"/>
              <w:right w:val="nil"/>
            </w:tcBorders>
            <w:shd w:val="clear" w:color="auto" w:fill="auto"/>
            <w:noWrap/>
            <w:vAlign w:val="bottom"/>
            <w:hideMark/>
          </w:tcPr>
          <w:p w14:paraId="2CAA2DEF"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-14.84±34.84</w:t>
            </w:r>
          </w:p>
        </w:tc>
        <w:tc>
          <w:tcPr>
            <w:tcW w:w="708" w:type="pct"/>
            <w:gridSpan w:val="2"/>
            <w:tcBorders>
              <w:top w:val="nil"/>
              <w:left w:val="nil"/>
              <w:bottom w:val="nil"/>
              <w:right w:val="nil"/>
            </w:tcBorders>
            <w:shd w:val="clear" w:color="auto" w:fill="auto"/>
            <w:noWrap/>
            <w:vAlign w:val="bottom"/>
            <w:hideMark/>
          </w:tcPr>
          <w:p w14:paraId="17B10278"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-1.46±33.75</w:t>
            </w:r>
          </w:p>
        </w:tc>
        <w:tc>
          <w:tcPr>
            <w:tcW w:w="709" w:type="pct"/>
            <w:tcBorders>
              <w:top w:val="nil"/>
              <w:left w:val="nil"/>
              <w:bottom w:val="nil"/>
              <w:right w:val="nil"/>
            </w:tcBorders>
            <w:shd w:val="clear" w:color="auto" w:fill="auto"/>
            <w:noWrap/>
            <w:vAlign w:val="bottom"/>
            <w:hideMark/>
          </w:tcPr>
          <w:p w14:paraId="7CB8647F"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-25.73±38.85</w:t>
            </w:r>
          </w:p>
        </w:tc>
      </w:tr>
      <w:tr w:rsidR="007C2129" w:rsidRPr="00087DFF" w14:paraId="20461C95" w14:textId="77777777" w:rsidTr="007C2129">
        <w:trPr>
          <w:trHeight w:val="288"/>
        </w:trPr>
        <w:tc>
          <w:tcPr>
            <w:tcW w:w="748" w:type="pct"/>
            <w:tcBorders>
              <w:top w:val="nil"/>
              <w:left w:val="nil"/>
              <w:bottom w:val="nil"/>
              <w:right w:val="nil"/>
            </w:tcBorders>
            <w:shd w:val="clear" w:color="auto" w:fill="auto"/>
            <w:noWrap/>
            <w:vAlign w:val="bottom"/>
            <w:hideMark/>
          </w:tcPr>
          <w:p w14:paraId="5FD81AC0"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Ownership Q1</w:t>
            </w:r>
          </w:p>
        </w:tc>
        <w:tc>
          <w:tcPr>
            <w:tcW w:w="708" w:type="pct"/>
            <w:gridSpan w:val="2"/>
            <w:tcBorders>
              <w:top w:val="nil"/>
              <w:left w:val="nil"/>
              <w:bottom w:val="nil"/>
              <w:right w:val="nil"/>
            </w:tcBorders>
            <w:shd w:val="clear" w:color="auto" w:fill="auto"/>
            <w:noWrap/>
            <w:vAlign w:val="bottom"/>
            <w:hideMark/>
          </w:tcPr>
          <w:p w14:paraId="00871C75"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33.75±33.75</w:t>
            </w:r>
          </w:p>
        </w:tc>
        <w:tc>
          <w:tcPr>
            <w:tcW w:w="708" w:type="pct"/>
            <w:tcBorders>
              <w:top w:val="nil"/>
              <w:left w:val="nil"/>
              <w:bottom w:val="nil"/>
              <w:right w:val="nil"/>
            </w:tcBorders>
            <w:shd w:val="clear" w:color="auto" w:fill="auto"/>
            <w:noWrap/>
            <w:vAlign w:val="bottom"/>
            <w:hideMark/>
          </w:tcPr>
          <w:p w14:paraId="5A5B6CC6"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13.13±59.06</w:t>
            </w:r>
          </w:p>
        </w:tc>
        <w:tc>
          <w:tcPr>
            <w:tcW w:w="709" w:type="pct"/>
            <w:gridSpan w:val="2"/>
            <w:tcBorders>
              <w:top w:val="nil"/>
              <w:left w:val="nil"/>
              <w:bottom w:val="nil"/>
              <w:right w:val="nil"/>
            </w:tcBorders>
            <w:shd w:val="clear" w:color="auto" w:fill="auto"/>
            <w:noWrap/>
            <w:vAlign w:val="bottom"/>
            <w:hideMark/>
          </w:tcPr>
          <w:p w14:paraId="0068D195"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13.70±40.00</w:t>
            </w:r>
          </w:p>
        </w:tc>
        <w:tc>
          <w:tcPr>
            <w:tcW w:w="708" w:type="pct"/>
            <w:tcBorders>
              <w:top w:val="nil"/>
              <w:left w:val="nil"/>
              <w:bottom w:val="nil"/>
              <w:right w:val="nil"/>
            </w:tcBorders>
            <w:shd w:val="clear" w:color="auto" w:fill="auto"/>
            <w:noWrap/>
            <w:vAlign w:val="bottom"/>
            <w:hideMark/>
          </w:tcPr>
          <w:p w14:paraId="503D046A"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-7.20±44.70</w:t>
            </w:r>
          </w:p>
        </w:tc>
        <w:tc>
          <w:tcPr>
            <w:tcW w:w="708" w:type="pct"/>
            <w:gridSpan w:val="2"/>
            <w:tcBorders>
              <w:top w:val="nil"/>
              <w:left w:val="nil"/>
              <w:bottom w:val="nil"/>
              <w:right w:val="nil"/>
            </w:tcBorders>
            <w:shd w:val="clear" w:color="auto" w:fill="auto"/>
            <w:noWrap/>
            <w:vAlign w:val="bottom"/>
            <w:hideMark/>
          </w:tcPr>
          <w:p w14:paraId="4FDF34B2"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-24.10±51.90</w:t>
            </w:r>
          </w:p>
        </w:tc>
        <w:tc>
          <w:tcPr>
            <w:tcW w:w="709" w:type="pct"/>
            <w:tcBorders>
              <w:top w:val="nil"/>
              <w:left w:val="nil"/>
              <w:bottom w:val="nil"/>
              <w:right w:val="nil"/>
            </w:tcBorders>
            <w:shd w:val="clear" w:color="auto" w:fill="auto"/>
            <w:noWrap/>
            <w:vAlign w:val="bottom"/>
            <w:hideMark/>
          </w:tcPr>
          <w:p w14:paraId="40F55EE4"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-40.31±26.90</w:t>
            </w:r>
          </w:p>
        </w:tc>
      </w:tr>
      <w:tr w:rsidR="007C2129" w:rsidRPr="00087DFF" w14:paraId="14661FFA" w14:textId="77777777" w:rsidTr="007C2129">
        <w:trPr>
          <w:trHeight w:val="288"/>
        </w:trPr>
        <w:tc>
          <w:tcPr>
            <w:tcW w:w="748" w:type="pct"/>
            <w:tcBorders>
              <w:top w:val="nil"/>
              <w:left w:val="nil"/>
              <w:bottom w:val="nil"/>
              <w:right w:val="nil"/>
            </w:tcBorders>
            <w:shd w:val="clear" w:color="auto" w:fill="auto"/>
            <w:noWrap/>
            <w:vAlign w:val="bottom"/>
            <w:hideMark/>
          </w:tcPr>
          <w:p w14:paraId="3CC34C1B"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Ownership Q2</w:t>
            </w:r>
          </w:p>
        </w:tc>
        <w:tc>
          <w:tcPr>
            <w:tcW w:w="708" w:type="pct"/>
            <w:gridSpan w:val="2"/>
            <w:tcBorders>
              <w:top w:val="nil"/>
              <w:left w:val="nil"/>
              <w:bottom w:val="nil"/>
              <w:right w:val="nil"/>
            </w:tcBorders>
            <w:shd w:val="clear" w:color="auto" w:fill="auto"/>
            <w:noWrap/>
            <w:vAlign w:val="bottom"/>
            <w:hideMark/>
          </w:tcPr>
          <w:p w14:paraId="2B4B88B1"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19.37±35.63</w:t>
            </w:r>
          </w:p>
        </w:tc>
        <w:tc>
          <w:tcPr>
            <w:tcW w:w="708" w:type="pct"/>
            <w:tcBorders>
              <w:top w:val="nil"/>
              <w:left w:val="nil"/>
              <w:bottom w:val="nil"/>
              <w:right w:val="nil"/>
            </w:tcBorders>
            <w:shd w:val="clear" w:color="auto" w:fill="auto"/>
            <w:noWrap/>
            <w:vAlign w:val="bottom"/>
            <w:hideMark/>
          </w:tcPr>
          <w:p w14:paraId="0BC7C2D3"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7.50±45.00</w:t>
            </w:r>
          </w:p>
        </w:tc>
        <w:tc>
          <w:tcPr>
            <w:tcW w:w="709" w:type="pct"/>
            <w:gridSpan w:val="2"/>
            <w:tcBorders>
              <w:top w:val="nil"/>
              <w:left w:val="nil"/>
              <w:bottom w:val="nil"/>
              <w:right w:val="nil"/>
            </w:tcBorders>
            <w:shd w:val="clear" w:color="auto" w:fill="auto"/>
            <w:noWrap/>
            <w:vAlign w:val="bottom"/>
            <w:hideMark/>
          </w:tcPr>
          <w:p w14:paraId="0989C7F0"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19.10±31.90</w:t>
            </w:r>
          </w:p>
        </w:tc>
        <w:tc>
          <w:tcPr>
            <w:tcW w:w="708" w:type="pct"/>
            <w:tcBorders>
              <w:top w:val="nil"/>
              <w:left w:val="nil"/>
              <w:bottom w:val="nil"/>
              <w:right w:val="nil"/>
            </w:tcBorders>
            <w:shd w:val="clear" w:color="auto" w:fill="auto"/>
            <w:noWrap/>
            <w:vAlign w:val="bottom"/>
            <w:hideMark/>
          </w:tcPr>
          <w:p w14:paraId="05C7E6E8"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-5.90±45.60</w:t>
            </w:r>
          </w:p>
        </w:tc>
        <w:tc>
          <w:tcPr>
            <w:tcW w:w="708" w:type="pct"/>
            <w:gridSpan w:val="2"/>
            <w:tcBorders>
              <w:top w:val="nil"/>
              <w:left w:val="nil"/>
              <w:bottom w:val="nil"/>
              <w:right w:val="nil"/>
            </w:tcBorders>
            <w:shd w:val="clear" w:color="auto" w:fill="auto"/>
            <w:noWrap/>
            <w:vAlign w:val="bottom"/>
            <w:hideMark/>
          </w:tcPr>
          <w:p w14:paraId="60F205E8"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-13.10±57.80</w:t>
            </w:r>
          </w:p>
        </w:tc>
        <w:tc>
          <w:tcPr>
            <w:tcW w:w="709" w:type="pct"/>
            <w:tcBorders>
              <w:top w:val="nil"/>
              <w:left w:val="nil"/>
              <w:bottom w:val="nil"/>
              <w:right w:val="nil"/>
            </w:tcBorders>
            <w:shd w:val="clear" w:color="auto" w:fill="auto"/>
            <w:noWrap/>
            <w:vAlign w:val="bottom"/>
            <w:hideMark/>
          </w:tcPr>
          <w:p w14:paraId="3FD974E4"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-29.10±54.40</w:t>
            </w:r>
          </w:p>
        </w:tc>
      </w:tr>
      <w:tr w:rsidR="007C2129" w:rsidRPr="00087DFF" w14:paraId="42F57F6B" w14:textId="77777777" w:rsidTr="007C2129">
        <w:trPr>
          <w:trHeight w:val="288"/>
        </w:trPr>
        <w:tc>
          <w:tcPr>
            <w:tcW w:w="748" w:type="pct"/>
            <w:tcBorders>
              <w:top w:val="nil"/>
              <w:left w:val="nil"/>
              <w:bottom w:val="nil"/>
              <w:right w:val="nil"/>
            </w:tcBorders>
            <w:shd w:val="clear" w:color="auto" w:fill="auto"/>
            <w:noWrap/>
            <w:vAlign w:val="bottom"/>
            <w:hideMark/>
          </w:tcPr>
          <w:p w14:paraId="2CE588CC"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Ownership Q3</w:t>
            </w:r>
          </w:p>
        </w:tc>
        <w:tc>
          <w:tcPr>
            <w:tcW w:w="708" w:type="pct"/>
            <w:gridSpan w:val="2"/>
            <w:tcBorders>
              <w:top w:val="nil"/>
              <w:left w:val="nil"/>
              <w:bottom w:val="nil"/>
              <w:right w:val="nil"/>
            </w:tcBorders>
            <w:shd w:val="clear" w:color="auto" w:fill="auto"/>
            <w:noWrap/>
            <w:vAlign w:val="bottom"/>
            <w:hideMark/>
          </w:tcPr>
          <w:p w14:paraId="7CBDBED1"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43.44±33.13</w:t>
            </w:r>
          </w:p>
        </w:tc>
        <w:tc>
          <w:tcPr>
            <w:tcW w:w="708" w:type="pct"/>
            <w:tcBorders>
              <w:top w:val="nil"/>
              <w:left w:val="nil"/>
              <w:bottom w:val="nil"/>
              <w:right w:val="nil"/>
            </w:tcBorders>
            <w:shd w:val="clear" w:color="auto" w:fill="auto"/>
            <w:noWrap/>
            <w:vAlign w:val="bottom"/>
            <w:hideMark/>
          </w:tcPr>
          <w:p w14:paraId="164E476C"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-38.40±24.70</w:t>
            </w:r>
          </w:p>
        </w:tc>
        <w:tc>
          <w:tcPr>
            <w:tcW w:w="709" w:type="pct"/>
            <w:gridSpan w:val="2"/>
            <w:tcBorders>
              <w:top w:val="nil"/>
              <w:left w:val="nil"/>
              <w:bottom w:val="nil"/>
              <w:right w:val="nil"/>
            </w:tcBorders>
            <w:shd w:val="clear" w:color="auto" w:fill="auto"/>
            <w:noWrap/>
            <w:vAlign w:val="bottom"/>
            <w:hideMark/>
          </w:tcPr>
          <w:p w14:paraId="5416B880"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34.40±29.10</w:t>
            </w:r>
          </w:p>
        </w:tc>
        <w:tc>
          <w:tcPr>
            <w:tcW w:w="708" w:type="pct"/>
            <w:tcBorders>
              <w:top w:val="nil"/>
              <w:left w:val="nil"/>
              <w:bottom w:val="nil"/>
              <w:right w:val="nil"/>
            </w:tcBorders>
            <w:shd w:val="clear" w:color="auto" w:fill="auto"/>
            <w:noWrap/>
            <w:vAlign w:val="bottom"/>
            <w:hideMark/>
          </w:tcPr>
          <w:p w14:paraId="06B0DE2C"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-44.85±20.30</w:t>
            </w:r>
          </w:p>
        </w:tc>
        <w:tc>
          <w:tcPr>
            <w:tcW w:w="708" w:type="pct"/>
            <w:gridSpan w:val="2"/>
            <w:tcBorders>
              <w:top w:val="nil"/>
              <w:left w:val="nil"/>
              <w:bottom w:val="nil"/>
              <w:right w:val="nil"/>
            </w:tcBorders>
            <w:shd w:val="clear" w:color="auto" w:fill="auto"/>
            <w:noWrap/>
            <w:vAlign w:val="bottom"/>
            <w:hideMark/>
          </w:tcPr>
          <w:p w14:paraId="4A47DF07"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33.80±26.00</w:t>
            </w:r>
          </w:p>
        </w:tc>
        <w:tc>
          <w:tcPr>
            <w:tcW w:w="709" w:type="pct"/>
            <w:tcBorders>
              <w:top w:val="nil"/>
              <w:left w:val="nil"/>
              <w:bottom w:val="nil"/>
              <w:right w:val="nil"/>
            </w:tcBorders>
            <w:shd w:val="clear" w:color="auto" w:fill="auto"/>
            <w:noWrap/>
            <w:vAlign w:val="bottom"/>
            <w:hideMark/>
          </w:tcPr>
          <w:p w14:paraId="4243ED5A"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-39.70±23.40</w:t>
            </w:r>
          </w:p>
        </w:tc>
      </w:tr>
      <w:tr w:rsidR="007C2129" w:rsidRPr="00087DFF" w14:paraId="2E5D1EEE" w14:textId="77777777" w:rsidTr="007C2129">
        <w:trPr>
          <w:trHeight w:val="288"/>
        </w:trPr>
        <w:tc>
          <w:tcPr>
            <w:tcW w:w="748" w:type="pct"/>
            <w:tcBorders>
              <w:top w:val="nil"/>
              <w:left w:val="nil"/>
              <w:bottom w:val="nil"/>
              <w:right w:val="nil"/>
            </w:tcBorders>
            <w:shd w:val="clear" w:color="auto" w:fill="auto"/>
            <w:noWrap/>
            <w:vAlign w:val="bottom"/>
            <w:hideMark/>
          </w:tcPr>
          <w:p w14:paraId="5F261106"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Disownership (Q7-Q9)</w:t>
            </w:r>
          </w:p>
        </w:tc>
        <w:tc>
          <w:tcPr>
            <w:tcW w:w="708" w:type="pct"/>
            <w:gridSpan w:val="2"/>
            <w:tcBorders>
              <w:top w:val="nil"/>
              <w:left w:val="nil"/>
              <w:bottom w:val="nil"/>
              <w:right w:val="nil"/>
            </w:tcBorders>
            <w:shd w:val="clear" w:color="auto" w:fill="auto"/>
            <w:noWrap/>
            <w:vAlign w:val="bottom"/>
            <w:hideMark/>
          </w:tcPr>
          <w:p w14:paraId="5267F543"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-12.08±22.71</w:t>
            </w:r>
          </w:p>
        </w:tc>
        <w:tc>
          <w:tcPr>
            <w:tcW w:w="708" w:type="pct"/>
            <w:tcBorders>
              <w:top w:val="nil"/>
              <w:left w:val="nil"/>
              <w:bottom w:val="nil"/>
              <w:right w:val="nil"/>
            </w:tcBorders>
            <w:shd w:val="clear" w:color="auto" w:fill="auto"/>
            <w:noWrap/>
            <w:vAlign w:val="bottom"/>
            <w:hideMark/>
          </w:tcPr>
          <w:p w14:paraId="7938DC42"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-13.13±25.10</w:t>
            </w:r>
          </w:p>
        </w:tc>
        <w:tc>
          <w:tcPr>
            <w:tcW w:w="709" w:type="pct"/>
            <w:gridSpan w:val="2"/>
            <w:tcBorders>
              <w:top w:val="nil"/>
              <w:left w:val="nil"/>
              <w:bottom w:val="nil"/>
              <w:right w:val="nil"/>
            </w:tcBorders>
            <w:shd w:val="clear" w:color="auto" w:fill="auto"/>
            <w:noWrap/>
            <w:vAlign w:val="bottom"/>
            <w:hideMark/>
          </w:tcPr>
          <w:p w14:paraId="1566D6C7"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-8.75±19.17</w:t>
            </w:r>
          </w:p>
        </w:tc>
        <w:tc>
          <w:tcPr>
            <w:tcW w:w="708" w:type="pct"/>
            <w:tcBorders>
              <w:top w:val="nil"/>
              <w:left w:val="nil"/>
              <w:bottom w:val="nil"/>
              <w:right w:val="nil"/>
            </w:tcBorders>
            <w:shd w:val="clear" w:color="auto" w:fill="auto"/>
            <w:noWrap/>
            <w:vAlign w:val="bottom"/>
            <w:hideMark/>
          </w:tcPr>
          <w:p w14:paraId="254A3B14"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-16.88±31.67</w:t>
            </w:r>
          </w:p>
        </w:tc>
        <w:tc>
          <w:tcPr>
            <w:tcW w:w="708" w:type="pct"/>
            <w:gridSpan w:val="2"/>
            <w:tcBorders>
              <w:top w:val="nil"/>
              <w:left w:val="nil"/>
              <w:bottom w:val="nil"/>
              <w:right w:val="nil"/>
            </w:tcBorders>
            <w:shd w:val="clear" w:color="auto" w:fill="auto"/>
            <w:noWrap/>
            <w:vAlign w:val="bottom"/>
            <w:hideMark/>
          </w:tcPr>
          <w:p w14:paraId="2BC93D3E"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-16.46±24.27</w:t>
            </w:r>
          </w:p>
        </w:tc>
        <w:tc>
          <w:tcPr>
            <w:tcW w:w="709" w:type="pct"/>
            <w:tcBorders>
              <w:top w:val="nil"/>
              <w:left w:val="nil"/>
              <w:bottom w:val="nil"/>
              <w:right w:val="nil"/>
            </w:tcBorders>
            <w:shd w:val="clear" w:color="auto" w:fill="auto"/>
            <w:noWrap/>
            <w:vAlign w:val="bottom"/>
            <w:hideMark/>
          </w:tcPr>
          <w:p w14:paraId="623F383B"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-25.42±31.15</w:t>
            </w:r>
          </w:p>
        </w:tc>
      </w:tr>
      <w:tr w:rsidR="007C2129" w:rsidRPr="00087DFF" w14:paraId="4A9BD4C3" w14:textId="77777777" w:rsidTr="007C2129">
        <w:trPr>
          <w:trHeight w:val="288"/>
        </w:trPr>
        <w:tc>
          <w:tcPr>
            <w:tcW w:w="748" w:type="pct"/>
            <w:tcBorders>
              <w:top w:val="nil"/>
              <w:left w:val="nil"/>
              <w:bottom w:val="nil"/>
              <w:right w:val="nil"/>
            </w:tcBorders>
            <w:shd w:val="clear" w:color="auto" w:fill="auto"/>
            <w:noWrap/>
            <w:vAlign w:val="bottom"/>
            <w:hideMark/>
          </w:tcPr>
          <w:p w14:paraId="45784EBA"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Control (Q4-Q6)</w:t>
            </w:r>
          </w:p>
        </w:tc>
        <w:tc>
          <w:tcPr>
            <w:tcW w:w="708" w:type="pct"/>
            <w:gridSpan w:val="2"/>
            <w:tcBorders>
              <w:top w:val="nil"/>
              <w:left w:val="nil"/>
              <w:bottom w:val="nil"/>
              <w:right w:val="nil"/>
            </w:tcBorders>
            <w:shd w:val="clear" w:color="auto" w:fill="auto"/>
            <w:noWrap/>
            <w:vAlign w:val="bottom"/>
            <w:hideMark/>
          </w:tcPr>
          <w:p w14:paraId="33710D3D"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-18.54±28.44</w:t>
            </w:r>
          </w:p>
        </w:tc>
        <w:tc>
          <w:tcPr>
            <w:tcW w:w="708" w:type="pct"/>
            <w:tcBorders>
              <w:top w:val="nil"/>
              <w:left w:val="nil"/>
              <w:bottom w:val="nil"/>
              <w:right w:val="nil"/>
            </w:tcBorders>
            <w:shd w:val="clear" w:color="auto" w:fill="auto"/>
            <w:noWrap/>
            <w:vAlign w:val="bottom"/>
            <w:hideMark/>
          </w:tcPr>
          <w:p w14:paraId="1315A492"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-16.77±41.35</w:t>
            </w:r>
          </w:p>
        </w:tc>
        <w:tc>
          <w:tcPr>
            <w:tcW w:w="709" w:type="pct"/>
            <w:gridSpan w:val="2"/>
            <w:tcBorders>
              <w:top w:val="nil"/>
              <w:left w:val="nil"/>
              <w:bottom w:val="nil"/>
              <w:right w:val="nil"/>
            </w:tcBorders>
            <w:shd w:val="clear" w:color="auto" w:fill="auto"/>
            <w:noWrap/>
            <w:vAlign w:val="bottom"/>
            <w:hideMark/>
          </w:tcPr>
          <w:p w14:paraId="40572C7C"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-6.98±35.10</w:t>
            </w:r>
          </w:p>
        </w:tc>
        <w:tc>
          <w:tcPr>
            <w:tcW w:w="708" w:type="pct"/>
            <w:tcBorders>
              <w:top w:val="nil"/>
              <w:left w:val="nil"/>
              <w:bottom w:val="nil"/>
              <w:right w:val="nil"/>
            </w:tcBorders>
            <w:shd w:val="clear" w:color="auto" w:fill="auto"/>
            <w:noWrap/>
            <w:vAlign w:val="bottom"/>
            <w:hideMark/>
          </w:tcPr>
          <w:p w14:paraId="6B527AC5"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-17.03±31.68</w:t>
            </w:r>
          </w:p>
        </w:tc>
        <w:tc>
          <w:tcPr>
            <w:tcW w:w="708" w:type="pct"/>
            <w:gridSpan w:val="2"/>
            <w:tcBorders>
              <w:top w:val="nil"/>
              <w:left w:val="nil"/>
              <w:bottom w:val="nil"/>
              <w:right w:val="nil"/>
            </w:tcBorders>
            <w:shd w:val="clear" w:color="auto" w:fill="auto"/>
            <w:noWrap/>
            <w:vAlign w:val="bottom"/>
            <w:hideMark/>
          </w:tcPr>
          <w:p w14:paraId="563CBCB8"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-10.00±36.88</w:t>
            </w:r>
          </w:p>
        </w:tc>
        <w:tc>
          <w:tcPr>
            <w:tcW w:w="709" w:type="pct"/>
            <w:tcBorders>
              <w:top w:val="nil"/>
              <w:left w:val="nil"/>
              <w:bottom w:val="nil"/>
              <w:right w:val="nil"/>
            </w:tcBorders>
            <w:shd w:val="clear" w:color="auto" w:fill="auto"/>
            <w:noWrap/>
            <w:vAlign w:val="bottom"/>
            <w:hideMark/>
          </w:tcPr>
          <w:p w14:paraId="7320C112"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-28.44±44.06</w:t>
            </w:r>
          </w:p>
        </w:tc>
      </w:tr>
      <w:tr w:rsidR="000C21BB" w:rsidRPr="00087DFF" w14:paraId="03BF6579" w14:textId="77777777" w:rsidTr="007C2129">
        <w:trPr>
          <w:trHeight w:val="288"/>
        </w:trPr>
        <w:tc>
          <w:tcPr>
            <w:tcW w:w="5000" w:type="pct"/>
            <w:gridSpan w:val="10"/>
            <w:tcBorders>
              <w:top w:val="nil"/>
              <w:left w:val="nil"/>
              <w:bottom w:val="nil"/>
              <w:right w:val="nil"/>
            </w:tcBorders>
            <w:shd w:val="clear" w:color="auto" w:fill="auto"/>
            <w:noWrap/>
            <w:vAlign w:val="bottom"/>
          </w:tcPr>
          <w:p w14:paraId="573E152E"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p>
        </w:tc>
      </w:tr>
      <w:tr w:rsidR="000C21BB" w:rsidRPr="00087DFF" w14:paraId="238F58F2" w14:textId="77777777" w:rsidTr="007C2129">
        <w:trPr>
          <w:trHeight w:val="288"/>
        </w:trPr>
        <w:tc>
          <w:tcPr>
            <w:tcW w:w="5000" w:type="pct"/>
            <w:gridSpan w:val="10"/>
            <w:tcBorders>
              <w:top w:val="nil"/>
              <w:left w:val="nil"/>
              <w:bottom w:val="single" w:sz="4" w:space="0" w:color="auto"/>
              <w:right w:val="nil"/>
            </w:tcBorders>
            <w:shd w:val="clear" w:color="auto" w:fill="auto"/>
            <w:noWrap/>
            <w:vAlign w:val="bottom"/>
          </w:tcPr>
          <w:p w14:paraId="60A48BAD" w14:textId="77777777" w:rsidR="000C21BB" w:rsidRPr="00087DFF" w:rsidRDefault="000C21BB" w:rsidP="007C2129">
            <w:pPr>
              <w:suppressAutoHyphens w:val="0"/>
              <w:spacing w:after="0" w:line="240" w:lineRule="auto"/>
              <w:jc w:val="center"/>
              <w:rPr>
                <w:rFonts w:ascii="Times New Roman" w:eastAsia="Times New Roman" w:hAnsi="Times New Roman" w:cs="Times New Roman"/>
                <w:color w:val="000000"/>
                <w:lang w:eastAsia="en-GB"/>
              </w:rPr>
            </w:pPr>
            <w:r w:rsidRPr="00087DFF">
              <w:rPr>
                <w:rFonts w:ascii="Times New Roman" w:eastAsia="Times New Roman" w:hAnsi="Times New Roman" w:cs="Times New Roman"/>
                <w:b/>
                <w:color w:val="000000"/>
                <w:lang w:eastAsia="en-GB"/>
              </w:rPr>
              <w:t>Incongruent Location</w:t>
            </w:r>
          </w:p>
        </w:tc>
      </w:tr>
      <w:tr w:rsidR="007C2129" w:rsidRPr="00087DFF" w14:paraId="3C75E3E6" w14:textId="77777777" w:rsidTr="007C2129">
        <w:trPr>
          <w:trHeight w:val="288"/>
        </w:trPr>
        <w:tc>
          <w:tcPr>
            <w:tcW w:w="1280" w:type="pct"/>
            <w:gridSpan w:val="2"/>
            <w:tcBorders>
              <w:left w:val="nil"/>
              <w:bottom w:val="single" w:sz="4" w:space="0" w:color="auto"/>
              <w:right w:val="nil"/>
            </w:tcBorders>
            <w:shd w:val="clear" w:color="auto" w:fill="auto"/>
            <w:noWrap/>
            <w:vAlign w:val="bottom"/>
          </w:tcPr>
          <w:p w14:paraId="4D54015F"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p>
        </w:tc>
        <w:tc>
          <w:tcPr>
            <w:tcW w:w="1240" w:type="pct"/>
            <w:gridSpan w:val="3"/>
            <w:tcBorders>
              <w:left w:val="nil"/>
              <w:bottom w:val="single" w:sz="4" w:space="0" w:color="auto"/>
              <w:right w:val="nil"/>
            </w:tcBorders>
            <w:shd w:val="clear" w:color="auto" w:fill="auto"/>
            <w:noWrap/>
            <w:vAlign w:val="bottom"/>
          </w:tcPr>
          <w:p w14:paraId="2AC581F7"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OH</w:t>
            </w:r>
          </w:p>
        </w:tc>
        <w:tc>
          <w:tcPr>
            <w:tcW w:w="1240" w:type="pct"/>
            <w:gridSpan w:val="3"/>
            <w:tcBorders>
              <w:left w:val="nil"/>
              <w:bottom w:val="single" w:sz="4" w:space="0" w:color="auto"/>
              <w:right w:val="nil"/>
            </w:tcBorders>
            <w:shd w:val="clear" w:color="auto" w:fill="auto"/>
            <w:noWrap/>
            <w:vAlign w:val="bottom"/>
          </w:tcPr>
          <w:p w14:paraId="76179C25"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FH</w:t>
            </w:r>
          </w:p>
        </w:tc>
        <w:tc>
          <w:tcPr>
            <w:tcW w:w="1240" w:type="pct"/>
            <w:gridSpan w:val="2"/>
            <w:tcBorders>
              <w:left w:val="nil"/>
              <w:bottom w:val="single" w:sz="4" w:space="0" w:color="auto"/>
              <w:right w:val="nil"/>
            </w:tcBorders>
            <w:shd w:val="clear" w:color="auto" w:fill="auto"/>
            <w:noWrap/>
            <w:vAlign w:val="bottom"/>
          </w:tcPr>
          <w:p w14:paraId="02CE3939"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 xml:space="preserve">           Obj</w:t>
            </w:r>
          </w:p>
        </w:tc>
      </w:tr>
      <w:tr w:rsidR="007C2129" w:rsidRPr="00087DFF" w14:paraId="659AADA4" w14:textId="77777777" w:rsidTr="007C2129">
        <w:trPr>
          <w:trHeight w:val="288"/>
        </w:trPr>
        <w:tc>
          <w:tcPr>
            <w:tcW w:w="748" w:type="pct"/>
            <w:tcBorders>
              <w:left w:val="nil"/>
              <w:bottom w:val="single" w:sz="4" w:space="0" w:color="auto"/>
              <w:right w:val="nil"/>
            </w:tcBorders>
            <w:shd w:val="clear" w:color="auto" w:fill="auto"/>
            <w:noWrap/>
            <w:vAlign w:val="bottom"/>
          </w:tcPr>
          <w:p w14:paraId="11B4BE22"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p>
        </w:tc>
        <w:tc>
          <w:tcPr>
            <w:tcW w:w="708" w:type="pct"/>
            <w:gridSpan w:val="2"/>
            <w:tcBorders>
              <w:left w:val="nil"/>
              <w:bottom w:val="single" w:sz="4" w:space="0" w:color="auto"/>
              <w:right w:val="nil"/>
            </w:tcBorders>
            <w:shd w:val="clear" w:color="auto" w:fill="auto"/>
            <w:noWrap/>
            <w:vAlign w:val="bottom"/>
          </w:tcPr>
          <w:p w14:paraId="5DEEE515"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Syn (median±IQR)</w:t>
            </w:r>
          </w:p>
        </w:tc>
        <w:tc>
          <w:tcPr>
            <w:tcW w:w="708" w:type="pct"/>
            <w:tcBorders>
              <w:left w:val="nil"/>
              <w:bottom w:val="single" w:sz="4" w:space="0" w:color="auto"/>
              <w:right w:val="nil"/>
            </w:tcBorders>
            <w:shd w:val="clear" w:color="auto" w:fill="auto"/>
            <w:noWrap/>
            <w:vAlign w:val="bottom"/>
          </w:tcPr>
          <w:p w14:paraId="30D74274"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Asyn (median±IQR)</w:t>
            </w:r>
          </w:p>
        </w:tc>
        <w:tc>
          <w:tcPr>
            <w:tcW w:w="709" w:type="pct"/>
            <w:gridSpan w:val="2"/>
            <w:tcBorders>
              <w:left w:val="nil"/>
              <w:bottom w:val="single" w:sz="4" w:space="0" w:color="auto"/>
              <w:right w:val="nil"/>
            </w:tcBorders>
            <w:shd w:val="clear" w:color="auto" w:fill="auto"/>
            <w:noWrap/>
            <w:vAlign w:val="bottom"/>
          </w:tcPr>
          <w:p w14:paraId="4D1D1E3A"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Syn (median±IQR)</w:t>
            </w:r>
          </w:p>
        </w:tc>
        <w:tc>
          <w:tcPr>
            <w:tcW w:w="708" w:type="pct"/>
            <w:tcBorders>
              <w:left w:val="nil"/>
              <w:bottom w:val="single" w:sz="4" w:space="0" w:color="auto"/>
              <w:right w:val="nil"/>
            </w:tcBorders>
            <w:shd w:val="clear" w:color="auto" w:fill="auto"/>
            <w:noWrap/>
            <w:vAlign w:val="bottom"/>
          </w:tcPr>
          <w:p w14:paraId="711D78D9"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Asyn (median±IQR)</w:t>
            </w:r>
          </w:p>
        </w:tc>
        <w:tc>
          <w:tcPr>
            <w:tcW w:w="708" w:type="pct"/>
            <w:gridSpan w:val="2"/>
            <w:tcBorders>
              <w:left w:val="nil"/>
              <w:bottom w:val="single" w:sz="4" w:space="0" w:color="auto"/>
              <w:right w:val="nil"/>
            </w:tcBorders>
            <w:shd w:val="clear" w:color="auto" w:fill="auto"/>
            <w:noWrap/>
            <w:vAlign w:val="bottom"/>
          </w:tcPr>
          <w:p w14:paraId="12B21E9C"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Syn (median±IQR)</w:t>
            </w:r>
          </w:p>
        </w:tc>
        <w:tc>
          <w:tcPr>
            <w:tcW w:w="709" w:type="pct"/>
            <w:tcBorders>
              <w:left w:val="nil"/>
              <w:bottom w:val="single" w:sz="4" w:space="0" w:color="auto"/>
              <w:right w:val="nil"/>
            </w:tcBorders>
            <w:shd w:val="clear" w:color="auto" w:fill="auto"/>
            <w:noWrap/>
            <w:vAlign w:val="bottom"/>
          </w:tcPr>
          <w:p w14:paraId="564D1139"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Asyn (median±IQR)</w:t>
            </w:r>
          </w:p>
        </w:tc>
      </w:tr>
      <w:tr w:rsidR="007C2129" w:rsidRPr="00087DFF" w14:paraId="036D6BCF" w14:textId="77777777" w:rsidTr="007C2129">
        <w:trPr>
          <w:trHeight w:val="288"/>
        </w:trPr>
        <w:tc>
          <w:tcPr>
            <w:tcW w:w="748" w:type="pct"/>
            <w:tcBorders>
              <w:top w:val="single" w:sz="4" w:space="0" w:color="auto"/>
              <w:left w:val="nil"/>
              <w:bottom w:val="nil"/>
              <w:right w:val="nil"/>
            </w:tcBorders>
            <w:shd w:val="clear" w:color="auto" w:fill="auto"/>
            <w:noWrap/>
            <w:vAlign w:val="bottom"/>
          </w:tcPr>
          <w:p w14:paraId="7A046908"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Proprioceptive drift</w:t>
            </w:r>
          </w:p>
        </w:tc>
        <w:tc>
          <w:tcPr>
            <w:tcW w:w="708" w:type="pct"/>
            <w:gridSpan w:val="2"/>
            <w:tcBorders>
              <w:top w:val="single" w:sz="4" w:space="0" w:color="auto"/>
              <w:left w:val="nil"/>
              <w:bottom w:val="nil"/>
              <w:right w:val="nil"/>
            </w:tcBorders>
            <w:shd w:val="clear" w:color="auto" w:fill="auto"/>
            <w:noWrap/>
            <w:vAlign w:val="bottom"/>
          </w:tcPr>
          <w:p w14:paraId="163E4CCC"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3.18±6.77</w:t>
            </w:r>
          </w:p>
        </w:tc>
        <w:tc>
          <w:tcPr>
            <w:tcW w:w="708" w:type="pct"/>
            <w:tcBorders>
              <w:top w:val="single" w:sz="4" w:space="0" w:color="auto"/>
              <w:left w:val="nil"/>
              <w:bottom w:val="nil"/>
              <w:right w:val="nil"/>
            </w:tcBorders>
            <w:shd w:val="clear" w:color="auto" w:fill="auto"/>
            <w:noWrap/>
            <w:vAlign w:val="bottom"/>
          </w:tcPr>
          <w:p w14:paraId="6F14EF5F"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2.62±5.90</w:t>
            </w:r>
          </w:p>
        </w:tc>
        <w:tc>
          <w:tcPr>
            <w:tcW w:w="709" w:type="pct"/>
            <w:gridSpan w:val="2"/>
            <w:tcBorders>
              <w:top w:val="single" w:sz="4" w:space="0" w:color="auto"/>
              <w:left w:val="nil"/>
              <w:bottom w:val="nil"/>
              <w:right w:val="nil"/>
            </w:tcBorders>
            <w:shd w:val="clear" w:color="auto" w:fill="auto"/>
            <w:noWrap/>
            <w:vAlign w:val="bottom"/>
          </w:tcPr>
          <w:p w14:paraId="112FF15F"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2.30±4.36</w:t>
            </w:r>
          </w:p>
        </w:tc>
        <w:tc>
          <w:tcPr>
            <w:tcW w:w="708" w:type="pct"/>
            <w:tcBorders>
              <w:top w:val="single" w:sz="4" w:space="0" w:color="auto"/>
              <w:left w:val="nil"/>
              <w:bottom w:val="nil"/>
              <w:right w:val="nil"/>
            </w:tcBorders>
            <w:shd w:val="clear" w:color="auto" w:fill="auto"/>
            <w:noWrap/>
            <w:vAlign w:val="bottom"/>
          </w:tcPr>
          <w:p w14:paraId="774B85AD"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1.85±4.67</w:t>
            </w:r>
          </w:p>
        </w:tc>
        <w:tc>
          <w:tcPr>
            <w:tcW w:w="708" w:type="pct"/>
            <w:gridSpan w:val="2"/>
            <w:tcBorders>
              <w:top w:val="single" w:sz="4" w:space="0" w:color="auto"/>
              <w:left w:val="nil"/>
              <w:bottom w:val="nil"/>
              <w:right w:val="nil"/>
            </w:tcBorders>
            <w:shd w:val="clear" w:color="auto" w:fill="auto"/>
            <w:noWrap/>
            <w:vAlign w:val="bottom"/>
          </w:tcPr>
          <w:p w14:paraId="27543895"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.92±4.38</w:t>
            </w:r>
          </w:p>
        </w:tc>
        <w:tc>
          <w:tcPr>
            <w:tcW w:w="709" w:type="pct"/>
            <w:tcBorders>
              <w:top w:val="single" w:sz="4" w:space="0" w:color="auto"/>
              <w:left w:val="nil"/>
              <w:bottom w:val="nil"/>
              <w:right w:val="nil"/>
            </w:tcBorders>
            <w:shd w:val="clear" w:color="auto" w:fill="auto"/>
            <w:noWrap/>
            <w:vAlign w:val="bottom"/>
          </w:tcPr>
          <w:p w14:paraId="650B73FC"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1.01±3.23</w:t>
            </w:r>
          </w:p>
        </w:tc>
      </w:tr>
      <w:tr w:rsidR="007C2129" w:rsidRPr="00087DFF" w14:paraId="31E24CAC" w14:textId="77777777" w:rsidTr="007C2129">
        <w:trPr>
          <w:trHeight w:val="288"/>
        </w:trPr>
        <w:tc>
          <w:tcPr>
            <w:tcW w:w="748" w:type="pct"/>
            <w:tcBorders>
              <w:top w:val="nil"/>
              <w:left w:val="nil"/>
              <w:bottom w:val="nil"/>
              <w:right w:val="nil"/>
            </w:tcBorders>
            <w:shd w:val="clear" w:color="auto" w:fill="auto"/>
            <w:noWrap/>
            <w:vAlign w:val="bottom"/>
          </w:tcPr>
          <w:p w14:paraId="17CD8ED6"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Ownership (Q1-Q3)</w:t>
            </w:r>
          </w:p>
        </w:tc>
        <w:tc>
          <w:tcPr>
            <w:tcW w:w="708" w:type="pct"/>
            <w:gridSpan w:val="2"/>
            <w:tcBorders>
              <w:top w:val="nil"/>
              <w:left w:val="nil"/>
              <w:bottom w:val="nil"/>
              <w:right w:val="nil"/>
            </w:tcBorders>
            <w:shd w:val="clear" w:color="auto" w:fill="auto"/>
            <w:noWrap/>
            <w:vAlign w:val="bottom"/>
          </w:tcPr>
          <w:p w14:paraId="43ED68C8"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27.86±30.16</w:t>
            </w:r>
          </w:p>
        </w:tc>
        <w:tc>
          <w:tcPr>
            <w:tcW w:w="708" w:type="pct"/>
            <w:tcBorders>
              <w:top w:val="nil"/>
              <w:left w:val="nil"/>
              <w:bottom w:val="nil"/>
              <w:right w:val="nil"/>
            </w:tcBorders>
            <w:shd w:val="clear" w:color="auto" w:fill="auto"/>
            <w:noWrap/>
            <w:vAlign w:val="bottom"/>
          </w:tcPr>
          <w:p w14:paraId="05D98D9D"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-1.35±29.06</w:t>
            </w:r>
          </w:p>
        </w:tc>
        <w:tc>
          <w:tcPr>
            <w:tcW w:w="709" w:type="pct"/>
            <w:gridSpan w:val="2"/>
            <w:tcBorders>
              <w:top w:val="nil"/>
              <w:left w:val="nil"/>
              <w:bottom w:val="nil"/>
              <w:right w:val="nil"/>
            </w:tcBorders>
            <w:shd w:val="clear" w:color="auto" w:fill="auto"/>
            <w:noWrap/>
            <w:vAlign w:val="bottom"/>
          </w:tcPr>
          <w:p w14:paraId="061A620E"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26.67±35.16</w:t>
            </w:r>
          </w:p>
        </w:tc>
        <w:tc>
          <w:tcPr>
            <w:tcW w:w="708" w:type="pct"/>
            <w:tcBorders>
              <w:top w:val="nil"/>
              <w:left w:val="nil"/>
              <w:bottom w:val="nil"/>
              <w:right w:val="nil"/>
            </w:tcBorders>
            <w:shd w:val="clear" w:color="auto" w:fill="auto"/>
            <w:noWrap/>
            <w:vAlign w:val="bottom"/>
          </w:tcPr>
          <w:p w14:paraId="3D307865"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-9.74±34.48</w:t>
            </w:r>
          </w:p>
        </w:tc>
        <w:tc>
          <w:tcPr>
            <w:tcW w:w="708" w:type="pct"/>
            <w:gridSpan w:val="2"/>
            <w:tcBorders>
              <w:top w:val="nil"/>
              <w:left w:val="nil"/>
              <w:bottom w:val="nil"/>
              <w:right w:val="nil"/>
            </w:tcBorders>
            <w:shd w:val="clear" w:color="auto" w:fill="auto"/>
            <w:noWrap/>
            <w:vAlign w:val="bottom"/>
          </w:tcPr>
          <w:p w14:paraId="07879535"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-16.09±31.41</w:t>
            </w:r>
          </w:p>
        </w:tc>
        <w:tc>
          <w:tcPr>
            <w:tcW w:w="709" w:type="pct"/>
            <w:tcBorders>
              <w:top w:val="nil"/>
              <w:left w:val="nil"/>
              <w:bottom w:val="nil"/>
              <w:right w:val="nil"/>
            </w:tcBorders>
            <w:shd w:val="clear" w:color="auto" w:fill="auto"/>
            <w:noWrap/>
            <w:vAlign w:val="bottom"/>
          </w:tcPr>
          <w:p w14:paraId="7773D5E9"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-30.94±35.94</w:t>
            </w:r>
          </w:p>
        </w:tc>
      </w:tr>
      <w:tr w:rsidR="007C2129" w:rsidRPr="00087DFF" w14:paraId="73303368" w14:textId="77777777" w:rsidTr="007C2129">
        <w:trPr>
          <w:trHeight w:val="288"/>
        </w:trPr>
        <w:tc>
          <w:tcPr>
            <w:tcW w:w="748" w:type="pct"/>
            <w:tcBorders>
              <w:top w:val="nil"/>
              <w:left w:val="nil"/>
              <w:bottom w:val="nil"/>
              <w:right w:val="nil"/>
            </w:tcBorders>
            <w:shd w:val="clear" w:color="auto" w:fill="auto"/>
            <w:noWrap/>
            <w:vAlign w:val="bottom"/>
          </w:tcPr>
          <w:p w14:paraId="51A4343B"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Ownership Q1</w:t>
            </w:r>
          </w:p>
        </w:tc>
        <w:tc>
          <w:tcPr>
            <w:tcW w:w="708" w:type="pct"/>
            <w:gridSpan w:val="2"/>
            <w:tcBorders>
              <w:top w:val="nil"/>
              <w:left w:val="nil"/>
              <w:bottom w:val="nil"/>
              <w:right w:val="nil"/>
            </w:tcBorders>
            <w:shd w:val="clear" w:color="auto" w:fill="auto"/>
            <w:noWrap/>
            <w:vAlign w:val="bottom"/>
          </w:tcPr>
          <w:p w14:paraId="23749BCB"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32.80±27.20</w:t>
            </w:r>
          </w:p>
        </w:tc>
        <w:tc>
          <w:tcPr>
            <w:tcW w:w="708" w:type="pct"/>
            <w:tcBorders>
              <w:top w:val="nil"/>
              <w:left w:val="nil"/>
              <w:bottom w:val="nil"/>
              <w:right w:val="nil"/>
            </w:tcBorders>
            <w:shd w:val="clear" w:color="auto" w:fill="auto"/>
            <w:noWrap/>
            <w:vAlign w:val="bottom"/>
          </w:tcPr>
          <w:p w14:paraId="4B8984DA"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15.50±40.60</w:t>
            </w:r>
          </w:p>
        </w:tc>
        <w:tc>
          <w:tcPr>
            <w:tcW w:w="709" w:type="pct"/>
            <w:gridSpan w:val="2"/>
            <w:tcBorders>
              <w:top w:val="nil"/>
              <w:left w:val="nil"/>
              <w:bottom w:val="nil"/>
              <w:right w:val="nil"/>
            </w:tcBorders>
            <w:shd w:val="clear" w:color="auto" w:fill="auto"/>
            <w:noWrap/>
            <w:vAlign w:val="bottom"/>
          </w:tcPr>
          <w:p w14:paraId="75BA6B52"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18.15±37.60</w:t>
            </w:r>
          </w:p>
        </w:tc>
        <w:tc>
          <w:tcPr>
            <w:tcW w:w="708" w:type="pct"/>
            <w:tcBorders>
              <w:top w:val="nil"/>
              <w:left w:val="nil"/>
              <w:bottom w:val="nil"/>
              <w:right w:val="nil"/>
            </w:tcBorders>
            <w:shd w:val="clear" w:color="auto" w:fill="auto"/>
            <w:noWrap/>
            <w:vAlign w:val="bottom"/>
          </w:tcPr>
          <w:p w14:paraId="0BB4179D"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-1.85±53.65</w:t>
            </w:r>
          </w:p>
        </w:tc>
        <w:tc>
          <w:tcPr>
            <w:tcW w:w="708" w:type="pct"/>
            <w:gridSpan w:val="2"/>
            <w:tcBorders>
              <w:top w:val="nil"/>
              <w:left w:val="nil"/>
              <w:bottom w:val="nil"/>
              <w:right w:val="nil"/>
            </w:tcBorders>
            <w:shd w:val="clear" w:color="auto" w:fill="auto"/>
            <w:noWrap/>
            <w:vAlign w:val="bottom"/>
          </w:tcPr>
          <w:p w14:paraId="16FA8807"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-41.25±34.40</w:t>
            </w:r>
          </w:p>
        </w:tc>
        <w:tc>
          <w:tcPr>
            <w:tcW w:w="709" w:type="pct"/>
            <w:tcBorders>
              <w:top w:val="nil"/>
              <w:left w:val="nil"/>
              <w:bottom w:val="nil"/>
              <w:right w:val="nil"/>
            </w:tcBorders>
            <w:shd w:val="clear" w:color="auto" w:fill="auto"/>
            <w:noWrap/>
            <w:vAlign w:val="bottom"/>
          </w:tcPr>
          <w:p w14:paraId="24412B8B"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-48.13±22.50</w:t>
            </w:r>
          </w:p>
        </w:tc>
      </w:tr>
      <w:tr w:rsidR="007C2129" w:rsidRPr="00087DFF" w14:paraId="00036177" w14:textId="77777777" w:rsidTr="007C2129">
        <w:trPr>
          <w:trHeight w:val="288"/>
        </w:trPr>
        <w:tc>
          <w:tcPr>
            <w:tcW w:w="748" w:type="pct"/>
            <w:tcBorders>
              <w:top w:val="nil"/>
              <w:left w:val="nil"/>
              <w:bottom w:val="nil"/>
              <w:right w:val="nil"/>
            </w:tcBorders>
            <w:shd w:val="clear" w:color="auto" w:fill="auto"/>
            <w:noWrap/>
            <w:vAlign w:val="bottom"/>
          </w:tcPr>
          <w:p w14:paraId="1B311AAA"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Ownership Q2</w:t>
            </w:r>
          </w:p>
        </w:tc>
        <w:tc>
          <w:tcPr>
            <w:tcW w:w="708" w:type="pct"/>
            <w:gridSpan w:val="2"/>
            <w:tcBorders>
              <w:top w:val="nil"/>
              <w:left w:val="nil"/>
              <w:bottom w:val="nil"/>
              <w:right w:val="nil"/>
            </w:tcBorders>
            <w:shd w:val="clear" w:color="auto" w:fill="auto"/>
            <w:noWrap/>
            <w:vAlign w:val="bottom"/>
          </w:tcPr>
          <w:p w14:paraId="45D8A53A"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26.10±41.25</w:t>
            </w:r>
          </w:p>
        </w:tc>
        <w:tc>
          <w:tcPr>
            <w:tcW w:w="708" w:type="pct"/>
            <w:tcBorders>
              <w:top w:val="nil"/>
              <w:left w:val="nil"/>
              <w:bottom w:val="nil"/>
              <w:right w:val="nil"/>
            </w:tcBorders>
            <w:shd w:val="clear" w:color="auto" w:fill="auto"/>
            <w:noWrap/>
            <w:vAlign w:val="bottom"/>
          </w:tcPr>
          <w:p w14:paraId="23478820"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10.30±57.80</w:t>
            </w:r>
          </w:p>
        </w:tc>
        <w:tc>
          <w:tcPr>
            <w:tcW w:w="709" w:type="pct"/>
            <w:gridSpan w:val="2"/>
            <w:tcBorders>
              <w:top w:val="nil"/>
              <w:left w:val="nil"/>
              <w:bottom w:val="nil"/>
              <w:right w:val="nil"/>
            </w:tcBorders>
            <w:shd w:val="clear" w:color="auto" w:fill="auto"/>
            <w:noWrap/>
            <w:vAlign w:val="bottom"/>
          </w:tcPr>
          <w:p w14:paraId="0A3DF63D"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23.30±34.95</w:t>
            </w:r>
          </w:p>
        </w:tc>
        <w:tc>
          <w:tcPr>
            <w:tcW w:w="708" w:type="pct"/>
            <w:tcBorders>
              <w:top w:val="nil"/>
              <w:left w:val="nil"/>
              <w:bottom w:val="nil"/>
              <w:right w:val="nil"/>
            </w:tcBorders>
            <w:shd w:val="clear" w:color="auto" w:fill="auto"/>
            <w:noWrap/>
            <w:vAlign w:val="bottom"/>
          </w:tcPr>
          <w:p w14:paraId="061C47FF"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.30±54.70</w:t>
            </w:r>
          </w:p>
        </w:tc>
        <w:tc>
          <w:tcPr>
            <w:tcW w:w="708" w:type="pct"/>
            <w:gridSpan w:val="2"/>
            <w:tcBorders>
              <w:top w:val="nil"/>
              <w:left w:val="nil"/>
              <w:bottom w:val="nil"/>
              <w:right w:val="nil"/>
            </w:tcBorders>
            <w:shd w:val="clear" w:color="auto" w:fill="auto"/>
            <w:noWrap/>
            <w:vAlign w:val="bottom"/>
          </w:tcPr>
          <w:p w14:paraId="0602C035"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-25.80±41.14</w:t>
            </w:r>
          </w:p>
        </w:tc>
        <w:tc>
          <w:tcPr>
            <w:tcW w:w="709" w:type="pct"/>
            <w:tcBorders>
              <w:top w:val="nil"/>
              <w:left w:val="nil"/>
              <w:bottom w:val="nil"/>
              <w:right w:val="nil"/>
            </w:tcBorders>
            <w:shd w:val="clear" w:color="auto" w:fill="auto"/>
            <w:noWrap/>
            <w:vAlign w:val="bottom"/>
          </w:tcPr>
          <w:p w14:paraId="32945811"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-35.00±32.80</w:t>
            </w:r>
          </w:p>
        </w:tc>
      </w:tr>
      <w:tr w:rsidR="007C2129" w:rsidRPr="00087DFF" w14:paraId="04953391" w14:textId="77777777" w:rsidTr="007C2129">
        <w:trPr>
          <w:trHeight w:val="288"/>
        </w:trPr>
        <w:tc>
          <w:tcPr>
            <w:tcW w:w="748" w:type="pct"/>
            <w:tcBorders>
              <w:top w:val="nil"/>
              <w:left w:val="nil"/>
              <w:bottom w:val="nil"/>
              <w:right w:val="nil"/>
            </w:tcBorders>
            <w:shd w:val="clear" w:color="auto" w:fill="auto"/>
            <w:noWrap/>
            <w:vAlign w:val="bottom"/>
          </w:tcPr>
          <w:p w14:paraId="1CBECB2E"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Ownership Q3</w:t>
            </w:r>
          </w:p>
        </w:tc>
        <w:tc>
          <w:tcPr>
            <w:tcW w:w="708" w:type="pct"/>
            <w:gridSpan w:val="2"/>
            <w:tcBorders>
              <w:top w:val="nil"/>
              <w:left w:val="nil"/>
              <w:bottom w:val="nil"/>
              <w:right w:val="nil"/>
            </w:tcBorders>
            <w:shd w:val="clear" w:color="auto" w:fill="auto"/>
            <w:noWrap/>
            <w:vAlign w:val="bottom"/>
          </w:tcPr>
          <w:p w14:paraId="5E8558FC"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41.10±25.30</w:t>
            </w:r>
          </w:p>
        </w:tc>
        <w:tc>
          <w:tcPr>
            <w:tcW w:w="708" w:type="pct"/>
            <w:tcBorders>
              <w:top w:val="nil"/>
              <w:left w:val="nil"/>
              <w:bottom w:val="nil"/>
              <w:right w:val="nil"/>
            </w:tcBorders>
            <w:shd w:val="clear" w:color="auto" w:fill="auto"/>
            <w:noWrap/>
            <w:vAlign w:val="bottom"/>
          </w:tcPr>
          <w:p w14:paraId="3CB3A8D5"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-42.80±28.40</w:t>
            </w:r>
          </w:p>
        </w:tc>
        <w:tc>
          <w:tcPr>
            <w:tcW w:w="709" w:type="pct"/>
            <w:gridSpan w:val="2"/>
            <w:tcBorders>
              <w:top w:val="nil"/>
              <w:left w:val="nil"/>
              <w:bottom w:val="nil"/>
              <w:right w:val="nil"/>
            </w:tcBorders>
            <w:shd w:val="clear" w:color="auto" w:fill="auto"/>
            <w:noWrap/>
            <w:vAlign w:val="bottom"/>
          </w:tcPr>
          <w:p w14:paraId="5360B71D"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40.60±20.60</w:t>
            </w:r>
          </w:p>
        </w:tc>
        <w:tc>
          <w:tcPr>
            <w:tcW w:w="708" w:type="pct"/>
            <w:tcBorders>
              <w:top w:val="nil"/>
              <w:left w:val="nil"/>
              <w:bottom w:val="nil"/>
              <w:right w:val="nil"/>
            </w:tcBorders>
            <w:shd w:val="clear" w:color="auto" w:fill="auto"/>
            <w:noWrap/>
            <w:vAlign w:val="bottom"/>
          </w:tcPr>
          <w:p w14:paraId="405DB52B"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-40.31±25.60</w:t>
            </w:r>
          </w:p>
        </w:tc>
        <w:tc>
          <w:tcPr>
            <w:tcW w:w="708" w:type="pct"/>
            <w:gridSpan w:val="2"/>
            <w:tcBorders>
              <w:top w:val="nil"/>
              <w:left w:val="nil"/>
              <w:bottom w:val="nil"/>
              <w:right w:val="nil"/>
            </w:tcBorders>
            <w:shd w:val="clear" w:color="auto" w:fill="auto"/>
            <w:noWrap/>
            <w:vAlign w:val="bottom"/>
          </w:tcPr>
          <w:p w14:paraId="65FC0018"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17.35±36.85</w:t>
            </w:r>
          </w:p>
        </w:tc>
        <w:tc>
          <w:tcPr>
            <w:tcW w:w="709" w:type="pct"/>
            <w:tcBorders>
              <w:top w:val="nil"/>
              <w:left w:val="nil"/>
              <w:bottom w:val="nil"/>
              <w:right w:val="nil"/>
            </w:tcBorders>
            <w:shd w:val="clear" w:color="auto" w:fill="auto"/>
            <w:noWrap/>
            <w:vAlign w:val="bottom"/>
          </w:tcPr>
          <w:p w14:paraId="0F9C91E2"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-38.40±24.70</w:t>
            </w:r>
          </w:p>
        </w:tc>
      </w:tr>
      <w:tr w:rsidR="007C2129" w:rsidRPr="00087DFF" w14:paraId="7D9C9108" w14:textId="77777777" w:rsidTr="007C2129">
        <w:trPr>
          <w:trHeight w:val="288"/>
        </w:trPr>
        <w:tc>
          <w:tcPr>
            <w:tcW w:w="748" w:type="pct"/>
            <w:tcBorders>
              <w:top w:val="nil"/>
              <w:left w:val="nil"/>
              <w:bottom w:val="nil"/>
              <w:right w:val="nil"/>
            </w:tcBorders>
            <w:shd w:val="clear" w:color="auto" w:fill="auto"/>
            <w:noWrap/>
            <w:vAlign w:val="bottom"/>
          </w:tcPr>
          <w:p w14:paraId="6AE7F872"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Disownership (Q7-Q9)</w:t>
            </w:r>
          </w:p>
        </w:tc>
        <w:tc>
          <w:tcPr>
            <w:tcW w:w="708" w:type="pct"/>
            <w:gridSpan w:val="2"/>
            <w:tcBorders>
              <w:top w:val="nil"/>
              <w:left w:val="nil"/>
              <w:bottom w:val="nil"/>
              <w:right w:val="nil"/>
            </w:tcBorders>
            <w:shd w:val="clear" w:color="auto" w:fill="auto"/>
            <w:noWrap/>
            <w:vAlign w:val="bottom"/>
          </w:tcPr>
          <w:p w14:paraId="60332526"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-6.04±22.67</w:t>
            </w:r>
          </w:p>
        </w:tc>
        <w:tc>
          <w:tcPr>
            <w:tcW w:w="708" w:type="pct"/>
            <w:tcBorders>
              <w:top w:val="nil"/>
              <w:left w:val="nil"/>
              <w:bottom w:val="nil"/>
              <w:right w:val="nil"/>
            </w:tcBorders>
            <w:shd w:val="clear" w:color="auto" w:fill="auto"/>
            <w:noWrap/>
            <w:vAlign w:val="bottom"/>
          </w:tcPr>
          <w:p w14:paraId="252506D6"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-11.46±21.72</w:t>
            </w:r>
          </w:p>
        </w:tc>
        <w:tc>
          <w:tcPr>
            <w:tcW w:w="709" w:type="pct"/>
            <w:gridSpan w:val="2"/>
            <w:tcBorders>
              <w:top w:val="nil"/>
              <w:left w:val="nil"/>
              <w:bottom w:val="nil"/>
              <w:right w:val="nil"/>
            </w:tcBorders>
            <w:shd w:val="clear" w:color="auto" w:fill="auto"/>
            <w:noWrap/>
            <w:vAlign w:val="bottom"/>
          </w:tcPr>
          <w:p w14:paraId="18840607"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-8.85±24.06</w:t>
            </w:r>
          </w:p>
        </w:tc>
        <w:tc>
          <w:tcPr>
            <w:tcW w:w="708" w:type="pct"/>
            <w:tcBorders>
              <w:top w:val="nil"/>
              <w:left w:val="nil"/>
              <w:bottom w:val="nil"/>
              <w:right w:val="nil"/>
            </w:tcBorders>
            <w:shd w:val="clear" w:color="auto" w:fill="auto"/>
            <w:noWrap/>
            <w:vAlign w:val="bottom"/>
          </w:tcPr>
          <w:p w14:paraId="1BE7FC8F"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-7.97±34.48</w:t>
            </w:r>
          </w:p>
        </w:tc>
        <w:tc>
          <w:tcPr>
            <w:tcW w:w="708" w:type="pct"/>
            <w:gridSpan w:val="2"/>
            <w:tcBorders>
              <w:top w:val="nil"/>
              <w:left w:val="nil"/>
              <w:bottom w:val="nil"/>
              <w:right w:val="nil"/>
            </w:tcBorders>
            <w:shd w:val="clear" w:color="auto" w:fill="auto"/>
            <w:noWrap/>
            <w:vAlign w:val="bottom"/>
          </w:tcPr>
          <w:p w14:paraId="2DD0AE67"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-24.69±25.83</w:t>
            </w:r>
          </w:p>
        </w:tc>
        <w:tc>
          <w:tcPr>
            <w:tcW w:w="709" w:type="pct"/>
            <w:tcBorders>
              <w:top w:val="nil"/>
              <w:left w:val="nil"/>
              <w:bottom w:val="nil"/>
              <w:right w:val="nil"/>
            </w:tcBorders>
            <w:shd w:val="clear" w:color="auto" w:fill="auto"/>
            <w:noWrap/>
            <w:vAlign w:val="bottom"/>
          </w:tcPr>
          <w:p w14:paraId="39BF5E97"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-35.73±30.42</w:t>
            </w:r>
          </w:p>
        </w:tc>
      </w:tr>
      <w:tr w:rsidR="007C2129" w:rsidRPr="00087DFF" w14:paraId="674B22EC" w14:textId="77777777" w:rsidTr="007C2129">
        <w:trPr>
          <w:trHeight w:val="288"/>
        </w:trPr>
        <w:tc>
          <w:tcPr>
            <w:tcW w:w="748" w:type="pct"/>
            <w:tcBorders>
              <w:top w:val="nil"/>
              <w:left w:val="nil"/>
              <w:bottom w:val="nil"/>
              <w:right w:val="nil"/>
            </w:tcBorders>
            <w:shd w:val="clear" w:color="auto" w:fill="auto"/>
            <w:noWrap/>
            <w:vAlign w:val="bottom"/>
          </w:tcPr>
          <w:p w14:paraId="7A74D95D" w14:textId="77777777" w:rsidR="000C21BB" w:rsidRPr="00087DFF" w:rsidRDefault="000C21BB" w:rsidP="007C2129">
            <w:pPr>
              <w:suppressAutoHyphens w:val="0"/>
              <w:spacing w:after="0" w:line="240" w:lineRule="auto"/>
              <w:rPr>
                <w:rFonts w:ascii="Times New Roman" w:eastAsia="Times New Roman" w:hAnsi="Times New Roman" w:cs="Times New Roman"/>
                <w:b/>
                <w:color w:val="000000"/>
                <w:lang w:eastAsia="en-GB"/>
              </w:rPr>
            </w:pPr>
            <w:r w:rsidRPr="00087DFF">
              <w:rPr>
                <w:rFonts w:ascii="Times New Roman" w:eastAsia="Times New Roman" w:hAnsi="Times New Roman" w:cs="Times New Roman"/>
                <w:b/>
                <w:color w:val="000000"/>
                <w:lang w:eastAsia="en-GB"/>
              </w:rPr>
              <w:t>Control (Q4-Q6)</w:t>
            </w:r>
          </w:p>
        </w:tc>
        <w:tc>
          <w:tcPr>
            <w:tcW w:w="708" w:type="pct"/>
            <w:gridSpan w:val="2"/>
            <w:tcBorders>
              <w:top w:val="nil"/>
              <w:left w:val="nil"/>
              <w:bottom w:val="nil"/>
              <w:right w:val="nil"/>
            </w:tcBorders>
            <w:shd w:val="clear" w:color="auto" w:fill="auto"/>
            <w:noWrap/>
            <w:vAlign w:val="bottom"/>
          </w:tcPr>
          <w:p w14:paraId="6FC3AF8E"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-13.18±38.59</w:t>
            </w:r>
          </w:p>
        </w:tc>
        <w:tc>
          <w:tcPr>
            <w:tcW w:w="708" w:type="pct"/>
            <w:tcBorders>
              <w:top w:val="nil"/>
              <w:left w:val="nil"/>
              <w:bottom w:val="nil"/>
              <w:right w:val="nil"/>
            </w:tcBorders>
            <w:shd w:val="clear" w:color="auto" w:fill="auto"/>
            <w:noWrap/>
            <w:vAlign w:val="bottom"/>
          </w:tcPr>
          <w:p w14:paraId="4132D4A5"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-18.70±32.71</w:t>
            </w:r>
          </w:p>
        </w:tc>
        <w:tc>
          <w:tcPr>
            <w:tcW w:w="709" w:type="pct"/>
            <w:gridSpan w:val="2"/>
            <w:tcBorders>
              <w:top w:val="nil"/>
              <w:left w:val="nil"/>
              <w:bottom w:val="nil"/>
              <w:right w:val="nil"/>
            </w:tcBorders>
            <w:shd w:val="clear" w:color="auto" w:fill="auto"/>
            <w:noWrap/>
            <w:vAlign w:val="bottom"/>
          </w:tcPr>
          <w:p w14:paraId="561493BC"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-9.43±44.79</w:t>
            </w:r>
          </w:p>
        </w:tc>
        <w:tc>
          <w:tcPr>
            <w:tcW w:w="708" w:type="pct"/>
            <w:tcBorders>
              <w:top w:val="nil"/>
              <w:left w:val="nil"/>
              <w:bottom w:val="nil"/>
              <w:right w:val="nil"/>
            </w:tcBorders>
            <w:shd w:val="clear" w:color="auto" w:fill="auto"/>
            <w:noWrap/>
            <w:vAlign w:val="bottom"/>
          </w:tcPr>
          <w:p w14:paraId="6E746C4F"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-17.40±26.41</w:t>
            </w:r>
          </w:p>
        </w:tc>
        <w:tc>
          <w:tcPr>
            <w:tcW w:w="708" w:type="pct"/>
            <w:gridSpan w:val="2"/>
            <w:tcBorders>
              <w:top w:val="nil"/>
              <w:left w:val="nil"/>
              <w:bottom w:val="nil"/>
              <w:right w:val="nil"/>
            </w:tcBorders>
            <w:shd w:val="clear" w:color="auto" w:fill="auto"/>
            <w:noWrap/>
            <w:vAlign w:val="bottom"/>
          </w:tcPr>
          <w:p w14:paraId="036C0AD0"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-15.89±36.88</w:t>
            </w:r>
          </w:p>
        </w:tc>
        <w:tc>
          <w:tcPr>
            <w:tcW w:w="709" w:type="pct"/>
            <w:tcBorders>
              <w:top w:val="nil"/>
              <w:left w:val="nil"/>
              <w:bottom w:val="nil"/>
              <w:right w:val="nil"/>
            </w:tcBorders>
            <w:shd w:val="clear" w:color="auto" w:fill="auto"/>
            <w:noWrap/>
            <w:vAlign w:val="bottom"/>
          </w:tcPr>
          <w:p w14:paraId="62E787A1" w14:textId="77777777" w:rsidR="000C21BB" w:rsidRPr="00087DFF" w:rsidRDefault="000C21BB" w:rsidP="007C2129">
            <w:pPr>
              <w:suppressAutoHyphens w:val="0"/>
              <w:spacing w:after="0" w:line="240" w:lineRule="auto"/>
              <w:rPr>
                <w:rFonts w:ascii="Times New Roman" w:eastAsia="Times New Roman" w:hAnsi="Times New Roman" w:cs="Times New Roman"/>
                <w:color w:val="000000"/>
                <w:lang w:eastAsia="en-GB"/>
              </w:rPr>
            </w:pPr>
            <w:r w:rsidRPr="00087DFF">
              <w:rPr>
                <w:rFonts w:ascii="Times New Roman" w:eastAsia="Times New Roman" w:hAnsi="Times New Roman" w:cs="Times New Roman"/>
                <w:color w:val="000000"/>
                <w:lang w:eastAsia="en-GB"/>
              </w:rPr>
              <w:t>-21.61±45.68</w:t>
            </w:r>
          </w:p>
        </w:tc>
      </w:tr>
    </w:tbl>
    <w:p w14:paraId="591507B2" w14:textId="77777777" w:rsidR="00BA5DE9" w:rsidRPr="001711D3" w:rsidRDefault="00BA5DE9">
      <w:pPr>
        <w:rPr>
          <w:rFonts w:ascii="Times New Roman" w:hAnsi="Times New Roman" w:cs="Times New Roman"/>
          <w:b/>
          <w:sz w:val="24"/>
          <w:szCs w:val="24"/>
          <w:lang w:val="it-IT"/>
        </w:rPr>
      </w:pPr>
    </w:p>
    <w:sectPr w:rsidR="00BA5DE9" w:rsidRPr="001711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FD"/>
    <w:rsid w:val="000C21BB"/>
    <w:rsid w:val="000F228A"/>
    <w:rsid w:val="001043D0"/>
    <w:rsid w:val="001158B9"/>
    <w:rsid w:val="00152772"/>
    <w:rsid w:val="0016315B"/>
    <w:rsid w:val="00170E24"/>
    <w:rsid w:val="001711D3"/>
    <w:rsid w:val="001764B6"/>
    <w:rsid w:val="001A3592"/>
    <w:rsid w:val="002B53C0"/>
    <w:rsid w:val="002C42E5"/>
    <w:rsid w:val="003A7E68"/>
    <w:rsid w:val="0049766A"/>
    <w:rsid w:val="004F2C43"/>
    <w:rsid w:val="00553615"/>
    <w:rsid w:val="005C0486"/>
    <w:rsid w:val="006628C2"/>
    <w:rsid w:val="007C2129"/>
    <w:rsid w:val="007D09B8"/>
    <w:rsid w:val="00A735CC"/>
    <w:rsid w:val="00AF76FC"/>
    <w:rsid w:val="00BA5DE9"/>
    <w:rsid w:val="00BB04BA"/>
    <w:rsid w:val="00C2451E"/>
    <w:rsid w:val="00E41F91"/>
    <w:rsid w:val="00E90D82"/>
    <w:rsid w:val="00EC7C50"/>
    <w:rsid w:val="00FC7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9AA9A"/>
  <w15:chartTrackingRefBased/>
  <w15:docId w15:val="{370F2EA7-D89D-469D-95F7-452959F2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1D3"/>
    <w:pPr>
      <w:suppressAutoHyphens/>
      <w:spacing w:line="252" w:lineRule="auto"/>
    </w:pPr>
    <w:rPr>
      <w:rFonts w:ascii="Calibri" w:eastAsia="SimSun"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711D3"/>
    <w:rPr>
      <w:sz w:val="16"/>
      <w:szCs w:val="16"/>
    </w:rPr>
  </w:style>
  <w:style w:type="paragraph" w:styleId="CommentText">
    <w:name w:val="annotation text"/>
    <w:basedOn w:val="Normal"/>
    <w:link w:val="CommentTextChar"/>
    <w:uiPriority w:val="99"/>
    <w:unhideWhenUsed/>
    <w:rsid w:val="001711D3"/>
    <w:pPr>
      <w:spacing w:line="240" w:lineRule="auto"/>
    </w:pPr>
    <w:rPr>
      <w:sz w:val="20"/>
      <w:szCs w:val="20"/>
    </w:rPr>
  </w:style>
  <w:style w:type="character" w:customStyle="1" w:styleId="CommentTextChar">
    <w:name w:val="Comment Text Char"/>
    <w:basedOn w:val="DefaultParagraphFont"/>
    <w:link w:val="CommentText"/>
    <w:uiPriority w:val="99"/>
    <w:rsid w:val="001711D3"/>
    <w:rPr>
      <w:rFonts w:ascii="Calibri" w:eastAsia="SimSun" w:hAnsi="Calibri" w:cs="Arial"/>
      <w:sz w:val="20"/>
      <w:szCs w:val="20"/>
      <w:lang w:val="en-US"/>
    </w:rPr>
  </w:style>
  <w:style w:type="paragraph" w:styleId="BalloonText">
    <w:name w:val="Balloon Text"/>
    <w:basedOn w:val="Normal"/>
    <w:link w:val="BalloonTextChar"/>
    <w:uiPriority w:val="99"/>
    <w:semiHidden/>
    <w:unhideWhenUsed/>
    <w:rsid w:val="001711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1D3"/>
    <w:rPr>
      <w:rFonts w:ascii="Segoe UI" w:eastAsia="SimSun"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1158B9"/>
    <w:rPr>
      <w:b/>
      <w:bCs/>
    </w:rPr>
  </w:style>
  <w:style w:type="character" w:customStyle="1" w:styleId="CommentSubjectChar">
    <w:name w:val="Comment Subject Char"/>
    <w:basedOn w:val="CommentTextChar"/>
    <w:link w:val="CommentSubject"/>
    <w:uiPriority w:val="99"/>
    <w:semiHidden/>
    <w:rsid w:val="001158B9"/>
    <w:rPr>
      <w:rFonts w:ascii="Calibri" w:eastAsia="SimSun" w:hAnsi="Calibri"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1814</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Pyasik</dc:creator>
  <cp:keywords/>
  <dc:description/>
  <cp:lastModifiedBy>Maria Pyasik</cp:lastModifiedBy>
  <cp:revision>25</cp:revision>
  <dcterms:created xsi:type="dcterms:W3CDTF">2020-02-01T15:38:00Z</dcterms:created>
  <dcterms:modified xsi:type="dcterms:W3CDTF">2020-02-19T10:53:00Z</dcterms:modified>
</cp:coreProperties>
</file>