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4502" w:rsidRPr="001A175A" w:rsidRDefault="00D478C8" w:rsidP="00BF4502">
      <w:pPr>
        <w:spacing w:line="360" w:lineRule="auto"/>
        <w:rPr>
          <w:rFonts w:ascii="Times New Roman" w:hAnsi="Times New Roman" w:cs="Times New Roman"/>
        </w:rPr>
      </w:pPr>
      <w:r w:rsidRPr="008F3439">
        <w:rPr>
          <w:b/>
          <w:bCs/>
          <w:i/>
          <w:iCs/>
        </w:rPr>
        <w:t xml:space="preserve">Supplementary </w:t>
      </w:r>
      <w:r w:rsidR="00B13F37">
        <w:rPr>
          <w:b/>
          <w:bCs/>
          <w:i/>
          <w:iCs/>
        </w:rPr>
        <w:t>Figure</w:t>
      </w:r>
      <w:r w:rsidR="008F3439" w:rsidRPr="008F3439">
        <w:rPr>
          <w:b/>
          <w:bCs/>
          <w:i/>
          <w:iCs/>
        </w:rPr>
        <w:t xml:space="preserve"> </w:t>
      </w:r>
      <w:r w:rsidR="00B13F37">
        <w:rPr>
          <w:b/>
          <w:bCs/>
          <w:i/>
          <w:iCs/>
        </w:rPr>
        <w:t>S</w:t>
      </w:r>
      <w:bookmarkStart w:id="0" w:name="_GoBack"/>
      <w:bookmarkEnd w:id="0"/>
      <w:r w:rsidR="002678AC">
        <w:rPr>
          <w:b/>
          <w:bCs/>
          <w:i/>
          <w:iCs/>
        </w:rPr>
        <w:t>5</w:t>
      </w:r>
      <w:r w:rsidR="008F3439" w:rsidRPr="008F3439">
        <w:rPr>
          <w:b/>
          <w:bCs/>
          <w:i/>
          <w:iCs/>
        </w:rPr>
        <w:t>.</w:t>
      </w:r>
      <w:r w:rsidR="008F3439" w:rsidRPr="008F3439">
        <w:rPr>
          <w:i/>
          <w:iCs/>
        </w:rPr>
        <w:t xml:space="preserve"> </w:t>
      </w:r>
      <w:r w:rsidRPr="008F3439">
        <w:rPr>
          <w:i/>
          <w:iCs/>
        </w:rPr>
        <w:t xml:space="preserve"> </w:t>
      </w:r>
      <w:r w:rsidR="00BF4502">
        <w:rPr>
          <w:rFonts w:ascii="Times New Roman" w:hAnsi="Times New Roman" w:cs="Times New Roman"/>
          <w:i/>
        </w:rPr>
        <w:t>NF-L and background staining</w:t>
      </w:r>
      <w:r w:rsidR="00BF4502" w:rsidRPr="00C65C56">
        <w:rPr>
          <w:rFonts w:ascii="Times New Roman" w:hAnsi="Times New Roman" w:cs="Times New Roman"/>
          <w:i/>
        </w:rPr>
        <w:t>.</w:t>
      </w:r>
      <w:r w:rsidR="00BF4502">
        <w:rPr>
          <w:rFonts w:ascii="Times New Roman" w:hAnsi="Times New Roman" w:cs="Times New Roman"/>
        </w:rPr>
        <w:t xml:space="preserve">  </w:t>
      </w:r>
      <w:r w:rsidR="00BF4502" w:rsidRPr="00C65C56">
        <w:rPr>
          <w:rFonts w:ascii="Times New Roman" w:hAnsi="Times New Roman" w:cs="Times New Roman"/>
          <w:b/>
        </w:rPr>
        <w:t>A.</w:t>
      </w:r>
      <w:r w:rsidR="00BF4502">
        <w:rPr>
          <w:rFonts w:ascii="Times New Roman" w:hAnsi="Times New Roman" w:cs="Times New Roman"/>
        </w:rPr>
        <w:t xml:space="preserve"> Example NF-L images showing MG are mostly isolated from neurons.  Some cross-reactivity of the NF-L antibody with non-neuronal cells is also present as shown by background staining in cells lacking neuronal morphology.  </w:t>
      </w:r>
      <w:r w:rsidR="00BF4502" w:rsidRPr="0049611F">
        <w:rPr>
          <w:rFonts w:ascii="Times New Roman" w:hAnsi="Times New Roman" w:cs="Times New Roman"/>
          <w:b/>
        </w:rPr>
        <w:t>B.</w:t>
      </w:r>
      <w:r w:rsidR="00BF4502">
        <w:rPr>
          <w:rFonts w:ascii="Times New Roman" w:hAnsi="Times New Roman" w:cs="Times New Roman"/>
        </w:rPr>
        <w:t xml:space="preserve"> Control images showing the tissue background under the image collection conditions</w:t>
      </w:r>
      <w:r w:rsidR="00BF4502" w:rsidRPr="00CA1ACA">
        <w:rPr>
          <w:rFonts w:ascii="Times New Roman" w:hAnsi="Times New Roman" w:cs="Times New Roman"/>
        </w:rPr>
        <w:t xml:space="preserve"> </w:t>
      </w:r>
      <w:r w:rsidR="00BF4502">
        <w:rPr>
          <w:rFonts w:ascii="Times New Roman" w:hAnsi="Times New Roman" w:cs="Times New Roman"/>
        </w:rPr>
        <w:t>used for GFP imaging and background staining of the AlexaFluor-488 and -647 secondary antibodies used for immunofluorescence.</w:t>
      </w:r>
    </w:p>
    <w:p w:rsidR="0094796D" w:rsidRDefault="008676EC">
      <w:r>
        <w:rPr>
          <w:noProof/>
        </w:rPr>
        <w:drawing>
          <wp:inline distT="0" distB="0" distL="0" distR="0" wp14:anchorId="33D51E1E" wp14:editId="072989F1">
            <wp:extent cx="5225436" cy="6810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0043" cy="6829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79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250A" w:rsidRDefault="000E250A" w:rsidP="000E250A">
      <w:pPr>
        <w:spacing w:after="0" w:line="240" w:lineRule="auto"/>
      </w:pPr>
      <w:r>
        <w:separator/>
      </w:r>
    </w:p>
  </w:endnote>
  <w:endnote w:type="continuationSeparator" w:id="0">
    <w:p w:rsidR="000E250A" w:rsidRDefault="000E250A" w:rsidP="000E2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65FD" w:rsidRDefault="001365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65FD" w:rsidRDefault="001365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65FD" w:rsidRDefault="001365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250A" w:rsidRDefault="000E250A" w:rsidP="000E250A">
      <w:pPr>
        <w:spacing w:after="0" w:line="240" w:lineRule="auto"/>
      </w:pPr>
      <w:r>
        <w:separator/>
      </w:r>
    </w:p>
  </w:footnote>
  <w:footnote w:type="continuationSeparator" w:id="0">
    <w:p w:rsidR="000E250A" w:rsidRDefault="000E250A" w:rsidP="000E2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65FD" w:rsidRDefault="001365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250A" w:rsidRDefault="000E250A" w:rsidP="000E250A">
    <w:pPr>
      <w:spacing w:line="360" w:lineRule="auto"/>
    </w:pPr>
    <w:r w:rsidRPr="00D769C7">
      <w:rPr>
        <w:rFonts w:ascii="Times New Roman" w:hAnsi="Times New Roman" w:cs="Times New Roman"/>
        <w:sz w:val="18"/>
        <w:szCs w:val="18"/>
      </w:rPr>
      <w:t xml:space="preserve">Carroll, JA.  Groveman, BR.  Williams, K. </w:t>
    </w:r>
    <w:r w:rsidR="001365FD">
      <w:rPr>
        <w:rFonts w:ascii="Times New Roman" w:hAnsi="Times New Roman" w:cs="Times New Roman"/>
        <w:sz w:val="18"/>
        <w:szCs w:val="18"/>
      </w:rPr>
      <w:t xml:space="preserve">Moore, R.  </w:t>
    </w:r>
    <w:r w:rsidRPr="00D769C7">
      <w:rPr>
        <w:rFonts w:ascii="Times New Roman" w:hAnsi="Times New Roman" w:cs="Times New Roman"/>
        <w:sz w:val="18"/>
        <w:szCs w:val="18"/>
      </w:rPr>
      <w:t xml:space="preserve">Race, B.  Haigh CL. </w:t>
    </w:r>
    <w:bookmarkStart w:id="1" w:name="_Hlk22564049"/>
    <w:r w:rsidRPr="00D769C7">
      <w:rPr>
        <w:rFonts w:ascii="Times New Roman" w:hAnsi="Times New Roman" w:cs="Times New Roman"/>
        <w:b/>
        <w:sz w:val="18"/>
        <w:szCs w:val="18"/>
      </w:rPr>
      <w:t xml:space="preserve">Prion protein N1 cleavage peptides stimulate microglial interaction with surrounding cells 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65FD" w:rsidRDefault="001365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8C8"/>
    <w:rsid w:val="000E250A"/>
    <w:rsid w:val="001365FD"/>
    <w:rsid w:val="002678AC"/>
    <w:rsid w:val="00442BCC"/>
    <w:rsid w:val="004F348A"/>
    <w:rsid w:val="008676EC"/>
    <w:rsid w:val="008F3439"/>
    <w:rsid w:val="00B13F37"/>
    <w:rsid w:val="00BF4502"/>
    <w:rsid w:val="00CB04A2"/>
    <w:rsid w:val="00D4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B450C"/>
  <w15:chartTrackingRefBased/>
  <w15:docId w15:val="{181F5D50-1359-4D46-BBA6-BB34B7FA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25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50A"/>
  </w:style>
  <w:style w:type="paragraph" w:styleId="Footer">
    <w:name w:val="footer"/>
    <w:basedOn w:val="Normal"/>
    <w:link w:val="FooterChar"/>
    <w:uiPriority w:val="99"/>
    <w:unhideWhenUsed/>
    <w:rsid w:val="000E25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Haigh, Cathryn (NIH/NIAID) [E]</dc:creator>
  <cp:keywords/>
  <dc:description/>
  <cp:lastModifiedBy>Haigh, Cathryn (NIH/NIAID) [E]</cp:lastModifiedBy>
  <cp:revision>6</cp:revision>
  <dcterms:created xsi:type="dcterms:W3CDTF">2020-02-20T17:03:00Z</dcterms:created>
  <dcterms:modified xsi:type="dcterms:W3CDTF">2020-02-25T19:12:00Z</dcterms:modified>
</cp:coreProperties>
</file>