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rPr/>
      </w:pP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 xml:space="preserve">Table </w:t>
      </w: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>S</w:t>
      </w: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>5</w:t>
      </w: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 xml:space="preserve">. Calibration of the 2001 5-Year Predicted Survival Model with Modified Intercepts with New Cohorts from the </w:t>
      </w: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 xml:space="preserve">US </w:t>
      </w: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>CFF</w:t>
      </w: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>PR</w:t>
      </w: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>, 1993-201</w:t>
      </w: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>6</w:t>
      </w: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>.</w:t>
      </w:r>
    </w:p>
    <w:tbl>
      <w:tblPr>
        <w:tblW w:w="10800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707"/>
        <w:gridCol w:w="707"/>
        <w:gridCol w:w="707"/>
        <w:gridCol w:w="707"/>
        <w:gridCol w:w="707"/>
        <w:gridCol w:w="707"/>
        <w:gridCol w:w="706"/>
        <w:gridCol w:w="707"/>
        <w:gridCol w:w="707"/>
        <w:gridCol w:w="707"/>
        <w:gridCol w:w="707"/>
        <w:gridCol w:w="707"/>
        <w:gridCol w:w="707"/>
        <w:gridCol w:w="710"/>
      </w:tblGrid>
      <w:tr>
        <w:trPr>
          <w:trHeight w:val="256" w:hRule="atLeast"/>
        </w:trPr>
        <w:tc>
          <w:tcPr>
            <w:tcW w:w="900" w:type="dxa"/>
            <w:vMerge w:val="restart"/>
            <w:tcBorders>
              <w:top w:val="single" w:sz="10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Risk Score </w:t>
            </w:r>
            <w:r>
              <w:rPr>
                <w:b/>
                <w:bCs/>
                <w:sz w:val="20"/>
                <w:szCs w:val="20"/>
              </w:rPr>
              <w:t>Sub-</w:t>
            </w:r>
            <w:r>
              <w:rPr>
                <w:b/>
                <w:bCs/>
                <w:sz w:val="20"/>
                <w:szCs w:val="20"/>
              </w:rPr>
              <w:t>Group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900" w:type="dxa"/>
            <w:gridSpan w:val="14"/>
            <w:tcBorders>
              <w:top w:val="single" w:sz="10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Deaths</w:t>
            </w:r>
          </w:p>
        </w:tc>
      </w:tr>
      <w:tr>
        <w:trPr>
          <w:trHeight w:val="256" w:hRule="atLeast"/>
        </w:trPr>
        <w:tc>
          <w:tcPr>
            <w:tcW w:w="900" w:type="dxa"/>
            <w:vMerge w:val="continue"/>
            <w:tcBorders>
              <w:top w:val="single" w:sz="10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4" w:type="dxa"/>
            <w:gridSpan w:val="2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1993-1997 </w:t>
            </w:r>
            <w:r>
              <w:rPr>
                <w:b/>
                <w:bCs/>
                <w:sz w:val="20"/>
                <w:szCs w:val="20"/>
              </w:rPr>
              <w:t>Derivation</w:t>
            </w:r>
            <w:r>
              <w:rPr>
                <w:b/>
                <w:bCs/>
                <w:sz w:val="20"/>
                <w:szCs w:val="20"/>
              </w:rPr>
              <w:t xml:space="preserve"> Cohort, </w:t>
            </w:r>
            <w:r>
              <w:rPr>
                <w:b/>
                <w:bCs/>
                <w:sz w:val="20"/>
                <w:szCs w:val="20"/>
              </w:rPr>
              <w:t>n = 5,820</w:t>
            </w:r>
          </w:p>
        </w:tc>
        <w:tc>
          <w:tcPr>
            <w:tcW w:w="1414" w:type="dxa"/>
            <w:gridSpan w:val="2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1993-1997 </w:t>
            </w:r>
            <w:r>
              <w:rPr>
                <w:b/>
                <w:bCs/>
                <w:sz w:val="20"/>
                <w:szCs w:val="20"/>
              </w:rPr>
              <w:t>Validation</w:t>
            </w:r>
            <w:r>
              <w:rPr>
                <w:b/>
                <w:bCs/>
                <w:sz w:val="20"/>
                <w:szCs w:val="20"/>
              </w:rPr>
              <w:t xml:space="preserve"> Cohort, </w:t>
            </w:r>
            <w:r>
              <w:rPr>
                <w:b/>
                <w:bCs/>
                <w:sz w:val="20"/>
                <w:szCs w:val="20"/>
              </w:rPr>
              <w:t>n = 5,810</w:t>
            </w:r>
          </w:p>
        </w:tc>
        <w:tc>
          <w:tcPr>
            <w:tcW w:w="1414" w:type="dxa"/>
            <w:gridSpan w:val="2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New 1993-1997 Cohort, </w:t>
            </w:r>
            <w:r>
              <w:rPr>
                <w:b/>
                <w:bCs/>
                <w:sz w:val="20"/>
                <w:szCs w:val="20"/>
              </w:rPr>
              <w:t>n = 9941</w:t>
            </w:r>
          </w:p>
        </w:tc>
        <w:tc>
          <w:tcPr>
            <w:tcW w:w="1413" w:type="dxa"/>
            <w:gridSpan w:val="2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New 1993-1998 Cohort, </w:t>
            </w:r>
            <w:r>
              <w:rPr>
                <w:b/>
                <w:bCs/>
                <w:sz w:val="20"/>
                <w:szCs w:val="20"/>
              </w:rPr>
              <w:t>n = 9757</w:t>
            </w:r>
          </w:p>
        </w:tc>
        <w:tc>
          <w:tcPr>
            <w:tcW w:w="1414" w:type="dxa"/>
            <w:gridSpan w:val="2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New 199</w:t>
            </w:r>
            <w:r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-200</w:t>
            </w:r>
            <w:r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 xml:space="preserve"> Cohort, </w:t>
            </w:r>
            <w:r>
              <w:rPr>
                <w:b/>
                <w:bCs/>
                <w:sz w:val="20"/>
                <w:szCs w:val="20"/>
              </w:rPr>
              <w:t>n = 13073</w:t>
            </w:r>
          </w:p>
        </w:tc>
        <w:tc>
          <w:tcPr>
            <w:tcW w:w="1414" w:type="dxa"/>
            <w:gridSpan w:val="2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New 200</w:t>
            </w:r>
            <w:r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-20</w:t>
            </w:r>
            <w:r>
              <w:rPr>
                <w:b/>
                <w:bCs/>
                <w:sz w:val="20"/>
                <w:szCs w:val="20"/>
              </w:rPr>
              <w:t>10</w:t>
            </w:r>
            <w:r>
              <w:rPr>
                <w:b/>
                <w:bCs/>
                <w:sz w:val="20"/>
                <w:szCs w:val="20"/>
              </w:rPr>
              <w:t xml:space="preserve"> Cohort, </w:t>
            </w:r>
            <w:r>
              <w:rPr>
                <w:b/>
                <w:bCs/>
                <w:sz w:val="20"/>
                <w:szCs w:val="20"/>
              </w:rPr>
              <w:t>n = 15043</w:t>
            </w:r>
          </w:p>
        </w:tc>
        <w:tc>
          <w:tcPr>
            <w:tcW w:w="1417" w:type="dxa"/>
            <w:gridSpan w:val="2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New 201</w:t>
            </w:r>
            <w:r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-201</w:t>
            </w:r>
            <w:r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sz w:val="20"/>
                <w:szCs w:val="20"/>
              </w:rPr>
              <w:t xml:space="preserve"> Cohort, </w:t>
            </w:r>
            <w:r>
              <w:rPr>
                <w:b/>
                <w:bCs/>
                <w:sz w:val="20"/>
                <w:szCs w:val="20"/>
              </w:rPr>
              <w:t>n = 17635</w:t>
            </w:r>
          </w:p>
        </w:tc>
      </w:tr>
      <w:tr>
        <w:trPr>
          <w:trHeight w:val="256" w:hRule="atLeast"/>
        </w:trPr>
        <w:tc>
          <w:tcPr>
            <w:tcW w:w="900" w:type="dxa"/>
            <w:vMerge w:val="continue"/>
            <w:tcBorders>
              <w:top w:val="single" w:sz="10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6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10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716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</w:t>
            </w:r>
          </w:p>
        </w:tc>
      </w:tr>
      <w:tr>
        <w:trPr>
          <w:trHeight w:val="256" w:hRule="atLeast"/>
        </w:trPr>
        <w:tc>
          <w:tcPr>
            <w:tcW w:w="900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Totals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758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1158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1158</w:t>
            </w:r>
          </w:p>
        </w:tc>
        <w:tc>
          <w:tcPr>
            <w:tcW w:w="706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1252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1253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1311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1311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1110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1110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1267</w:t>
            </w:r>
          </w:p>
        </w:tc>
        <w:tc>
          <w:tcPr>
            <w:tcW w:w="710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1266</w:t>
            </w:r>
          </w:p>
        </w:tc>
      </w:tr>
      <w:tr>
        <w:trPr>
          <w:trHeight w:val="256" w:hRule="atLeast"/>
        </w:trPr>
        <w:tc>
          <w:tcPr>
            <w:tcW w:w="900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Hosmer-Lemeshow Test, </w:t>
            </w:r>
            <w:r>
              <w:rPr>
                <w:sz w:val="20"/>
                <w:szCs w:val="20"/>
              </w:rPr>
              <w:t>χ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i/>
                <w:iCs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14" w:type="dxa"/>
            <w:gridSpan w:val="2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9.21</w:t>
            </w:r>
            <w:r>
              <w:rPr>
                <w:i w:val="false"/>
                <w:iCs w:val="false"/>
                <w:sz w:val="20"/>
                <w:szCs w:val="20"/>
              </w:rPr>
              <w:t xml:space="preserve"> (0.32)</w:t>
            </w:r>
          </w:p>
        </w:tc>
        <w:tc>
          <w:tcPr>
            <w:tcW w:w="1414" w:type="dxa"/>
            <w:gridSpan w:val="2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 xml:space="preserve">10.996 (0.202) </w:t>
            </w:r>
          </w:p>
        </w:tc>
        <w:tc>
          <w:tcPr>
            <w:tcW w:w="1414" w:type="dxa"/>
            <w:gridSpan w:val="2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 xml:space="preserve">23.95 (0.002) </w:t>
            </w:r>
          </w:p>
        </w:tc>
        <w:tc>
          <w:tcPr>
            <w:tcW w:w="1413" w:type="dxa"/>
            <w:gridSpan w:val="2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 xml:space="preserve">21.786 (0.005) </w:t>
            </w:r>
          </w:p>
        </w:tc>
        <w:tc>
          <w:tcPr>
            <w:tcW w:w="1414" w:type="dxa"/>
            <w:gridSpan w:val="2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 xml:space="preserve">18.042 (0.021) </w:t>
            </w:r>
          </w:p>
        </w:tc>
        <w:tc>
          <w:tcPr>
            <w:tcW w:w="1414" w:type="dxa"/>
            <w:gridSpan w:val="2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 xml:space="preserve">10.18 (0.253) </w:t>
            </w:r>
          </w:p>
        </w:tc>
        <w:tc>
          <w:tcPr>
            <w:tcW w:w="1417" w:type="dxa"/>
            <w:gridSpan w:val="2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6.558 (0.585)</w:t>
            </w:r>
          </w:p>
        </w:tc>
      </w:tr>
    </w:tbl>
    <w:p>
      <w:pPr>
        <w:pStyle w:val="Normal"/>
        <w:tabs>
          <w:tab w:val="clear" w:pos="720"/>
        </w:tabs>
        <w:spacing w:lineRule="auto" w:line="240"/>
        <w:jc w:val="left"/>
        <w:rPr>
          <w:b/>
          <w:b/>
          <w:bCs/>
          <w:sz w:val="20"/>
          <w:szCs w:val="20"/>
        </w:rPr>
      </w:pPr>
      <w:r>
        <w:rPr>
          <w:b w:val="false"/>
          <w:bCs w:val="false"/>
          <w:sz w:val="20"/>
          <w:szCs w:val="20"/>
          <w:vertAlign w:val="superscript"/>
        </w:rPr>
        <w:t>*</w:t>
      </w:r>
      <w:r>
        <w:rPr>
          <w:b/>
          <w:bCs/>
          <w:sz w:val="20"/>
          <w:szCs w:val="20"/>
          <w:vertAlign w:val="superscript"/>
        </w:rPr>
        <w:t xml:space="preserve"> 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Patients in each cohort were divided into 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>tenths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 for Hosmer-Lemeshow testing. The range of predictions within 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the 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>sub-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>groups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 differed slightly between cohorts. </w:t>
      </w:r>
    </w:p>
    <w:p>
      <w:pPr>
        <w:pStyle w:val="Normal"/>
        <w:bidi w:val="0"/>
        <w:spacing w:lineRule="auto" w:line="240" w:before="0" w:after="0"/>
        <w:rPr>
          <w:rFonts w:ascii="Times New Roman" w:hAnsi="Times New Roman" w:eastAsia="Liberation Serif" w:cs="Liberation Serif"/>
          <w:b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Liberation Serif" w:cs="Liberation Serif" w:ascii="Liberation Serif" w:hAnsi="Liberation Serif"/>
          <w:b w:val="false"/>
          <w:bCs w:val="false"/>
          <w:i w:val="false"/>
          <w:iCs w:val="false"/>
          <w:sz w:val="20"/>
          <w:szCs w:val="20"/>
          <w:vertAlign w:val="superscript"/>
        </w:rPr>
        <w:t>†</w:t>
      </w:r>
      <w:r>
        <w:rPr>
          <w:b w:val="false"/>
          <w:bCs w:val="false"/>
          <w:i w:val="false"/>
          <w:iCs w:val="false"/>
          <w:sz w:val="20"/>
          <w:szCs w:val="20"/>
          <w:vertAlign w:val="superscript"/>
        </w:rPr>
        <w:t xml:space="preserve"> </w:t>
      </w:r>
      <w:r>
        <w:rPr>
          <w:b w:val="false"/>
          <w:bCs w:val="false"/>
          <w:i w:val="false"/>
          <w:iCs w:val="false"/>
          <w:position w:val="0"/>
          <w:sz w:val="20"/>
          <w:sz w:val="20"/>
          <w:szCs w:val="20"/>
          <w:vertAlign w:val="baseline"/>
        </w:rPr>
        <w:t xml:space="preserve">Abbreviations: </w:t>
      </w:r>
      <w:r>
        <w:rPr>
          <w:b w:val="false"/>
          <w:bCs w:val="false"/>
          <w:i w:val="false"/>
          <w:iCs w:val="false"/>
          <w:position w:val="0"/>
          <w:sz w:val="20"/>
          <w:sz w:val="20"/>
          <w:szCs w:val="20"/>
          <w:vertAlign w:val="baseline"/>
        </w:rPr>
        <w:t>Exp</w:t>
      </w:r>
      <w:r>
        <w:rPr>
          <w:b w:val="false"/>
          <w:bCs w:val="false"/>
          <w:i w:val="false"/>
          <w:iCs w:val="false"/>
          <w:position w:val="0"/>
          <w:sz w:val="20"/>
          <w:sz w:val="20"/>
          <w:szCs w:val="20"/>
          <w:vertAlign w:val="baseline"/>
        </w:rPr>
        <w:t>=</w:t>
      </w:r>
      <w:r>
        <w:rPr>
          <w:b w:val="false"/>
          <w:bCs w:val="false"/>
          <w:i w:val="false"/>
          <w:iCs w:val="false"/>
          <w:position w:val="0"/>
          <w:sz w:val="20"/>
          <w:sz w:val="20"/>
          <w:szCs w:val="20"/>
          <w:vertAlign w:val="baseline"/>
        </w:rPr>
        <w:t>Expected</w:t>
      </w:r>
      <w:r>
        <w:rPr>
          <w:b w:val="false"/>
          <w:bCs w:val="false"/>
          <w:i w:val="false"/>
          <w:iCs w:val="false"/>
          <w:position w:val="0"/>
          <w:sz w:val="20"/>
          <w:sz w:val="20"/>
          <w:szCs w:val="20"/>
          <w:vertAlign w:val="baseline"/>
        </w:rPr>
        <w:t xml:space="preserve"> </w:t>
      </w:r>
      <w:r>
        <w:rPr>
          <w:b w:val="false"/>
          <w:bCs w:val="false"/>
          <w:i w:val="false"/>
          <w:iCs w:val="false"/>
          <w:position w:val="0"/>
          <w:sz w:val="20"/>
          <w:sz w:val="20"/>
          <w:szCs w:val="20"/>
          <w:vertAlign w:val="baseline"/>
        </w:rPr>
        <w:t xml:space="preserve">number of </w:t>
      </w:r>
      <w:r>
        <w:rPr>
          <w:b w:val="false"/>
          <w:bCs w:val="false"/>
          <w:i w:val="false"/>
          <w:iCs w:val="false"/>
          <w:position w:val="0"/>
          <w:sz w:val="20"/>
          <w:sz w:val="20"/>
          <w:szCs w:val="20"/>
          <w:vertAlign w:val="baseline"/>
        </w:rPr>
        <w:t>d</w:t>
      </w:r>
      <w:r>
        <w:rPr>
          <w:b w:val="false"/>
          <w:bCs w:val="false"/>
          <w:i w:val="false"/>
          <w:iCs w:val="false"/>
          <w:position w:val="0"/>
          <w:sz w:val="20"/>
          <w:sz w:val="20"/>
          <w:szCs w:val="20"/>
          <w:vertAlign w:val="baseline"/>
        </w:rPr>
        <w:t xml:space="preserve">eaths </w:t>
      </w:r>
      <w:r>
        <w:rPr>
          <w:b w:val="false"/>
          <w:bCs w:val="false"/>
          <w:i w:val="false"/>
          <w:iCs w:val="false"/>
          <w:position w:val="0"/>
          <w:sz w:val="20"/>
          <w:sz w:val="20"/>
          <w:szCs w:val="20"/>
          <w:vertAlign w:val="baseline"/>
        </w:rPr>
        <w:t xml:space="preserve">within 5 years </w:t>
      </w:r>
      <w:r>
        <w:rPr>
          <w:b w:val="false"/>
          <w:bCs w:val="false"/>
          <w:i w:val="false"/>
          <w:iCs w:val="false"/>
          <w:position w:val="0"/>
          <w:sz w:val="20"/>
          <w:sz w:val="20"/>
          <w:szCs w:val="20"/>
          <w:vertAlign w:val="baseline"/>
        </w:rPr>
        <w:t xml:space="preserve">rounded to the nearest integer. Obs=Number of deaths observed </w:t>
      </w:r>
      <w:r>
        <w:rPr>
          <w:b w:val="false"/>
          <w:bCs w:val="false"/>
          <w:i w:val="false"/>
          <w:iCs w:val="false"/>
          <w:position w:val="0"/>
          <w:sz w:val="20"/>
          <w:sz w:val="20"/>
          <w:szCs w:val="20"/>
          <w:vertAlign w:val="baseline"/>
        </w:rPr>
        <w:t>within 5 years</w:t>
      </w:r>
      <w:r>
        <w:rPr>
          <w:b w:val="false"/>
          <w:bCs w:val="false"/>
          <w:i w:val="false"/>
          <w:iCs w:val="false"/>
          <w:position w:val="0"/>
          <w:sz w:val="20"/>
          <w:sz w:val="20"/>
          <w:szCs w:val="20"/>
          <w:vertAlign w:val="baseline"/>
        </w:rPr>
        <w:t xml:space="preserve"> for the cohort.</w:t>
      </w:r>
    </w:p>
    <w:sectPr>
      <w:type w:val="nextPage"/>
      <w:pgSz w:w="12240" w:h="15840"/>
      <w:pgMar w:left="720" w:right="720" w:header="0" w:top="720" w:footer="0" w:bottom="720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roman"/>
    <w:pitch w:val="default"/>
  </w:font>
  <w:font w:name="Liberation Serif">
    <w:altName w:val="Times New Roman"/>
    <w:charset w:val="00"/>
    <w:family w:val="roman"/>
    <w:pitch w:val="default"/>
  </w:font>
</w:fonts>
</file>

<file path=word/settings.xml><?xml version="1.0" encoding="utf-8"?>
<w:settings xmlns:w="http://schemas.openxmlformats.org/wordprocessingml/2006/main">
  <w:zoom w:val="bestFit" w:percent="216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iberation Sans" w:cs="Liberation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Times New Roman" w:hAnsi="Times New Roman" w:eastAsia="Liberation Sans" w:cs="Liberation Sans"/>
      <w:color w:val="auto"/>
      <w:kern w:val="2"/>
      <w:sz w:val="24"/>
      <w:szCs w:val="24"/>
      <w:lang w:val="en-US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Times New Roman" w:hAnsi="Times New Roman" w:eastAsia="Liberation Sans" w:cs="Liberation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Times New Roman" w:hAnsi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1227</TotalTime>
  <Application>LibreOffice/6.3.3.2$Windows_X86_64 LibreOffice_project/a64200df03143b798afd1ec74a12ab50359878ed</Application>
  <Pages>1</Pages>
  <Words>311</Words>
  <Characters>1122</Characters>
  <CharactersWithSpaces>1240</CharactersWithSpaces>
  <Paragraphs>199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2018-11-05T16:23:26Z</dcterms:created>
  <dc:creator>T Liou</dc:creator>
  <dc:description/>
  <dc:language>en-US</dc:language>
  <cp:lastModifiedBy/>
  <cp:lastPrinted>2019-07-22T05:16:11Z</cp:lastPrinted>
  <dcterms:modified xsi:type="dcterms:W3CDTF">2020-03-30T01:08:07Z</dcterms:modified>
  <cp:revision>40</cp:revision>
  <dc:subject/>
  <dc:title/>
</cp:coreProperties>
</file>