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28A1" w:rsidRDefault="00CA6C31">
      <w:pPr>
        <w:spacing w:line="480" w:lineRule="auto"/>
        <w:rPr>
          <w:b/>
          <w:bCs/>
        </w:rPr>
      </w:pPr>
      <w:r>
        <w:rPr>
          <w:b/>
          <w:bCs/>
        </w:rPr>
        <w:t xml:space="preserve">Supplemental Online Materials </w:t>
      </w:r>
    </w:p>
    <w:p w:rsidR="00D528A1" w:rsidRDefault="00CA6C31">
      <w:pPr>
        <w:spacing w:line="480" w:lineRule="auto"/>
        <w:rPr>
          <w:b/>
          <w:bCs/>
        </w:rPr>
      </w:pPr>
      <w:r>
        <w:rPr>
          <w:b/>
          <w:bCs/>
        </w:rPr>
        <w:t>Evaluation of a five-year predicted survival model for cystic fibrosis in later time periods</w:t>
      </w:r>
      <w:r>
        <w:rPr>
          <w:b/>
          <w:bCs/>
        </w:rPr>
        <w:tab/>
      </w:r>
      <w:r>
        <w:rPr>
          <w:b/>
          <w:bCs/>
        </w:rPr>
        <w:tab/>
      </w:r>
    </w:p>
    <w:p w:rsidR="00D528A1" w:rsidRDefault="00CA6C31">
      <w:pPr>
        <w:suppressLineNumbers/>
      </w:pPr>
      <w:r>
        <w:t>Theodore G. Liou</w:t>
      </w:r>
    </w:p>
    <w:p w:rsidR="00D528A1" w:rsidRDefault="00CA6C31">
      <w:pPr>
        <w:suppressLineNumbers/>
      </w:pPr>
      <w:r>
        <w:t xml:space="preserve">Christiana </w:t>
      </w:r>
      <w:proofErr w:type="spellStart"/>
      <w:r>
        <w:t>Kartsonaki</w:t>
      </w:r>
      <w:proofErr w:type="spellEnd"/>
    </w:p>
    <w:p w:rsidR="00D528A1" w:rsidRDefault="00CA6C31">
      <w:pPr>
        <w:suppressLineNumbers/>
      </w:pPr>
      <w:r>
        <w:t>Ruth H. Keogh</w:t>
      </w:r>
    </w:p>
    <w:p w:rsidR="00D528A1" w:rsidRDefault="00CA6C31">
      <w:pPr>
        <w:spacing w:line="480" w:lineRule="auto"/>
      </w:pPr>
      <w:r>
        <w:t>Frederick R. Adler</w:t>
      </w:r>
    </w:p>
    <w:p w:rsidR="00422FA5" w:rsidRDefault="00422FA5">
      <w:pPr>
        <w:spacing w:line="480" w:lineRule="auto"/>
        <w:rPr>
          <w:b/>
          <w:bCs/>
        </w:rPr>
      </w:pPr>
    </w:p>
    <w:p w:rsidR="00D528A1" w:rsidRDefault="00CA6C31">
      <w:pPr>
        <w:spacing w:line="480" w:lineRule="auto"/>
        <w:rPr>
          <w:b/>
          <w:bCs/>
        </w:rPr>
      </w:pPr>
      <w:r>
        <w:rPr>
          <w:b/>
          <w:bCs/>
        </w:rPr>
        <w:t>Appendix Figure Legends</w:t>
      </w:r>
    </w:p>
    <w:p w:rsidR="00D528A1" w:rsidRDefault="00CA6C31">
      <w:pPr>
        <w:spacing w:line="480" w:lineRule="auto"/>
      </w:pPr>
      <w:r>
        <w:rPr>
          <w:b/>
          <w:bCs/>
        </w:rPr>
        <w:t xml:space="preserve">Figure S1. </w:t>
      </w:r>
      <w:r>
        <w:rPr>
          <w:b/>
          <w:bCs/>
        </w:rPr>
        <w:t xml:space="preserve">Identification and Correction using Generalized Additive Models (GAM) of Incorrect Height, Weight and FEV1 Values from the US CFFPR, 1993-2016. </w:t>
      </w:r>
      <w:r>
        <w:t>We show examples of using recorded (</w:t>
      </w:r>
      <w:r>
        <w:rPr>
          <w:b/>
          <w:bCs/>
        </w:rPr>
        <w:t>a</w:t>
      </w:r>
      <w:r>
        <w:t>) Height, (</w:t>
      </w:r>
      <w:r>
        <w:rPr>
          <w:b/>
          <w:bCs/>
        </w:rPr>
        <w:t>b</w:t>
      </w:r>
      <w:r>
        <w:t>) Weight and (</w:t>
      </w:r>
      <w:r>
        <w:rPr>
          <w:b/>
          <w:bCs/>
        </w:rPr>
        <w:t>c</w:t>
      </w:r>
      <w:r>
        <w:t>)</w:t>
      </w:r>
      <w:r>
        <w:rPr>
          <w:b/>
          <w:bCs/>
        </w:rPr>
        <w:t xml:space="preserve"> </w:t>
      </w:r>
      <w:r>
        <w:t>FEV</w:t>
      </w:r>
      <w:r>
        <w:rPr>
          <w:vertAlign w:val="subscript"/>
        </w:rPr>
        <w:t>1</w:t>
      </w:r>
      <w:r>
        <w:t xml:space="preserve"> (including a transplant-related increase </w:t>
      </w:r>
      <w:r>
        <w:t xml:space="preserve">at age 42) patient-by-patient with age as the independent variable (black circles) to identify individual values that </w:t>
      </w:r>
      <w:proofErr w:type="gramStart"/>
      <w:r>
        <w:t>had</w:t>
      </w:r>
      <w:proofErr w:type="gramEnd"/>
      <w:r>
        <w:t xml:space="preserve"> high absolute value </w:t>
      </w:r>
      <w:r>
        <w:rPr>
          <w:i/>
          <w:iCs/>
        </w:rPr>
        <w:t>z</w:t>
      </w:r>
      <w:r>
        <w:t>-scores for residuals (Utah red dots) for replacement (green dots and arrows) with GAM fitted values (orange). Da</w:t>
      </w:r>
      <w:r>
        <w:t>ta shown are based on patterns seen in the CFFPR but do not match any specific patients.</w:t>
      </w:r>
    </w:p>
    <w:p w:rsidR="00D528A1" w:rsidRDefault="00D528A1">
      <w:pPr>
        <w:spacing w:line="480" w:lineRule="auto"/>
      </w:pPr>
    </w:p>
    <w:p w:rsidR="00D528A1" w:rsidRDefault="00CA6C31">
      <w:pPr>
        <w:spacing w:line="480" w:lineRule="auto"/>
      </w:pPr>
      <w:r>
        <w:rPr>
          <w:b/>
          <w:bCs/>
        </w:rPr>
        <w:t xml:space="preserve">Figure S2. </w:t>
      </w:r>
      <w:r>
        <w:rPr>
          <w:b/>
          <w:bCs/>
        </w:rPr>
        <w:t>Histograms of Prognostic Risk Scores and Predicted Probability of Death for Each Study Cohort from the US CFFPR, 1993-2016.</w:t>
      </w:r>
      <w:r>
        <w:t xml:space="preserve"> The distribution of prognostic </w:t>
      </w:r>
      <w:r>
        <w:t>risk scores and predicted probabilities of death (insets) have slightly changed over time from the (</w:t>
      </w:r>
      <w:r>
        <w:rPr>
          <w:b/>
          <w:bCs/>
        </w:rPr>
        <w:t>a</w:t>
      </w:r>
      <w:r>
        <w:t>) original 1993-1997 study cohort through later study cohorts (</w:t>
      </w:r>
      <w:r w:rsidR="00422FA5">
        <w:rPr>
          <w:b/>
          <w:bCs/>
        </w:rPr>
        <w:t>b</w:t>
      </w:r>
      <w:bookmarkStart w:id="0" w:name="_GoBack"/>
      <w:bookmarkEnd w:id="0"/>
      <w:r>
        <w:rPr>
          <w:b/>
          <w:bCs/>
        </w:rPr>
        <w:t>-f</w:t>
      </w:r>
      <w:r>
        <w:t xml:space="preserve">). </w:t>
      </w:r>
    </w:p>
    <w:p w:rsidR="00D528A1" w:rsidRDefault="00D528A1">
      <w:pPr>
        <w:spacing w:line="480" w:lineRule="auto"/>
      </w:pPr>
    </w:p>
    <w:p w:rsidR="00D528A1" w:rsidRDefault="00CA6C31">
      <w:pPr>
        <w:spacing w:line="480" w:lineRule="auto"/>
        <w:rPr>
          <w:b/>
          <w:bCs/>
        </w:rPr>
      </w:pPr>
      <w:r>
        <w:rPr>
          <w:b/>
          <w:bCs/>
        </w:rPr>
        <w:t xml:space="preserve">Figure S3. Histograms of Patients Lost to </w:t>
      </w:r>
      <w:proofErr w:type="spellStart"/>
      <w:r>
        <w:rPr>
          <w:b/>
          <w:bCs/>
        </w:rPr>
        <w:t>Followup</w:t>
      </w:r>
      <w:proofErr w:type="spellEnd"/>
      <w:r>
        <w:rPr>
          <w:b/>
          <w:bCs/>
        </w:rPr>
        <w:t xml:space="preserve"> during Each Study Cohort from the</w:t>
      </w:r>
      <w:r>
        <w:rPr>
          <w:b/>
          <w:bCs/>
        </w:rPr>
        <w:t xml:space="preserve"> US CFFPR, 1993-2016. </w:t>
      </w:r>
      <w:r>
        <w:t>The distribution of patients lost to follow up during 5-year follow up is shown for 6 month intervals for each cohort. The largest bars in each plot show the patients who completed follow up or had recorded deaths during each cohort p</w:t>
      </w:r>
      <w:r>
        <w:t>eriod.</w:t>
      </w:r>
    </w:p>
    <w:p w:rsidR="00D528A1" w:rsidRDefault="00D528A1">
      <w:pPr>
        <w:spacing w:line="480" w:lineRule="auto"/>
      </w:pPr>
    </w:p>
    <w:p w:rsidR="00D528A1" w:rsidRDefault="00CA6C31">
      <w:pPr>
        <w:spacing w:line="480" w:lineRule="auto"/>
      </w:pPr>
      <w:r>
        <w:rPr>
          <w:b/>
          <w:bCs/>
        </w:rPr>
        <w:t xml:space="preserve">Figure S4. Receiver Operator Curves for application of the Original 5-Year Predicted Survival Model to Each Study Cohort from the US CFFPR, 1993-2016. </w:t>
      </w:r>
      <w:r>
        <w:t>Plots of sensitivity and specificity show discrimination performance of the original 5-year predi</w:t>
      </w:r>
      <w:r>
        <w:t>cted survival model when applied to study cohorts: (</w:t>
      </w:r>
      <w:r>
        <w:rPr>
          <w:b/>
          <w:bCs/>
        </w:rPr>
        <w:t>a</w:t>
      </w:r>
      <w:r>
        <w:t>)</w:t>
      </w:r>
      <w:r>
        <w:rPr>
          <w:b/>
          <w:bCs/>
        </w:rPr>
        <w:t xml:space="preserve"> </w:t>
      </w:r>
      <w:r>
        <w:t>Original 1993-1997, (</w:t>
      </w:r>
      <w:r>
        <w:rPr>
          <w:b/>
          <w:bCs/>
        </w:rPr>
        <w:t>b</w:t>
      </w:r>
      <w:r>
        <w:t>)</w:t>
      </w:r>
      <w:r>
        <w:rPr>
          <w:b/>
          <w:bCs/>
        </w:rPr>
        <w:t xml:space="preserve"> </w:t>
      </w:r>
      <w:r>
        <w:t>New 1993-1997, (</w:t>
      </w:r>
      <w:r>
        <w:rPr>
          <w:b/>
          <w:bCs/>
        </w:rPr>
        <w:t>c</w:t>
      </w:r>
      <w:r>
        <w:t>) 1993-1998, (</w:t>
      </w:r>
      <w:r>
        <w:rPr>
          <w:b/>
          <w:bCs/>
        </w:rPr>
        <w:t>d</w:t>
      </w:r>
      <w:r>
        <w:t>)</w:t>
      </w:r>
      <w:r>
        <w:rPr>
          <w:b/>
          <w:bCs/>
        </w:rPr>
        <w:t xml:space="preserve"> </w:t>
      </w:r>
      <w:r>
        <w:t>1999-2004, (</w:t>
      </w:r>
      <w:r>
        <w:rPr>
          <w:b/>
          <w:bCs/>
        </w:rPr>
        <w:t>e</w:t>
      </w:r>
      <w:r>
        <w:t xml:space="preserve">) 2005-2010, </w:t>
      </w:r>
      <w:proofErr w:type="gramStart"/>
      <w:r>
        <w:t>(</w:t>
      </w:r>
      <w:r>
        <w:rPr>
          <w:b/>
          <w:bCs/>
        </w:rPr>
        <w:t>f</w:t>
      </w:r>
      <w:r>
        <w:t>) 2011-2016</w:t>
      </w:r>
      <w:proofErr w:type="gramEnd"/>
      <w:r>
        <w:t>. Colors denote potential cutoff values identifying sensitivity and specificity for any chosen predictio</w:t>
      </w:r>
      <w:r>
        <w:t xml:space="preserve">n value. Insets show density plots of bootstrapped determinations of area under the curve or C-Index for each receiver operator curve. </w:t>
      </w:r>
      <w:r>
        <w:tab/>
      </w:r>
      <w:r>
        <w:tab/>
      </w:r>
      <w:r>
        <w:tab/>
      </w:r>
    </w:p>
    <w:p w:rsidR="00D528A1" w:rsidRDefault="00D528A1">
      <w:pPr>
        <w:spacing w:line="480" w:lineRule="auto"/>
      </w:pPr>
    </w:p>
    <w:p w:rsidR="00D528A1" w:rsidRDefault="00CA6C31">
      <w:pPr>
        <w:spacing w:line="480" w:lineRule="auto"/>
      </w:pPr>
      <w:r>
        <w:rPr>
          <w:b/>
          <w:bCs/>
        </w:rPr>
        <w:t>Figure S5. Superimposed Receiver Operator Curves for Applications of the Original 5-Year Predicted Survival Model to</w:t>
      </w:r>
      <w:r>
        <w:rPr>
          <w:b/>
          <w:bCs/>
        </w:rPr>
        <w:t xml:space="preserve"> Each Study Cohort from the US CFFPR, 1993-2016. </w:t>
      </w:r>
      <w:r>
        <w:t>A plot of sensitivity and specificity shows discrimination performance of the original 5-year predicted survival model when applied to study cohorts allowing direct comparison with the performance of the ori</w:t>
      </w:r>
      <w:r>
        <w:t xml:space="preserve">ginal validation cohort from 1993-1997. Colors denote potential cutoff values identifying sensitivity and specificity for any chosen prediction value. </w:t>
      </w:r>
    </w:p>
    <w:p w:rsidR="00D528A1" w:rsidRDefault="00D528A1">
      <w:pPr>
        <w:spacing w:line="480" w:lineRule="auto"/>
      </w:pPr>
    </w:p>
    <w:p w:rsidR="00D528A1" w:rsidRDefault="00D528A1">
      <w:pPr>
        <w:spacing w:line="480" w:lineRule="auto"/>
      </w:pPr>
    </w:p>
    <w:sectPr w:rsidR="00D528A1">
      <w:pgSz w:w="12240" w:h="15840"/>
      <w:pgMar w:top="1134" w:right="1134" w:bottom="1134" w:left="1134" w:header="0" w:footer="0" w:gutter="0"/>
      <w:cols w:space="720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2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D528A1"/>
    <w:rsid w:val="00422FA5"/>
    <w:rsid w:val="00CA6C31"/>
    <w:rsid w:val="00D52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5CD2D9"/>
  <w15:docId w15:val="{ADDC046F-B541-4DAE-9D2C-8166AADD1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Liberation Sans" w:hAnsi="Times New Roman" w:cs="Liberation Sans"/>
        <w:kern w:val="2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1031</TotalTime>
  <Pages>1</Pages>
  <Words>401</Words>
  <Characters>2291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UofU Department of Internal Medicine</Company>
  <LinksUpToDate>false</LinksUpToDate>
  <CharactersWithSpaces>2687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 Liou</dc:creator>
  <dc:description/>
  <cp:lastModifiedBy>u0035294@umail.utah.edu</cp:lastModifiedBy>
  <cp:revision>24</cp:revision>
  <dcterms:created xsi:type="dcterms:W3CDTF">2018-11-07T11:18:00Z</dcterms:created>
  <dcterms:modified xsi:type="dcterms:W3CDTF">2020-03-30T05:06:00Z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zotero-version="5.0.57"&gt;&lt;session id="YYFS1tKs"/&gt;&lt;style id="" hasBibliography="0" bibliographyStyleHasBeenSet="0"/&gt;&lt;prefs/&gt;&lt;/data&gt;</vt:lpwstr>
  </property>
</Properties>
</file>