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b/>
          <w:bCs/>
        </w:rPr>
        <w:t xml:space="preserve">Table S1: Missingness of Data </w:t>
      </w:r>
      <w:r>
        <w:rPr>
          <w:b/>
          <w:bCs/>
        </w:rPr>
        <w:t xml:space="preserve">and Censoring </w:t>
      </w:r>
      <w:r>
        <w:rPr>
          <w:b/>
          <w:bCs/>
        </w:rPr>
        <w:t xml:space="preserve">for Modeling of 5-Year Predicted Survival </w:t>
      </w:r>
      <w:r>
        <w:rPr>
          <w:b/>
          <w:bCs/>
        </w:rPr>
        <w:t xml:space="preserve">by </w:t>
      </w:r>
      <w:r>
        <w:rPr>
          <w:b/>
          <w:bCs/>
        </w:rPr>
        <w:t>Cohorts from the</w:t>
      </w:r>
      <w:r>
        <w:rPr>
          <w:b/>
          <w:bCs/>
        </w:rPr>
        <w:t xml:space="preserve"> US CFF</w:t>
      </w:r>
      <w:r>
        <w:rPr>
          <w:b/>
          <w:bCs/>
        </w:rPr>
        <w:t>PR</w:t>
      </w:r>
      <w:r>
        <w:rPr>
          <w:b/>
          <w:bCs/>
        </w:rPr>
        <w:t xml:space="preserve">, </w:t>
      </w:r>
      <w:r>
        <w:rPr>
          <w:b/>
          <w:bCs/>
        </w:rPr>
        <w:t>1993-2016</w:t>
      </w:r>
      <w:r>
        <w:rPr>
          <w:b/>
          <w:bCs/>
        </w:rPr>
        <w:t>.</w:t>
      </w:r>
    </w:p>
    <w:tbl>
      <w:tblPr>
        <w:tblW w:w="9624" w:type="dxa"/>
        <w:jc w:val="left"/>
        <w:tblInd w:w="0" w:type="dxa"/>
        <w:tblCellMar>
          <w:top w:w="29" w:type="dxa"/>
          <w:left w:w="29" w:type="dxa"/>
          <w:bottom w:w="29" w:type="dxa"/>
          <w:right w:w="29" w:type="dxa"/>
        </w:tblCellMar>
      </w:tblPr>
      <w:tblGrid>
        <w:gridCol w:w="3056"/>
        <w:gridCol w:w="1642"/>
        <w:gridCol w:w="1642"/>
        <w:gridCol w:w="1642"/>
        <w:gridCol w:w="1642"/>
      </w:tblGrid>
      <w:tr>
        <w:trPr>
          <w:trHeight w:val="256" w:hRule="atLeast"/>
        </w:trPr>
        <w:tc>
          <w:tcPr>
            <w:tcW w:w="3056" w:type="dxa"/>
            <w:vMerge w:val="restart"/>
            <w:tcBorders>
              <w:top w:val="single" w:sz="10" w:space="0" w:color="000000"/>
            </w:tcBorders>
            <w:shd w:fill="auto" w:val="clear"/>
            <w:vAlign w:val="center"/>
          </w:tcPr>
          <w:p>
            <w:pPr>
              <w:pStyle w:val="Normal"/>
              <w:tabs>
                <w:tab w:val="clear" w:pos="720"/>
              </w:tabs>
              <w:jc w:val="center"/>
              <w:rPr/>
            </w:pPr>
            <w:r>
              <w:rPr/>
            </w:r>
          </w:p>
        </w:tc>
        <w:tc>
          <w:tcPr>
            <w:tcW w:w="6568" w:type="dxa"/>
            <w:gridSpan w:val="4"/>
            <w:tcBorders>
              <w:top w:val="single" w:sz="10" w:space="0" w:color="000000"/>
            </w:tcBorders>
            <w:shd w:fill="auto" w:val="clear"/>
            <w:tcMar>
              <w:top w:w="0" w:type="dxa"/>
              <w:left w:w="0" w:type="dxa"/>
              <w:bottom w:w="0" w:type="dxa"/>
              <w:right w:w="0" w:type="dxa"/>
            </w:tcMar>
            <w:vAlign w:val="center"/>
          </w:tcPr>
          <w:p>
            <w:pPr>
              <w:pStyle w:val="Normal"/>
              <w:tabs>
                <w:tab w:val="clear" w:pos="720"/>
              </w:tabs>
              <w:jc w:val="center"/>
              <w:rPr>
                <w:b/>
                <w:b/>
                <w:bCs/>
              </w:rPr>
            </w:pPr>
            <w:r>
              <w:rPr>
                <w:b/>
                <w:bCs/>
              </w:rPr>
              <w:t>Cohorts</w:t>
            </w:r>
          </w:p>
        </w:tc>
      </w:tr>
      <w:tr>
        <w:trPr>
          <w:trHeight w:val="256" w:hRule="atLeast"/>
        </w:trPr>
        <w:tc>
          <w:tcPr>
            <w:tcW w:w="3056" w:type="dxa"/>
            <w:vMerge w:val="continue"/>
            <w:tcBorders>
              <w:top w:val="single" w:sz="10" w:space="0" w:color="000000"/>
            </w:tcBorders>
            <w:shd w:fill="auto" w:val="clear"/>
            <w:vAlign w:val="center"/>
          </w:tcPr>
          <w:p>
            <w:pPr>
              <w:pStyle w:val="Normal"/>
              <w:rPr/>
            </w:pPr>
            <w:r>
              <w:rPr/>
            </w:r>
          </w:p>
        </w:tc>
        <w:tc>
          <w:tcPr>
            <w:tcW w:w="1642" w:type="dxa"/>
            <w:tcBorders>
              <w:top w:val="single" w:sz="2" w:space="0" w:color="000000"/>
            </w:tcBorders>
            <w:shd w:fill="auto" w:val="clear"/>
            <w:tcMar>
              <w:top w:w="0" w:type="dxa"/>
              <w:left w:w="0" w:type="dxa"/>
              <w:bottom w:w="0" w:type="dxa"/>
              <w:right w:w="0" w:type="dxa"/>
            </w:tcMar>
            <w:vAlign w:val="center"/>
          </w:tcPr>
          <w:p>
            <w:pPr>
              <w:pStyle w:val="Normal"/>
              <w:tabs>
                <w:tab w:val="clear" w:pos="720"/>
              </w:tabs>
              <w:jc w:val="center"/>
              <w:rPr>
                <w:b/>
                <w:b/>
                <w:bCs/>
              </w:rPr>
            </w:pPr>
            <w:r>
              <w:rPr>
                <w:b/>
                <w:bCs/>
              </w:rPr>
              <w:t>1993-</w:t>
            </w:r>
            <w:r>
              <w:rPr>
                <w:b/>
                <w:bCs/>
              </w:rPr>
              <w:t>1998</w:t>
            </w:r>
          </w:p>
        </w:tc>
        <w:tc>
          <w:tcPr>
            <w:tcW w:w="1642" w:type="dxa"/>
            <w:tcBorders>
              <w:top w:val="single" w:sz="2" w:space="0" w:color="000000"/>
            </w:tcBorders>
            <w:shd w:fill="auto" w:val="clear"/>
            <w:tcMar>
              <w:top w:w="0" w:type="dxa"/>
              <w:left w:w="0" w:type="dxa"/>
              <w:bottom w:w="0" w:type="dxa"/>
              <w:right w:w="0" w:type="dxa"/>
            </w:tcMar>
            <w:vAlign w:val="center"/>
          </w:tcPr>
          <w:p>
            <w:pPr>
              <w:pStyle w:val="Normal"/>
              <w:tabs>
                <w:tab w:val="clear" w:pos="720"/>
              </w:tabs>
              <w:jc w:val="center"/>
              <w:rPr>
                <w:b/>
                <w:b/>
                <w:bCs/>
              </w:rPr>
            </w:pPr>
            <w:r>
              <w:rPr>
                <w:b/>
                <w:bCs/>
              </w:rPr>
              <w:t>1999-</w:t>
            </w:r>
            <w:r>
              <w:rPr>
                <w:b/>
                <w:bCs/>
              </w:rPr>
              <w:t>2004</w:t>
            </w:r>
          </w:p>
        </w:tc>
        <w:tc>
          <w:tcPr>
            <w:tcW w:w="1642" w:type="dxa"/>
            <w:tcBorders>
              <w:top w:val="single" w:sz="2" w:space="0" w:color="000000"/>
            </w:tcBorders>
            <w:shd w:fill="auto" w:val="clear"/>
            <w:tcMar>
              <w:top w:w="0" w:type="dxa"/>
              <w:left w:w="0" w:type="dxa"/>
              <w:bottom w:w="0" w:type="dxa"/>
              <w:right w:w="0" w:type="dxa"/>
            </w:tcMar>
            <w:vAlign w:val="center"/>
          </w:tcPr>
          <w:p>
            <w:pPr>
              <w:pStyle w:val="Normal"/>
              <w:tabs>
                <w:tab w:val="clear" w:pos="720"/>
              </w:tabs>
              <w:jc w:val="center"/>
              <w:rPr>
                <w:b/>
                <w:b/>
                <w:bCs/>
              </w:rPr>
            </w:pPr>
            <w:r>
              <w:rPr>
                <w:b/>
                <w:bCs/>
              </w:rPr>
              <w:t>2005-</w:t>
            </w:r>
            <w:r>
              <w:rPr>
                <w:b/>
                <w:bCs/>
              </w:rPr>
              <w:t>2010</w:t>
            </w:r>
          </w:p>
        </w:tc>
        <w:tc>
          <w:tcPr>
            <w:tcW w:w="1642" w:type="dxa"/>
            <w:tcBorders>
              <w:top w:val="single" w:sz="2" w:space="0" w:color="000000"/>
            </w:tcBorders>
            <w:shd w:fill="auto" w:val="clear"/>
            <w:tcMar>
              <w:top w:w="0" w:type="dxa"/>
              <w:left w:w="0" w:type="dxa"/>
              <w:bottom w:w="0" w:type="dxa"/>
              <w:right w:w="0" w:type="dxa"/>
            </w:tcMar>
            <w:vAlign w:val="center"/>
          </w:tcPr>
          <w:p>
            <w:pPr>
              <w:pStyle w:val="Normal"/>
              <w:tabs>
                <w:tab w:val="clear" w:pos="720"/>
              </w:tabs>
              <w:jc w:val="center"/>
              <w:rPr>
                <w:b/>
                <w:b/>
                <w:bCs/>
              </w:rPr>
            </w:pPr>
            <w:r>
              <w:rPr>
                <w:b/>
                <w:bCs/>
              </w:rPr>
              <w:t>2011-</w:t>
            </w:r>
            <w:r>
              <w:rPr>
                <w:b/>
                <w:bCs/>
              </w:rPr>
              <w:t>2016</w:t>
            </w:r>
          </w:p>
        </w:tc>
      </w:tr>
      <w:tr>
        <w:trPr>
          <w:trHeight w:val="256" w:hRule="atLeast"/>
        </w:trPr>
        <w:tc>
          <w:tcPr>
            <w:tcW w:w="3056" w:type="dxa"/>
            <w:tcBorders>
              <w:top w:val="single" w:sz="2" w:space="0" w:color="000000"/>
            </w:tcBorders>
            <w:shd w:fill="auto" w:val="clear"/>
            <w:vAlign w:val="center"/>
          </w:tcPr>
          <w:p>
            <w:pPr>
              <w:pStyle w:val="Normal"/>
              <w:tabs>
                <w:tab w:val="clear" w:pos="720"/>
              </w:tabs>
              <w:jc w:val="center"/>
              <w:rPr/>
            </w:pPr>
            <w:r>
              <w:rPr/>
              <w:t>Patients in Registry</w:t>
            </w:r>
          </w:p>
        </w:tc>
        <w:tc>
          <w:tcPr>
            <w:tcW w:w="1642" w:type="dxa"/>
            <w:tcBorders>
              <w:top w:val="single" w:sz="2" w:space="0" w:color="000000"/>
            </w:tcBorders>
            <w:shd w:fill="auto" w:val="clear"/>
            <w:vAlign w:val="center"/>
          </w:tcPr>
          <w:p>
            <w:pPr>
              <w:pStyle w:val="Normal"/>
              <w:tabs>
                <w:tab w:val="clear" w:pos="720"/>
              </w:tabs>
              <w:jc w:val="center"/>
              <w:rPr/>
            </w:pPr>
            <w:r>
              <w:rPr/>
              <w:t>17,771</w:t>
            </w:r>
          </w:p>
        </w:tc>
        <w:tc>
          <w:tcPr>
            <w:tcW w:w="1642" w:type="dxa"/>
            <w:tcBorders>
              <w:top w:val="single" w:sz="2" w:space="0" w:color="000000"/>
            </w:tcBorders>
            <w:shd w:fill="auto" w:val="clear"/>
            <w:vAlign w:val="center"/>
          </w:tcPr>
          <w:p>
            <w:pPr>
              <w:pStyle w:val="Normal"/>
              <w:tabs>
                <w:tab w:val="clear" w:pos="720"/>
              </w:tabs>
              <w:jc w:val="center"/>
              <w:rPr/>
            </w:pPr>
            <w:r>
              <w:rPr/>
              <w:t>20,326</w:t>
            </w:r>
          </w:p>
        </w:tc>
        <w:tc>
          <w:tcPr>
            <w:tcW w:w="1642" w:type="dxa"/>
            <w:tcBorders>
              <w:top w:val="single" w:sz="2" w:space="0" w:color="000000"/>
            </w:tcBorders>
            <w:shd w:fill="auto" w:val="clear"/>
            <w:vAlign w:val="center"/>
          </w:tcPr>
          <w:p>
            <w:pPr>
              <w:pStyle w:val="Normal"/>
              <w:tabs>
                <w:tab w:val="clear" w:pos="720"/>
              </w:tabs>
              <w:jc w:val="center"/>
              <w:rPr/>
            </w:pPr>
            <w:r>
              <w:rPr/>
              <w:t>22,407</w:t>
            </w:r>
          </w:p>
        </w:tc>
        <w:tc>
          <w:tcPr>
            <w:tcW w:w="1642" w:type="dxa"/>
            <w:tcBorders>
              <w:top w:val="single" w:sz="2" w:space="0" w:color="000000"/>
            </w:tcBorders>
            <w:shd w:fill="auto" w:val="clear"/>
            <w:vAlign w:val="center"/>
          </w:tcPr>
          <w:p>
            <w:pPr>
              <w:pStyle w:val="Normal"/>
              <w:tabs>
                <w:tab w:val="clear" w:pos="720"/>
              </w:tabs>
              <w:jc w:val="center"/>
              <w:rPr/>
            </w:pPr>
            <w:r>
              <w:rPr/>
              <w:t>26,391</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Pat</w:t>
            </w:r>
            <w:r>
              <w:rPr/>
              <w:t>ients older than</w:t>
            </w:r>
            <w:r>
              <w:rPr/>
              <w:t xml:space="preserve"> 6 </w:t>
            </w:r>
            <w:r>
              <w:rPr/>
              <w:t>years</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13,594</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16,567</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18,667</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21,915</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Patients Excluded for Lung Transplantation</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693 (5.10)</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1108 (6.69)</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1342 (7.19)</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1533 (7.00)</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H</w:t>
            </w:r>
            <w:r>
              <w:rPr/>
              <w:t>eights</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472 (3.47)</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338 (2.04)</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156 (0.8</w:t>
            </w:r>
            <w:r>
              <w:rPr/>
              <w:t>4</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184 (0.8</w:t>
            </w:r>
            <w:r>
              <w:rPr/>
              <w:t>4</w:t>
            </w:r>
            <w:r>
              <w:rPr/>
              <w:t>)</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H</w:t>
            </w:r>
            <w:r>
              <w:rPr/>
              <w:t>eights</w:t>
            </w:r>
            <w:r>
              <w:rPr>
                <w:rFonts w:eastAsia="Liberation Serif" w:cs="Liberation Serif" w:ascii="Liberation Serif" w:hAnsi="Liberation Serif"/>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1,203 (8.8</w:t>
            </w:r>
            <w:r>
              <w:rPr/>
              <w:t>5</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396 (2.39)</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236 (1.264)</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344 (1.57)</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FEV</w:t>
            </w:r>
            <w:r>
              <w:rPr>
                <w:sz w:val="24"/>
                <w:vertAlign w:val="subscript"/>
              </w:rPr>
              <w:t>1</w:t>
            </w:r>
            <w:r>
              <w:rPr>
                <w:sz w:val="24"/>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940 (6.9</w:t>
            </w:r>
            <w:r>
              <w:rPr/>
              <w:t>2</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796 (4.805)</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527 (2.823)</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493 (2.25)</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FEV</w:t>
            </w:r>
            <w:r>
              <w:rPr>
                <w:vertAlign w:val="subscript"/>
              </w:rPr>
              <w:t>1</w:t>
            </w:r>
            <w:r>
              <w:rPr>
                <w:rFonts w:eastAsia="Liberation Serif" w:cs="Liberation Serif" w:ascii="Liberation Serif" w:hAnsi="Liberation Serif"/>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1,979 (14.56)</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981 (5.92)</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656 (3.51)</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779 (3.5</w:t>
            </w:r>
            <w:r>
              <w:rPr/>
              <w:t>6</w:t>
            </w:r>
            <w:r>
              <w:rPr/>
              <w:t>)</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FEV</w:t>
            </w:r>
            <w:r>
              <w:rPr>
                <w:vertAlign w:val="subscript"/>
              </w:rPr>
              <w:t>1</w:t>
            </w:r>
            <w:r>
              <w:rPr>
                <w:position w:val="0"/>
                <w:sz w:val="24"/>
                <w:vertAlign w:val="baseline"/>
              </w:rPr>
              <w:t>%</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1,164 (8.56)</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1025 (6.1</w:t>
            </w:r>
            <w:r>
              <w:rPr/>
              <w:t>9</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776 (4.1</w:t>
            </w:r>
            <w:r>
              <w:rPr/>
              <w:t>6</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946 (4.3</w:t>
            </w:r>
            <w:r>
              <w:rPr/>
              <w:t>2</w:t>
            </w:r>
            <w:r>
              <w:rPr/>
              <w:t>)</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FEV</w:t>
            </w:r>
            <w:r>
              <w:rPr>
                <w:vertAlign w:val="subscript"/>
              </w:rPr>
              <w:t>1</w:t>
            </w:r>
            <w:r>
              <w:rPr>
                <w:position w:val="0"/>
                <w:sz w:val="24"/>
                <w:vertAlign w:val="baseline"/>
              </w:rPr>
              <w:t>%</w:t>
            </w:r>
            <w:r>
              <w:rPr>
                <w:rFonts w:eastAsia="Liberation Serif" w:cs="Liberation Serif" w:ascii="Liberation Serif" w:hAnsi="Liberation Serif"/>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802 (5.9</w:t>
            </w:r>
            <w:r>
              <w:rPr/>
              <w:t>0</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742 (4.4</w:t>
            </w:r>
            <w:r>
              <w:rPr/>
              <w:t>8</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592 (3.17)</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673 (3.07)</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Weight</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320 (2.35)</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231 (1.394)</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66 (0.3536)</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93 (0.4244)</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Weight</w:t>
            </w:r>
            <w:r>
              <w:rPr>
                <w:rFonts w:eastAsia="Liberation Serif" w:cs="Liberation Serif" w:ascii="Liberation Serif" w:hAnsi="Liberation Serif"/>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1376 (10.12)</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500 (3.018)</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249 (1.334)</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337 (1.538)</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W</w:t>
            </w:r>
            <w:r>
              <w:rPr/>
              <w:t>eight-for-</w:t>
            </w:r>
            <w:r>
              <w:rPr/>
              <w:t>A</w:t>
            </w:r>
            <w:r>
              <w:rPr/>
              <w:t xml:space="preserve">ge </w:t>
            </w:r>
            <w:r>
              <w:rPr>
                <w:i/>
                <w:iCs/>
              </w:rPr>
              <w:t>z-</w:t>
            </w:r>
            <w:r>
              <w:rPr/>
              <w:t>score</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323 (2.3</w:t>
            </w:r>
            <w:r>
              <w:rPr/>
              <w:t>8</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235 (1.4</w:t>
            </w:r>
            <w:r>
              <w:rPr/>
              <w:t>2</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78 (0.4</w:t>
            </w:r>
            <w:r>
              <w:rPr/>
              <w:t>2</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101 (0.46)</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W</w:t>
            </w:r>
            <w:r>
              <w:rPr/>
              <w:t>eight-for-</w:t>
            </w:r>
            <w:r>
              <w:rPr/>
              <w:t>A</w:t>
            </w:r>
            <w:r>
              <w:rPr/>
              <w:t xml:space="preserve">ge </w:t>
            </w:r>
            <w:r>
              <w:rPr>
                <w:i/>
                <w:iCs/>
              </w:rPr>
              <w:t>z-</w:t>
            </w:r>
            <w:r>
              <w:rPr/>
              <w:t>score</w:t>
            </w:r>
            <w:r>
              <w:rPr>
                <w:rFonts w:eastAsia="Liberation Serif" w:cs="Liberation Serif" w:ascii="Liberation Serif" w:hAnsi="Liberation Serif"/>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322 (2.3</w:t>
            </w:r>
            <w:r>
              <w:rPr/>
              <w:t>7</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235 (1.4</w:t>
            </w:r>
            <w:r>
              <w:rPr/>
              <w:t>2</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78 (0.4</w:t>
            </w:r>
            <w:r>
              <w:rPr/>
              <w:t>2</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101 (0.46)</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D</w:t>
            </w:r>
            <w:r>
              <w:rPr/>
              <w:t>iabetes status</w:t>
            </w:r>
            <w:r>
              <w:rPr>
                <w:vertAlign w:val="superscript"/>
              </w:rPr>
              <w:t>*</w:t>
            </w:r>
            <w:r>
              <w:rPr>
                <w:rFonts w:eastAsia="Liberation Serif" w:cs="Liberation Serif" w:ascii="Liberation Serif" w:hAnsi="Liberation Serif"/>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 (0.007)</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 (0.006)</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 (0.005)</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245 (1.118)</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P</w:t>
            </w:r>
            <w:r>
              <w:rPr/>
              <w:t xml:space="preserve">ancreatic </w:t>
            </w:r>
            <w:r>
              <w:rPr/>
              <w:t>S</w:t>
            </w:r>
            <w:r>
              <w:rPr/>
              <w:t>ufficiency status</w:t>
            </w:r>
            <w:r>
              <w:rPr>
                <w:vertAlign w:val="superscript"/>
              </w:rPr>
              <w:t>*</w:t>
            </w:r>
            <w:r>
              <w:rPr>
                <w:rFonts w:eastAsia="Liberation Serif" w:cs="Liberation Serif" w:ascii="Liberation Serif" w:hAnsi="Liberation Serif"/>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0 (0)</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0 (0)</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0 (0)</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0 (0)</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M</w:t>
            </w:r>
            <w:r>
              <w:rPr/>
              <w:t>icrobiology data</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1773 (13.04)</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1,358 (8.197)</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1,400 (7.5)</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1,099 (5.015)</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P</w:t>
            </w:r>
            <w:r>
              <w:rPr/>
              <w:t xml:space="preserve">ulmonary </w:t>
            </w:r>
            <w:r>
              <w:rPr/>
              <w:t>E</w:t>
            </w:r>
            <w:r>
              <w:rPr/>
              <w:t>xacerbation data</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1,196 (8.8</w:t>
            </w:r>
            <w:r>
              <w:rPr/>
              <w:t>0</w:t>
            </w:r>
            <w:r>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1,118 (6.748)</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1,214 (6.503)</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1,436 (6.553)</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 xml:space="preserve">5-year predictions based on NHANES </w:t>
            </w:r>
            <w:r>
              <w:rPr/>
              <w:t>III FEV</w:t>
            </w:r>
            <w:r>
              <w:rPr>
                <w:vertAlign w:val="subscript"/>
              </w:rPr>
              <w:t>1</w:t>
            </w:r>
            <w:r>
              <w:rPr>
                <w:position w:val="0"/>
                <w:sz w:val="24"/>
                <w:vertAlign w:val="baseline"/>
              </w:rPr>
              <w:t>%</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3,401 (25.02)</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4,442 (26.81)</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3,638 (19.49)</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3,583 (16.35)</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 xml:space="preserve">5-year predictions based on NHANES </w:t>
            </w:r>
            <w:r>
              <w:rPr/>
              <w:t>III FEV</w:t>
            </w:r>
            <w:r>
              <w:rPr>
                <w:vertAlign w:val="subscript"/>
              </w:rPr>
              <w:t>1</w:t>
            </w:r>
            <w:r>
              <w:rPr>
                <w:position w:val="0"/>
                <w:sz w:val="24"/>
                <w:vertAlign w:val="baseline"/>
              </w:rPr>
              <w:t>%</w:t>
            </w:r>
            <w:r>
              <w:rPr>
                <w:rFonts w:eastAsia="Liberation Serif" w:cs="Liberation Serif" w:ascii="Liberation Serif" w:hAnsi="Liberation Serif"/>
                <w:b w:val="false"/>
                <w:bCs w:val="false"/>
                <w:sz w:val="24"/>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3,144 (23.13)</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4,094 (24.71)</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3,500 (18.75)</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3,403 (15.53)</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 xml:space="preserve">5-year predictions based on GLI </w:t>
            </w:r>
            <w:r>
              <w:rPr/>
              <w:t>FEV</w:t>
            </w:r>
            <w:r>
              <w:rPr>
                <w:vertAlign w:val="subscript"/>
              </w:rPr>
              <w:t>1</w:t>
            </w:r>
            <w:r>
              <w:rPr>
                <w:position w:val="0"/>
                <w:sz w:val="24"/>
                <w:vertAlign w:val="baseline"/>
              </w:rPr>
              <w:t>%</w:t>
            </w:r>
            <w:r>
              <w:rPr>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11,735 (86.32)</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16,513 (99.67)</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14,907 (79.86)</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16,666 (76.05)</w:t>
            </w:r>
          </w:p>
        </w:tc>
      </w:tr>
      <w:tr>
        <w:trPr>
          <w:trHeight w:val="256" w:hRule="atLeast"/>
        </w:trPr>
        <w:tc>
          <w:tcPr>
            <w:tcW w:w="3056" w:type="dxa"/>
            <w:tcBorders/>
            <w:shd w:fill="auto" w:val="clear"/>
            <w:tcMar>
              <w:top w:w="0" w:type="dxa"/>
              <w:left w:w="0" w:type="dxa"/>
              <w:bottom w:w="0" w:type="dxa"/>
              <w:right w:w="0" w:type="dxa"/>
            </w:tcMar>
            <w:vAlign w:val="center"/>
          </w:tcPr>
          <w:p>
            <w:pPr>
              <w:pStyle w:val="Normal"/>
              <w:tabs>
                <w:tab w:val="clear" w:pos="720"/>
              </w:tabs>
              <w:jc w:val="center"/>
              <w:rPr/>
            </w:pPr>
            <w:r>
              <w:rPr/>
              <w:t xml:space="preserve">5-year predictions based on </w:t>
            </w:r>
            <w:r>
              <w:rPr/>
              <w:t>GLI FEV</w:t>
            </w:r>
            <w:r>
              <w:rPr>
                <w:vertAlign w:val="subscript"/>
              </w:rPr>
              <w:t>1</w:t>
            </w:r>
            <w:r>
              <w:rPr>
                <w:position w:val="0"/>
                <w:sz w:val="24"/>
                <w:vertAlign w:val="baseline"/>
              </w:rPr>
              <w:t>%</w:t>
            </w:r>
            <w:r>
              <w:rPr>
                <w:rFonts w:eastAsia="Liberation Serif" w:cs="Liberation Serif" w:ascii="Liberation Serif" w:hAnsi="Liberation Serif"/>
                <w:b w:val="false"/>
                <w:bCs w:val="false"/>
                <w:sz w:val="24"/>
                <w:vertAlign w:val="superscript"/>
              </w:rPr>
              <w:t>§</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3,281 (24.14)</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4,300 (25.96)</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3,468 (18.58)</w:t>
            </w:r>
          </w:p>
        </w:tc>
        <w:tc>
          <w:tcPr>
            <w:tcW w:w="1642" w:type="dxa"/>
            <w:tcBorders/>
            <w:shd w:fill="auto" w:val="clear"/>
            <w:tcMar>
              <w:top w:w="0" w:type="dxa"/>
              <w:left w:w="0" w:type="dxa"/>
              <w:bottom w:w="0" w:type="dxa"/>
              <w:right w:w="0" w:type="dxa"/>
            </w:tcMar>
            <w:vAlign w:val="center"/>
          </w:tcPr>
          <w:p>
            <w:pPr>
              <w:pStyle w:val="Normal"/>
              <w:tabs>
                <w:tab w:val="clear" w:pos="720"/>
              </w:tabs>
              <w:jc w:val="center"/>
              <w:rPr/>
            </w:pPr>
            <w:r>
              <w:rPr/>
              <w:t>3,291 (15.02)</w:t>
            </w:r>
          </w:p>
        </w:tc>
      </w:tr>
      <w:tr>
        <w:trPr>
          <w:trHeight w:val="256" w:hRule="atLeast"/>
        </w:trPr>
        <w:tc>
          <w:tcPr>
            <w:tcW w:w="3056" w:type="dxa"/>
            <w:tcBorders>
              <w:bottom w:val="single" w:sz="10" w:space="0" w:color="000000"/>
            </w:tcBorders>
            <w:shd w:fill="auto" w:val="clear"/>
            <w:tcMar>
              <w:top w:w="0" w:type="dxa"/>
              <w:left w:w="0" w:type="dxa"/>
              <w:bottom w:w="0" w:type="dxa"/>
              <w:right w:w="0" w:type="dxa"/>
            </w:tcMar>
            <w:vAlign w:val="center"/>
          </w:tcPr>
          <w:p>
            <w:pPr>
              <w:pStyle w:val="Normal"/>
              <w:tabs>
                <w:tab w:val="clear" w:pos="720"/>
              </w:tabs>
              <w:jc w:val="center"/>
              <w:rPr/>
            </w:pPr>
            <w:r>
              <w:rPr>
                <w:rFonts w:eastAsia="Liberation Serif" w:cs="Liberation Serif" w:ascii="Liberation Serif" w:hAnsi="Liberation Serif"/>
                <w:b w:val="false"/>
                <w:bCs w:val="false"/>
                <w:position w:val="0"/>
                <w:sz w:val="24"/>
                <w:sz w:val="24"/>
                <w:vertAlign w:val="baseline"/>
              </w:rPr>
              <w:t>P</w:t>
            </w:r>
            <w:r>
              <w:rPr>
                <w:rFonts w:eastAsia="Liberation Serif" w:cs="Liberation Serif" w:ascii="Liberation Serif" w:hAnsi="Liberation Serif"/>
                <w:b w:val="false"/>
                <w:bCs w:val="false"/>
                <w:position w:val="0"/>
                <w:sz w:val="24"/>
                <w:sz w:val="24"/>
                <w:vertAlign w:val="baseline"/>
              </w:rPr>
              <w:t>atients Censored as alive</w:t>
            </w:r>
            <w:r>
              <w:rPr>
                <w:rFonts w:eastAsia="Liberation Serif" w:cs="Liberation Serif" w:ascii="Liberation Serif" w:hAnsi="Liberation Serif"/>
                <w:b w:val="false"/>
                <w:bCs w:val="false"/>
                <w:sz w:val="24"/>
                <w:vertAlign w:val="superscript"/>
              </w:rPr>
              <w:t>**</w:t>
            </w:r>
          </w:p>
        </w:tc>
        <w:tc>
          <w:tcPr>
            <w:tcW w:w="1642" w:type="dxa"/>
            <w:tcBorders>
              <w:bottom w:val="single" w:sz="10" w:space="0" w:color="000000"/>
            </w:tcBorders>
            <w:shd w:fill="auto" w:val="clear"/>
            <w:tcMar>
              <w:top w:w="0" w:type="dxa"/>
              <w:left w:w="0" w:type="dxa"/>
              <w:bottom w:w="0" w:type="dxa"/>
              <w:right w:w="0" w:type="dxa"/>
            </w:tcMar>
            <w:vAlign w:val="center"/>
          </w:tcPr>
          <w:p>
            <w:pPr>
              <w:pStyle w:val="Normal"/>
              <w:tabs>
                <w:tab w:val="clear" w:pos="720"/>
              </w:tabs>
              <w:jc w:val="center"/>
              <w:rPr/>
            </w:pPr>
            <w:r>
              <w:rPr/>
              <w:t>1566 (</w:t>
            </w:r>
            <w:r>
              <w:rPr/>
              <w:t>11.5)</w:t>
            </w:r>
          </w:p>
        </w:tc>
        <w:tc>
          <w:tcPr>
            <w:tcW w:w="1642" w:type="dxa"/>
            <w:tcBorders>
              <w:bottom w:val="single" w:sz="10" w:space="0" w:color="000000"/>
            </w:tcBorders>
            <w:shd w:fill="auto" w:val="clear"/>
            <w:tcMar>
              <w:top w:w="0" w:type="dxa"/>
              <w:left w:w="0" w:type="dxa"/>
              <w:bottom w:w="0" w:type="dxa"/>
              <w:right w:w="0" w:type="dxa"/>
            </w:tcMar>
            <w:vAlign w:val="center"/>
          </w:tcPr>
          <w:p>
            <w:pPr>
              <w:pStyle w:val="Normal"/>
              <w:tabs>
                <w:tab w:val="clear" w:pos="720"/>
              </w:tabs>
              <w:jc w:val="center"/>
              <w:rPr/>
            </w:pPr>
            <w:r>
              <w:rPr/>
              <w:t xml:space="preserve">1800 </w:t>
            </w:r>
            <w:r>
              <w:rPr/>
              <w:t>(10.8)</w:t>
            </w:r>
          </w:p>
        </w:tc>
        <w:tc>
          <w:tcPr>
            <w:tcW w:w="1642" w:type="dxa"/>
            <w:tcBorders>
              <w:bottom w:val="single" w:sz="10" w:space="0" w:color="000000"/>
            </w:tcBorders>
            <w:shd w:fill="auto" w:val="clear"/>
            <w:tcMar>
              <w:top w:w="0" w:type="dxa"/>
              <w:left w:w="0" w:type="dxa"/>
              <w:bottom w:w="0" w:type="dxa"/>
              <w:right w:w="0" w:type="dxa"/>
            </w:tcMar>
            <w:vAlign w:val="center"/>
          </w:tcPr>
          <w:p>
            <w:pPr>
              <w:pStyle w:val="Normal"/>
              <w:tabs>
                <w:tab w:val="clear" w:pos="720"/>
              </w:tabs>
              <w:jc w:val="center"/>
              <w:rPr/>
            </w:pPr>
            <w:r>
              <w:rPr/>
              <w:t xml:space="preserve">1639 </w:t>
            </w:r>
            <w:r>
              <w:rPr/>
              <w:t>(8.8)</w:t>
            </w:r>
          </w:p>
        </w:tc>
        <w:tc>
          <w:tcPr>
            <w:tcW w:w="1642" w:type="dxa"/>
            <w:tcBorders>
              <w:bottom w:val="single" w:sz="10" w:space="0" w:color="000000"/>
            </w:tcBorders>
            <w:shd w:fill="auto" w:val="clear"/>
            <w:tcMar>
              <w:top w:w="0" w:type="dxa"/>
              <w:left w:w="0" w:type="dxa"/>
              <w:bottom w:w="0" w:type="dxa"/>
              <w:right w:w="0" w:type="dxa"/>
            </w:tcMar>
            <w:vAlign w:val="center"/>
          </w:tcPr>
          <w:p>
            <w:pPr>
              <w:pStyle w:val="Normal"/>
              <w:tabs>
                <w:tab w:val="clear" w:pos="720"/>
              </w:tabs>
              <w:jc w:val="center"/>
              <w:rPr/>
            </w:pPr>
            <w:r>
              <w:rPr/>
              <w:t xml:space="preserve">3078 </w:t>
            </w:r>
            <w:r>
              <w:rPr/>
              <w:t>(14)</w:t>
            </w:r>
          </w:p>
        </w:tc>
      </w:tr>
    </w:tbl>
    <w:p>
      <w:pPr>
        <w:pStyle w:val="Normal"/>
        <w:tabs>
          <w:tab w:val="clear" w:pos="720"/>
        </w:tabs>
        <w:jc w:val="left"/>
        <w:rPr/>
      </w:pPr>
      <w:r>
        <w:rPr>
          <w:sz w:val="24"/>
          <w:vertAlign w:val="superscript"/>
        </w:rPr>
        <w:t>*</w:t>
      </w:r>
      <w:r>
        <w:rPr>
          <w:position w:val="0"/>
          <w:sz w:val="24"/>
          <w:sz w:val="24"/>
          <w:vertAlign w:val="baseline"/>
        </w:rPr>
        <w:t xml:space="preserve"> Number of Patients in CFFPR year </w:t>
      </w:r>
      <w:r>
        <w:rPr>
          <w:position w:val="0"/>
          <w:sz w:val="24"/>
          <w:sz w:val="24"/>
          <w:vertAlign w:val="baseline"/>
        </w:rPr>
        <w:t xml:space="preserve">excluded or </w:t>
      </w:r>
      <w:r>
        <w:rPr>
          <w:position w:val="0"/>
          <w:sz w:val="24"/>
          <w:sz w:val="24"/>
          <w:vertAlign w:val="baseline"/>
        </w:rPr>
        <w:t>missing value (percent of patients older than 6 years).</w:t>
      </w:r>
    </w:p>
    <w:p>
      <w:pPr>
        <w:pStyle w:val="Normal"/>
        <w:tabs>
          <w:tab w:val="clear" w:pos="720"/>
        </w:tabs>
        <w:jc w:val="left"/>
        <w:rPr>
          <w:b w:val="false"/>
          <w:b w:val="false"/>
          <w:bCs w:val="false"/>
        </w:rPr>
      </w:pPr>
      <w:r>
        <w:rPr>
          <w:rFonts w:eastAsia="Liberation Serif" w:cs="Liberation Serif" w:ascii="Liberation Serif" w:hAnsi="Liberation Serif"/>
          <w:b w:val="false"/>
          <w:bCs w:val="false"/>
          <w:sz w:val="24"/>
          <w:vertAlign w:val="superscript"/>
        </w:rPr>
        <w:t>†</w:t>
      </w:r>
      <w:r>
        <w:rPr>
          <w:b w:val="false"/>
          <w:bCs w:val="false"/>
          <w:position w:val="0"/>
          <w:sz w:val="24"/>
          <w:sz w:val="24"/>
          <w:vertAlign w:val="baseline"/>
        </w:rPr>
        <w:t xml:space="preserve"> </w:t>
      </w:r>
      <w:r>
        <w:rPr>
          <w:b w:val="false"/>
          <w:bCs w:val="false"/>
          <w:position w:val="0"/>
          <w:sz w:val="24"/>
          <w:sz w:val="24"/>
          <w:vertAlign w:val="baseline"/>
        </w:rPr>
        <w:t xml:space="preserve">Number of patients in CFFPR year missing value after </w:t>
      </w:r>
      <w:r>
        <w:rPr>
          <w:b w:val="false"/>
          <w:bCs w:val="false"/>
          <w:position w:val="0"/>
          <w:sz w:val="24"/>
          <w:sz w:val="24"/>
          <w:vertAlign w:val="baseline"/>
        </w:rPr>
        <w:t>removal of incorrect values identified</w:t>
      </w:r>
      <w:r>
        <w:rPr>
          <w:b w:val="false"/>
          <w:bCs w:val="false"/>
          <w:position w:val="0"/>
          <w:sz w:val="24"/>
          <w:sz w:val="24"/>
          <w:vertAlign w:val="baseline"/>
        </w:rPr>
        <w:t xml:space="preserve"> using generalized additive models methods (percent of patients older than 6 years). See Methods </w:t>
      </w:r>
      <w:r>
        <w:rPr>
          <w:b w:val="false"/>
          <w:bCs w:val="false"/>
          <w:position w:val="0"/>
          <w:sz w:val="24"/>
          <w:sz w:val="24"/>
          <w:vertAlign w:val="baseline"/>
        </w:rPr>
        <w:t xml:space="preserve">and </w:t>
      </w:r>
      <w:r>
        <w:rPr>
          <w:b w:val="false"/>
          <w:bCs w:val="false"/>
          <w:position w:val="0"/>
          <w:sz w:val="24"/>
          <w:sz w:val="24"/>
          <w:vertAlign w:val="baseline"/>
        </w:rPr>
        <w:t>Appendix Figure 1</w:t>
      </w:r>
      <w:r>
        <w:rPr>
          <w:b w:val="false"/>
          <w:bCs w:val="false"/>
          <w:position w:val="0"/>
          <w:sz w:val="24"/>
          <w:sz w:val="24"/>
          <w:vertAlign w:val="baseline"/>
        </w:rPr>
        <w:t xml:space="preserve"> for details of corrections. </w:t>
      </w:r>
    </w:p>
    <w:p>
      <w:pPr>
        <w:pStyle w:val="Normal"/>
        <w:rPr>
          <w:vertAlign w:val="superscript"/>
        </w:rPr>
      </w:pPr>
      <w:r>
        <w:rPr>
          <w:rFonts w:eastAsia="Liberation Serif" w:cs="Liberation Serif" w:ascii="Liberation Serif" w:hAnsi="Liberation Serif"/>
          <w:vertAlign w:val="superscript"/>
        </w:rPr>
        <w:t>‡</w:t>
      </w:r>
      <w:r>
        <w:rPr>
          <w:position w:val="0"/>
          <w:sz w:val="24"/>
          <w:vertAlign w:val="baseline"/>
        </w:rPr>
        <w:t xml:space="preserve"> </w:t>
      </w:r>
      <w:r>
        <w:rPr>
          <w:position w:val="0"/>
          <w:sz w:val="24"/>
          <w:vertAlign w:val="baseline"/>
        </w:rPr>
        <w:t>Diagnosis based on use of insulin for diabetes and pancreatic enzymes for pancreatic sufficiency. Pancreatic enzyme usage is required to enter data in the CFFPR thus missing data are never encountered.</w:t>
      </w:r>
    </w:p>
    <w:p>
      <w:pPr>
        <w:pStyle w:val="Normal"/>
        <w:tabs>
          <w:tab w:val="clear" w:pos="720"/>
        </w:tabs>
        <w:jc w:val="left"/>
        <w:rPr>
          <w:b w:val="false"/>
          <w:b w:val="false"/>
          <w:bCs w:val="false"/>
        </w:rPr>
      </w:pPr>
      <w:r>
        <w:rPr>
          <w:rFonts w:eastAsia="Liberation Serif" w:cs="Liberation Serif" w:ascii="Liberation Serif" w:hAnsi="Liberation Serif"/>
          <w:b w:val="false"/>
          <w:bCs w:val="false"/>
          <w:sz w:val="24"/>
          <w:vertAlign w:val="superscript"/>
        </w:rPr>
        <w:t>§</w:t>
      </w:r>
      <w:r>
        <w:rPr>
          <w:b w:val="false"/>
          <w:bCs w:val="false"/>
          <w:position w:val="0"/>
          <w:sz w:val="24"/>
          <w:sz w:val="24"/>
          <w:vertAlign w:val="baseline"/>
        </w:rPr>
        <w:t xml:space="preserve"> Number of patients in CFFPR year missing value after </w:t>
      </w:r>
      <w:r>
        <w:rPr>
          <w:b w:val="false"/>
          <w:bCs w:val="false"/>
          <w:position w:val="0"/>
          <w:sz w:val="24"/>
          <w:sz w:val="24"/>
          <w:vertAlign w:val="baseline"/>
        </w:rPr>
        <w:t>correction</w:t>
      </w:r>
      <w:r>
        <w:rPr>
          <w:b w:val="false"/>
          <w:bCs w:val="false"/>
          <w:position w:val="0"/>
          <w:sz w:val="24"/>
          <w:sz w:val="24"/>
          <w:vertAlign w:val="baseline"/>
        </w:rPr>
        <w:t xml:space="preserve"> of incorrect values identified</w:t>
      </w:r>
      <w:r>
        <w:rPr>
          <w:b w:val="false"/>
          <w:bCs w:val="false"/>
          <w:position w:val="0"/>
          <w:sz w:val="24"/>
          <w:sz w:val="24"/>
          <w:vertAlign w:val="baseline"/>
        </w:rPr>
        <w:t xml:space="preserve"> using generalized additive models methods (percent of patients older than 6 years). See Methods </w:t>
      </w:r>
      <w:r>
        <w:rPr>
          <w:b w:val="false"/>
          <w:bCs w:val="false"/>
          <w:position w:val="0"/>
          <w:sz w:val="24"/>
          <w:sz w:val="24"/>
          <w:vertAlign w:val="baseline"/>
        </w:rPr>
        <w:t xml:space="preserve">and </w:t>
      </w:r>
      <w:r>
        <w:rPr>
          <w:b w:val="false"/>
          <w:bCs w:val="false"/>
          <w:position w:val="0"/>
          <w:sz w:val="24"/>
          <w:sz w:val="24"/>
          <w:vertAlign w:val="baseline"/>
        </w:rPr>
        <w:t xml:space="preserve">Appendix Figure </w:t>
      </w:r>
      <w:r>
        <w:rPr>
          <w:b w:val="false"/>
          <w:bCs w:val="false"/>
          <w:position w:val="0"/>
          <w:sz w:val="24"/>
          <w:sz w:val="24"/>
          <w:vertAlign w:val="baseline"/>
        </w:rPr>
        <w:t>S</w:t>
      </w:r>
      <w:r>
        <w:rPr>
          <w:b w:val="false"/>
          <w:bCs w:val="false"/>
          <w:position w:val="0"/>
          <w:sz w:val="24"/>
          <w:sz w:val="24"/>
          <w:vertAlign w:val="baseline"/>
        </w:rPr>
        <w:t>1</w:t>
      </w:r>
      <w:r>
        <w:rPr>
          <w:b w:val="false"/>
          <w:bCs w:val="false"/>
          <w:position w:val="0"/>
          <w:sz w:val="24"/>
          <w:sz w:val="24"/>
          <w:vertAlign w:val="baseline"/>
        </w:rPr>
        <w:t xml:space="preserve"> for details of corrections. </w:t>
      </w:r>
    </w:p>
    <w:p>
      <w:pPr>
        <w:pStyle w:val="Normal"/>
        <w:tabs>
          <w:tab w:val="clear" w:pos="720"/>
        </w:tabs>
        <w:jc w:val="left"/>
        <w:rPr>
          <w:b w:val="false"/>
          <w:b w:val="false"/>
          <w:bCs w:val="false"/>
        </w:rPr>
      </w:pPr>
      <w:r>
        <w:rPr>
          <w:b w:val="false"/>
          <w:bCs w:val="false"/>
          <w:sz w:val="24"/>
          <w:vertAlign w:val="superscript"/>
        </w:rPr>
        <w:t>**</w:t>
      </w:r>
      <w:r>
        <w:rPr>
          <w:b w:val="false"/>
          <w:bCs w:val="false"/>
          <w:position w:val="0"/>
          <w:sz w:val="24"/>
          <w:sz w:val="24"/>
          <w:vertAlign w:val="baseline"/>
        </w:rPr>
        <w:t xml:space="preserve"> </w:t>
      </w:r>
      <w:r>
        <w:rPr>
          <w:b w:val="false"/>
          <w:bCs w:val="false"/>
          <w:position w:val="0"/>
          <w:sz w:val="24"/>
          <w:sz w:val="24"/>
          <w:vertAlign w:val="baseline"/>
        </w:rPr>
        <w:t>Number of patients with less than 5 years of follow up (percent of patients older than 6 years).</w:t>
      </w:r>
    </w:p>
    <w:p>
      <w:pPr>
        <w:pStyle w:val="Normal"/>
        <w:rPr>
          <w:b/>
          <w:b/>
          <w:bCs/>
        </w:rPr>
      </w:pPr>
      <w:r>
        <w:rPr>
          <w:rFonts w:eastAsia="Liberation Serif" w:cs="Liberation Serif" w:ascii="Liberation Serif" w:hAnsi="Liberation Serif"/>
          <w:b w:val="false"/>
          <w:bCs w:val="false"/>
          <w:i w:val="false"/>
          <w:iCs w:val="false"/>
          <w:strike w:val="false"/>
          <w:dstrike w:val="false"/>
          <w:outline w:val="false"/>
          <w:shadow w:val="false"/>
          <w:color w:val="000000"/>
          <w:sz w:val="24"/>
          <w:szCs w:val="24"/>
          <w:u w:val="none"/>
          <w:vertAlign w:val="superscript"/>
        </w:rPr>
      </w:r>
    </w:p>
    <w:sectPr>
      <w:type w:val="nextPage"/>
      <w:pgSz w:w="12240" w:h="15840"/>
      <w:pgMar w:left="720" w:right="720" w:header="0" w:top="720" w:footer="0" w:bottom="720"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00"/>
    <w:family w:val="roman"/>
    <w:pitch w:val="default"/>
  </w:font>
  <w:font w:name="Liberation Serif">
    <w:altName w:val="Times New Roman"/>
    <w:charset w:val="00"/>
    <w:family w:val="roman"/>
    <w:pitch w:val="default"/>
  </w:font>
</w:fonts>
</file>

<file path=word/settings.xml><?xml version="1.0" encoding="utf-8"?>
<w:settings xmlns:w="http://schemas.openxmlformats.org/wordprocessingml/2006/main">
  <w:zoom w:val="bestFit" w:percent="216"/>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Liberation Sans" w:cs="Liberation Sans"/>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Times New Roman" w:hAnsi="Times New Roman" w:eastAsia="Liberation Sans" w:cs="Liberation Sans"/>
      <w:color w:val="auto"/>
      <w:kern w:val="2"/>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Times New Roman" w:hAnsi="Times New Roman" w:eastAsia="Liberation Sans" w:cs="Liberation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Times New Roman" w:hAnsi="Times New Roman"/>
    </w:rPr>
  </w:style>
  <w:style w:type="paragraph" w:styleId="Caption">
    <w:name w:val="Caption"/>
    <w:basedOn w:val="Normal"/>
    <w:qFormat/>
    <w:pPr>
      <w:suppressLineNumbers/>
      <w:spacing w:before="120" w:after="120"/>
    </w:pPr>
    <w:rPr>
      <w:rFonts w:ascii="Times New Roman" w:hAnsi="Times New Roman"/>
      <w:i/>
      <w:iCs/>
      <w:sz w:val="24"/>
      <w:szCs w:val="24"/>
    </w:rPr>
  </w:style>
  <w:style w:type="paragraph" w:styleId="Index">
    <w:name w:val="Index"/>
    <w:basedOn w:val="Normal"/>
    <w:qFormat/>
    <w:pPr>
      <w:suppressLineNumbers/>
    </w:pPr>
    <w:rPr>
      <w:rFonts w:ascii="Times New Roman" w:hAnsi="Times New Roman"/>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1228</TotalTime>
  <Application>LibreOffice/6.3.3.2$Windows_X86_64 LibreOffice_project/a64200df03143b798afd1ec74a12ab50359878ed</Application>
  <Pages>1</Pages>
  <Words>401</Words>
  <Characters>2170</Characters>
  <CharactersWithSpaces>2452</CharactersWithSpaces>
  <Paragraphs>121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2018-11-05T16:23:26Z</dcterms:created>
  <dc:creator>T Liou</dc:creator>
  <dc:description/>
  <dc:language>en-US</dc:language>
  <cp:lastModifiedBy/>
  <cp:lastPrinted>2019-07-22T05:16:11Z</cp:lastPrinted>
  <dcterms:modified xsi:type="dcterms:W3CDTF">2020-03-30T01:04:19Z</dcterms:modified>
  <cp:revision>37</cp:revision>
  <dc:subject/>
  <dc:title/>
</cp:coreProperties>
</file>