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bCs/>
        </w:rPr>
        <w:t xml:space="preserve">Table S2. Associations with CF Related Diabetes in the </w:t>
      </w:r>
      <w:r>
        <w:rPr>
          <w:b/>
          <w:bCs/>
        </w:rPr>
        <w:t>US</w:t>
      </w:r>
      <w:r>
        <w:rPr>
          <w:b/>
          <w:bCs/>
        </w:rPr>
        <w:t xml:space="preserve"> CFF</w:t>
      </w:r>
      <w:r>
        <w:rPr>
          <w:b/>
          <w:bCs/>
        </w:rPr>
        <w:t>PR</w:t>
      </w:r>
      <w:r>
        <w:rPr>
          <w:b/>
          <w:bCs/>
        </w:rPr>
        <w:t>, 1993-201</w:t>
      </w:r>
      <w:r>
        <w:rPr>
          <w:b/>
          <w:bCs/>
        </w:rPr>
        <w:t>6</w:t>
      </w:r>
      <w:r>
        <w:rPr>
          <w:b/>
          <w:bCs/>
        </w:rPr>
        <w:t>.</w:t>
      </w:r>
    </w:p>
    <w:tbl>
      <w:tblPr>
        <w:tblW w:w="8096" w:type="dxa"/>
        <w:jc w:val="left"/>
        <w:tblInd w:w="-3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2606"/>
        <w:gridCol w:w="1830"/>
        <w:gridCol w:w="1830"/>
        <w:gridCol w:w="1830"/>
      </w:tblGrid>
      <w:tr>
        <w:trPr>
          <w:trHeight w:val="256" w:hRule="atLeast"/>
        </w:trPr>
        <w:tc>
          <w:tcPr>
            <w:tcW w:w="2606" w:type="dxa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830" w:type="dxa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Estimate</w:t>
            </w:r>
          </w:p>
        </w:tc>
        <w:tc>
          <w:tcPr>
            <w:tcW w:w="1830" w:type="dxa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SE</w:t>
            </w:r>
          </w:p>
        </w:tc>
        <w:tc>
          <w:tcPr>
            <w:tcW w:w="1830" w:type="dxa"/>
            <w:tcBorders>
              <w:top w:val="single" w:sz="10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P</w:t>
            </w:r>
          </w:p>
        </w:tc>
      </w:tr>
      <w:tr>
        <w:trPr>
          <w:trHeight w:val="256" w:hRule="atLeast"/>
        </w:trPr>
        <w:tc>
          <w:tcPr>
            <w:tcW w:w="26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(Intercept)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-2.845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0.078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&lt;0.001</w:t>
            </w:r>
          </w:p>
        </w:tc>
      </w:tr>
      <w:tr>
        <w:trPr>
          <w:trHeight w:val="256" w:hRule="atLeast"/>
        </w:trPr>
        <w:tc>
          <w:tcPr>
            <w:tcW w:w="26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spacing w:lineRule="auto" w:line="240"/>
              <w:jc w:val="center"/>
              <w:rPr/>
            </w:pPr>
            <w:r>
              <w:rPr/>
              <w:t>FEV</w:t>
            </w:r>
            <w:r>
              <w:rPr>
                <w:vertAlign w:val="subscript"/>
              </w:rPr>
              <w:t>1</w:t>
            </w:r>
            <w:r>
              <w:rPr/>
              <w:t>%</w:t>
            </w:r>
            <w:r>
              <w:rPr>
                <w:vertAlign w:val="superscript"/>
              </w:rPr>
              <w:t>*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-0.014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0.001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&lt;0.001</w:t>
            </w:r>
          </w:p>
        </w:tc>
      </w:tr>
      <w:tr>
        <w:trPr>
          <w:trHeight w:val="256" w:hRule="atLeast"/>
        </w:trPr>
        <w:tc>
          <w:tcPr>
            <w:tcW w:w="26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 xml:space="preserve">Weight-for-age </w:t>
            </w:r>
            <w:r>
              <w:rPr>
                <w:i/>
                <w:iCs/>
              </w:rPr>
              <w:t>z</w:t>
            </w:r>
            <w:r>
              <w:rPr>
                <w:i w:val="false"/>
                <w:iCs w:val="false"/>
              </w:rPr>
              <w:t>-score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-0.228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0.015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&lt;0.001</w:t>
            </w:r>
          </w:p>
        </w:tc>
      </w:tr>
      <w:tr>
        <w:trPr>
          <w:trHeight w:val="256" w:hRule="atLeast"/>
        </w:trPr>
        <w:tc>
          <w:tcPr>
            <w:tcW w:w="2606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Age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0.052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0.002</w:t>
            </w:r>
          </w:p>
        </w:tc>
        <w:tc>
          <w:tcPr>
            <w:tcW w:w="1830" w:type="dxa"/>
            <w:tcBorders/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&lt;0.001</w:t>
            </w:r>
          </w:p>
        </w:tc>
      </w:tr>
      <w:tr>
        <w:trPr>
          <w:trHeight w:val="256" w:hRule="atLeast"/>
        </w:trPr>
        <w:tc>
          <w:tcPr>
            <w:tcW w:w="2606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CFFPR year</w:t>
            </w:r>
          </w:p>
        </w:tc>
        <w:tc>
          <w:tcPr>
            <w:tcW w:w="183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0.090</w:t>
            </w:r>
          </w:p>
        </w:tc>
        <w:tc>
          <w:tcPr>
            <w:tcW w:w="183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0.002</w:t>
            </w:r>
          </w:p>
        </w:tc>
        <w:tc>
          <w:tcPr>
            <w:tcW w:w="1830" w:type="dxa"/>
            <w:tcBorders>
              <w:bottom w:val="single" w:sz="10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</w:tabs>
              <w:jc w:val="center"/>
              <w:rPr/>
            </w:pPr>
            <w:r>
              <w:rPr/>
              <w:t>&lt;0.001</w:t>
            </w:r>
          </w:p>
        </w:tc>
      </w:tr>
    </w:tbl>
    <w:p>
      <w:pPr>
        <w:pStyle w:val="Normal"/>
        <w:rPr>
          <w:vertAlign w:val="superscript"/>
        </w:rPr>
      </w:pPr>
      <w:r>
        <w:rPr>
          <w:vertAlign w:val="superscript"/>
        </w:rPr>
        <w:t>*</w:t>
      </w:r>
      <w:r>
        <w:rPr>
          <w:position w:val="0"/>
          <w:sz w:val="24"/>
          <w:vertAlign w:val="baseline"/>
        </w:rPr>
        <w:t xml:space="preserve"> All </w:t>
      </w:r>
      <w:r>
        <w:rPr>
          <w:position w:val="0"/>
          <w:sz w:val="24"/>
          <w:vertAlign w:val="baseline"/>
        </w:rPr>
        <w:t>estimates</w:t>
      </w:r>
      <w:r>
        <w:rPr>
          <w:position w:val="0"/>
          <w:sz w:val="24"/>
          <w:vertAlign w:val="baseline"/>
        </w:rPr>
        <w:t xml:space="preserve"> were based on height, weight and FEV</w:t>
      </w:r>
      <w:r>
        <w:rPr>
          <w:vertAlign w:val="subscript"/>
        </w:rPr>
        <w:t>1</w:t>
      </w:r>
      <w:r>
        <w:rPr>
          <w:position w:val="0"/>
          <w:sz w:val="24"/>
          <w:vertAlign w:val="baseline"/>
        </w:rPr>
        <w:t xml:space="preserve"> after corrections and imputations. FEV</w:t>
      </w:r>
      <w:r>
        <w:rPr>
          <w:vertAlign w:val="subscript"/>
        </w:rPr>
        <w:t>1</w:t>
      </w:r>
      <w:r>
        <w:rPr>
          <w:position w:val="0"/>
          <w:sz w:val="24"/>
          <w:vertAlign w:val="baseline"/>
        </w:rPr>
        <w:t xml:space="preserve">% is based on NHANES III equations. Substitution of GLI derived values made minimal changes </w:t>
      </w:r>
      <w:r>
        <w:rPr>
          <w:position w:val="0"/>
          <w:sz w:val="24"/>
          <w:vertAlign w:val="baseline"/>
        </w:rPr>
        <w:t>(&lt;5 %)</w:t>
      </w:r>
      <w:r>
        <w:rPr>
          <w:position w:val="0"/>
          <w:sz w:val="24"/>
          <w:vertAlign w:val="baseline"/>
        </w:rPr>
        <w:t xml:space="preserve"> to the </w:t>
      </w:r>
      <w:r>
        <w:rPr>
          <w:position w:val="0"/>
          <w:sz w:val="24"/>
          <w:vertAlign w:val="baseline"/>
        </w:rPr>
        <w:t>Estimates</w:t>
      </w:r>
      <w:r>
        <w:rPr>
          <w:position w:val="0"/>
          <w:sz w:val="24"/>
          <w:vertAlign w:val="baseline"/>
        </w:rPr>
        <w:t xml:space="preserve"> shown. See Methods in the </w:t>
      </w:r>
      <w:r>
        <w:rPr>
          <w:position w:val="0"/>
          <w:sz w:val="24"/>
          <w:vertAlign w:val="baseline"/>
        </w:rPr>
        <w:t xml:space="preserve">main </w:t>
      </w:r>
      <w:r>
        <w:rPr>
          <w:position w:val="0"/>
          <w:sz w:val="24"/>
          <w:vertAlign w:val="baseline"/>
        </w:rPr>
        <w:t>text.</w:t>
      </w:r>
    </w:p>
    <w:p>
      <w:pPr>
        <w:pStyle w:val="Normal"/>
        <w:rPr>
          <w:rFonts w:ascii="Liberation Serif" w:hAnsi="Liberation Serif" w:eastAsia="Liberation Serif" w:cs="Liberation Serif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vertAlign w:val="superscript"/>
        </w:rPr>
      </w:pPr>
      <w:r>
        <w:rPr>
          <w:rFonts w:eastAsia="Liberation Serif" w:cs="Liberation Serif" w:ascii="Liberation Serif" w:hAnsi="Liberation Serif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vertAlign w:val="superscript"/>
        </w:rPr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roman"/>
    <w:pitch w:val="default"/>
  </w:font>
  <w:font w:name="Liberation Serif">
    <w:altName w:val="Times New Roman"/>
    <w:charset w:val="00"/>
    <w:family w:val="roman"/>
    <w:pitch w:val="default"/>
  </w:font>
</w:fonts>
</file>

<file path=word/settings.xml><?xml version="1.0" encoding="utf-8"?>
<w:settings xmlns:w="http://schemas.openxmlformats.org/wordprocessingml/2006/main">
  <w:zoom w:val="bestFit" w:percent="2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iberation Sans" w:cs="Liberation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Liberation Sans" w:cs="Liberation Sans"/>
      <w:color w:val="auto"/>
      <w:kern w:val="2"/>
      <w:sz w:val="24"/>
      <w:szCs w:val="24"/>
      <w:lang w:val="en-US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Times New Roman" w:hAnsi="Times New Roman" w:eastAsia="Liberation Sans" w:cs="Liberation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1225</TotalTime>
  <Application>LibreOffice/6.3.3.2$Windows_X86_64 LibreOffice_project/a64200df03143b798afd1ec74a12ab50359878ed</Application>
  <Pages>1</Pages>
  <Words>78</Words>
  <Characters>413</Characters>
  <CharactersWithSpaces>466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2018-11-05T16:23:26Z</dcterms:created>
  <dc:creator>T Liou</dc:creator>
  <dc:description/>
  <dc:language>en-US</dc:language>
  <cp:lastModifiedBy/>
  <cp:lastPrinted>2019-07-22T05:16:11Z</cp:lastPrinted>
  <dcterms:modified xsi:type="dcterms:W3CDTF">2020-03-30T01:06:05Z</dcterms:modified>
  <cp:revision>37</cp:revision>
  <dc:subject/>
  <dc:title/>
</cp:coreProperties>
</file>