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6B779" w14:textId="77777777" w:rsidR="001C44F8" w:rsidRPr="0079160F" w:rsidRDefault="001C44F8" w:rsidP="001C44F8">
      <w:pPr>
        <w:jc w:val="center"/>
        <w:rPr>
          <w:rFonts w:ascii="Arial" w:hAnsi="Arial" w:cs="Arial"/>
          <w:b/>
          <w:sz w:val="28"/>
          <w:szCs w:val="28"/>
        </w:rPr>
      </w:pPr>
      <w:r w:rsidRPr="0079160F">
        <w:rPr>
          <w:rFonts w:ascii="Arial" w:hAnsi="Arial" w:cs="Arial" w:hint="cs"/>
          <w:b/>
          <w:sz w:val="28"/>
          <w:szCs w:val="28"/>
        </w:rPr>
        <w:t>S</w:t>
      </w:r>
      <w:r w:rsidRPr="0079160F">
        <w:rPr>
          <w:rFonts w:ascii="Arial" w:hAnsi="Arial" w:cs="Arial"/>
          <w:b/>
          <w:sz w:val="28"/>
          <w:szCs w:val="28"/>
        </w:rPr>
        <w:t>upplementary information</w:t>
      </w:r>
    </w:p>
    <w:p w14:paraId="67299943" w14:textId="77777777" w:rsidR="001C44F8" w:rsidRPr="0079160F" w:rsidRDefault="001C44F8" w:rsidP="001C44F8">
      <w:pPr>
        <w:rPr>
          <w:rFonts w:ascii="Arial" w:hAnsi="Arial" w:cs="Arial"/>
          <w:b/>
          <w:sz w:val="28"/>
          <w:szCs w:val="28"/>
        </w:rPr>
      </w:pPr>
    </w:p>
    <w:p w14:paraId="41E9865E" w14:textId="77777777" w:rsidR="001C44F8" w:rsidRPr="0079160F" w:rsidRDefault="001C44F8" w:rsidP="001C44F8">
      <w:pPr>
        <w:rPr>
          <w:rFonts w:ascii="Arial" w:hAnsi="Arial" w:cs="Arial"/>
          <w:b/>
          <w:sz w:val="20"/>
          <w:szCs w:val="20"/>
        </w:rPr>
      </w:pPr>
      <w:r w:rsidRPr="0079160F">
        <w:rPr>
          <w:rFonts w:ascii="Arial" w:hAnsi="Arial" w:cs="Arial" w:hint="eastAsia"/>
          <w:b/>
          <w:sz w:val="20"/>
          <w:szCs w:val="20"/>
        </w:rPr>
        <w:t>T</w:t>
      </w:r>
      <w:r w:rsidRPr="0079160F">
        <w:rPr>
          <w:rFonts w:ascii="Arial" w:hAnsi="Arial" w:cs="Arial"/>
          <w:b/>
          <w:sz w:val="20"/>
          <w:szCs w:val="20"/>
        </w:rPr>
        <w:t>ITLE</w:t>
      </w:r>
      <w:bookmarkStart w:id="0" w:name="_GoBack"/>
      <w:bookmarkEnd w:id="0"/>
    </w:p>
    <w:p w14:paraId="36D4949F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/>
          <w:sz w:val="20"/>
          <w:szCs w:val="20"/>
        </w:rPr>
        <w:t>Establishment of macaque trophoblast stem cell lines derived from cynomolgus monkey blastocysts</w:t>
      </w:r>
      <w:r w:rsidRPr="0079160F">
        <w:rPr>
          <w:rFonts w:ascii="Arial" w:eastAsia="Arial" w:hAnsi="Arial" w:cs="Arial"/>
          <w:sz w:val="20"/>
          <w:szCs w:val="20"/>
        </w:rPr>
        <w:t>.</w:t>
      </w:r>
    </w:p>
    <w:p w14:paraId="145674C0" w14:textId="77777777" w:rsidR="001C44F8" w:rsidRPr="0079160F" w:rsidRDefault="001C44F8" w:rsidP="001C44F8">
      <w:pPr>
        <w:rPr>
          <w:rFonts w:ascii="Arial" w:hAnsi="Arial" w:cs="Arial"/>
          <w:b/>
          <w:sz w:val="20"/>
          <w:szCs w:val="20"/>
        </w:rPr>
      </w:pPr>
    </w:p>
    <w:p w14:paraId="53C9AD2F" w14:textId="77777777" w:rsidR="001C44F8" w:rsidRPr="0079160F" w:rsidRDefault="001C44F8" w:rsidP="001C44F8">
      <w:pPr>
        <w:rPr>
          <w:rFonts w:ascii="Arial" w:hAnsi="Arial" w:cs="Arial"/>
          <w:b/>
          <w:sz w:val="20"/>
          <w:szCs w:val="20"/>
        </w:rPr>
      </w:pPr>
      <w:r w:rsidRPr="0079160F">
        <w:rPr>
          <w:rFonts w:ascii="Arial" w:hAnsi="Arial" w:cs="Arial" w:hint="cs"/>
          <w:b/>
          <w:sz w:val="20"/>
          <w:szCs w:val="20"/>
        </w:rPr>
        <w:t>A</w:t>
      </w:r>
      <w:r w:rsidRPr="0079160F">
        <w:rPr>
          <w:rFonts w:ascii="Arial" w:hAnsi="Arial" w:cs="Arial"/>
          <w:b/>
          <w:sz w:val="20"/>
          <w:szCs w:val="20"/>
        </w:rPr>
        <w:t>UTHORS</w:t>
      </w:r>
    </w:p>
    <w:p w14:paraId="7B05D031" w14:textId="0B266ADF" w:rsidR="001C44F8" w:rsidRPr="0079160F" w:rsidRDefault="001C44F8" w:rsidP="001C44F8">
      <w:pPr>
        <w:rPr>
          <w:rFonts w:ascii="Arial" w:hAnsi="Arial" w:cs="Arial"/>
          <w:sz w:val="20"/>
          <w:szCs w:val="20"/>
          <w:vertAlign w:val="superscript"/>
        </w:rPr>
      </w:pPr>
      <w:r w:rsidRPr="0079160F">
        <w:rPr>
          <w:rFonts w:ascii="Arial" w:hAnsi="Arial" w:cs="Arial" w:hint="eastAsia"/>
          <w:sz w:val="20"/>
          <w:szCs w:val="20"/>
        </w:rPr>
        <w:t>S</w:t>
      </w:r>
      <w:r w:rsidRPr="0079160F">
        <w:rPr>
          <w:rFonts w:ascii="Arial" w:hAnsi="Arial" w:cs="Arial"/>
          <w:sz w:val="20"/>
          <w:szCs w:val="20"/>
        </w:rPr>
        <w:t>homa Matsumoto</w:t>
      </w:r>
      <w:r w:rsidRPr="0079160F">
        <w:rPr>
          <w:rFonts w:ascii="Arial" w:hAnsi="Arial" w:cs="Arial"/>
          <w:sz w:val="20"/>
          <w:szCs w:val="20"/>
          <w:vertAlign w:val="superscript"/>
        </w:rPr>
        <w:t>1</w:t>
      </w:r>
      <w:r w:rsidRPr="0079160F">
        <w:rPr>
          <w:rFonts w:ascii="Arial" w:hAnsi="Arial" w:cs="Arial"/>
          <w:sz w:val="20"/>
          <w:szCs w:val="20"/>
        </w:rPr>
        <w:t>, Christopher J. Porter</w:t>
      </w:r>
      <w:r w:rsidRPr="0079160F">
        <w:rPr>
          <w:rFonts w:ascii="Arial" w:hAnsi="Arial" w:cs="Arial"/>
          <w:sz w:val="20"/>
          <w:szCs w:val="20"/>
          <w:vertAlign w:val="superscript"/>
        </w:rPr>
        <w:t>2</w:t>
      </w:r>
      <w:r w:rsidRPr="0079160F">
        <w:rPr>
          <w:rFonts w:ascii="Arial" w:hAnsi="Arial" w:cs="Arial"/>
          <w:sz w:val="20"/>
          <w:szCs w:val="20"/>
        </w:rPr>
        <w:t>, Naomi Ogasawara</w:t>
      </w:r>
      <w:r w:rsidRPr="0079160F">
        <w:rPr>
          <w:rFonts w:ascii="Arial" w:hAnsi="Arial" w:cs="Arial"/>
          <w:sz w:val="20"/>
          <w:szCs w:val="20"/>
          <w:vertAlign w:val="superscript"/>
        </w:rPr>
        <w:t>1</w:t>
      </w:r>
      <w:r w:rsidRPr="0079160F">
        <w:rPr>
          <w:rFonts w:ascii="Arial" w:hAnsi="Arial" w:cs="Arial"/>
          <w:sz w:val="20"/>
          <w:szCs w:val="20"/>
        </w:rPr>
        <w:t>, Chizuru Iwatani</w:t>
      </w:r>
      <w:r w:rsidRPr="0079160F">
        <w:rPr>
          <w:rFonts w:ascii="Arial" w:hAnsi="Arial" w:cs="Arial"/>
          <w:sz w:val="20"/>
          <w:szCs w:val="20"/>
          <w:vertAlign w:val="superscript"/>
        </w:rPr>
        <w:t>3</w:t>
      </w:r>
      <w:r w:rsidRPr="0079160F">
        <w:rPr>
          <w:rFonts w:ascii="Arial" w:hAnsi="Arial" w:cs="Arial"/>
          <w:sz w:val="20"/>
          <w:szCs w:val="20"/>
        </w:rPr>
        <w:t>, Hideaki Tsuchiya</w:t>
      </w:r>
      <w:r w:rsidRPr="0079160F">
        <w:rPr>
          <w:rFonts w:ascii="Arial" w:hAnsi="Arial" w:cs="Arial"/>
          <w:sz w:val="20"/>
          <w:szCs w:val="20"/>
          <w:vertAlign w:val="superscript"/>
        </w:rPr>
        <w:t>3</w:t>
      </w:r>
      <w:r w:rsidRPr="0079160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9160F">
        <w:rPr>
          <w:rFonts w:ascii="Arial" w:hAnsi="Arial" w:cs="Arial"/>
          <w:sz w:val="20"/>
          <w:szCs w:val="20"/>
        </w:rPr>
        <w:t>Yasunari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 Seita</w:t>
      </w:r>
      <w:r w:rsidRPr="0079160F">
        <w:rPr>
          <w:rFonts w:ascii="Arial" w:hAnsi="Arial" w:cs="Arial"/>
          <w:sz w:val="20"/>
          <w:szCs w:val="20"/>
          <w:vertAlign w:val="superscript"/>
        </w:rPr>
        <w:t>3</w:t>
      </w:r>
      <w:r w:rsidRPr="0079160F">
        <w:rPr>
          <w:rFonts w:ascii="Arial" w:hAnsi="Arial" w:cs="Arial"/>
          <w:sz w:val="20"/>
          <w:szCs w:val="20"/>
        </w:rPr>
        <w:t>,</w:t>
      </w:r>
      <w:r w:rsidRPr="007454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A3605" w:rsidRPr="00745482">
        <w:rPr>
          <w:rFonts w:ascii="Arial" w:hAnsi="Arial" w:cs="Arial"/>
          <w:color w:val="000000" w:themeColor="text1"/>
          <w:sz w:val="20"/>
          <w:szCs w:val="20"/>
          <w:lang w:eastAsia="ja-JP"/>
        </w:rPr>
        <w:t>Yu-Wei Chang</w:t>
      </w:r>
      <w:r w:rsidR="008A3605" w:rsidRPr="00745482">
        <w:rPr>
          <w:rFonts w:ascii="Arial" w:hAnsi="Arial" w:cs="Arial"/>
          <w:color w:val="000000" w:themeColor="text1"/>
          <w:sz w:val="20"/>
          <w:szCs w:val="20"/>
          <w:vertAlign w:val="superscript"/>
          <w:lang w:eastAsia="ja-JP"/>
        </w:rPr>
        <w:t>4</w:t>
      </w:r>
      <w:r w:rsidR="008A3605" w:rsidRPr="00745482">
        <w:rPr>
          <w:rFonts w:ascii="Arial" w:hAnsi="Arial" w:cs="Arial"/>
          <w:color w:val="000000" w:themeColor="text1"/>
          <w:sz w:val="20"/>
          <w:szCs w:val="20"/>
          <w:lang w:eastAsia="ja-JP"/>
        </w:rPr>
        <w:t>,</w:t>
      </w:r>
      <w:r w:rsidR="008A3605">
        <w:rPr>
          <w:rFonts w:ascii="Arial" w:hAnsi="Arial" w:cs="Arial"/>
          <w:b/>
          <w:color w:val="FF0000"/>
          <w:sz w:val="20"/>
          <w:szCs w:val="20"/>
          <w:lang w:eastAsia="ja-JP"/>
        </w:rPr>
        <w:t xml:space="preserve"> </w:t>
      </w:r>
      <w:proofErr w:type="spellStart"/>
      <w:r w:rsidRPr="0079160F">
        <w:rPr>
          <w:rFonts w:ascii="Arial" w:hAnsi="Arial" w:cs="Arial"/>
          <w:sz w:val="20"/>
          <w:szCs w:val="20"/>
        </w:rPr>
        <w:t>Ikuhiro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 Okamoto</w:t>
      </w:r>
      <w:r w:rsidR="00785C45">
        <w:rPr>
          <w:rFonts w:ascii="Arial" w:hAnsi="Arial" w:cs="Arial"/>
          <w:sz w:val="20"/>
          <w:szCs w:val="20"/>
          <w:vertAlign w:val="superscript"/>
        </w:rPr>
        <w:t>5</w:t>
      </w:r>
      <w:r w:rsidRPr="0079160F">
        <w:rPr>
          <w:rFonts w:ascii="Arial" w:hAnsi="Arial" w:cs="Arial"/>
          <w:sz w:val="20"/>
          <w:szCs w:val="20"/>
          <w:vertAlign w:val="superscript"/>
        </w:rPr>
        <w:t xml:space="preserve">, </w:t>
      </w:r>
      <w:r w:rsidR="00785C45">
        <w:rPr>
          <w:rFonts w:ascii="Arial" w:hAnsi="Arial" w:cs="Arial"/>
          <w:sz w:val="20"/>
          <w:szCs w:val="20"/>
          <w:vertAlign w:val="superscript"/>
        </w:rPr>
        <w:t>6</w:t>
      </w:r>
      <w:r w:rsidRPr="0079160F">
        <w:rPr>
          <w:rFonts w:ascii="Arial" w:hAnsi="Arial" w:cs="Arial"/>
          <w:sz w:val="20"/>
          <w:szCs w:val="20"/>
          <w:vertAlign w:val="superscript"/>
        </w:rPr>
        <w:t xml:space="preserve">, </w:t>
      </w:r>
      <w:r w:rsidR="00785C45">
        <w:rPr>
          <w:rFonts w:ascii="Arial" w:hAnsi="Arial" w:cs="Arial"/>
          <w:sz w:val="20"/>
          <w:szCs w:val="20"/>
          <w:vertAlign w:val="superscript"/>
        </w:rPr>
        <w:t>7</w:t>
      </w:r>
      <w:r w:rsidRPr="0079160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9160F">
        <w:rPr>
          <w:rFonts w:ascii="Arial" w:hAnsi="Arial" w:cs="Arial"/>
          <w:sz w:val="20"/>
          <w:szCs w:val="20"/>
        </w:rPr>
        <w:t>Mitinori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 Saitou</w:t>
      </w:r>
      <w:r w:rsidR="00785C45">
        <w:rPr>
          <w:rFonts w:ascii="Arial" w:hAnsi="Arial" w:cs="Arial"/>
          <w:sz w:val="20"/>
          <w:szCs w:val="20"/>
          <w:vertAlign w:val="superscript"/>
        </w:rPr>
        <w:t>5</w:t>
      </w:r>
      <w:r w:rsidRPr="0079160F">
        <w:rPr>
          <w:rFonts w:ascii="Arial" w:hAnsi="Arial" w:cs="Arial"/>
          <w:sz w:val="20"/>
          <w:szCs w:val="20"/>
          <w:vertAlign w:val="superscript"/>
        </w:rPr>
        <w:t xml:space="preserve">, </w:t>
      </w:r>
      <w:r w:rsidR="00785C45">
        <w:rPr>
          <w:rFonts w:ascii="Arial" w:hAnsi="Arial" w:cs="Arial"/>
          <w:sz w:val="20"/>
          <w:szCs w:val="20"/>
          <w:vertAlign w:val="superscript"/>
        </w:rPr>
        <w:t>7</w:t>
      </w:r>
      <w:r w:rsidRPr="0079160F">
        <w:rPr>
          <w:rFonts w:ascii="Arial" w:hAnsi="Arial" w:cs="Arial"/>
          <w:sz w:val="20"/>
          <w:szCs w:val="20"/>
          <w:vertAlign w:val="superscript"/>
        </w:rPr>
        <w:t xml:space="preserve">, </w:t>
      </w:r>
      <w:r w:rsidR="00785C45">
        <w:rPr>
          <w:rFonts w:ascii="Arial" w:hAnsi="Arial" w:cs="Arial"/>
          <w:sz w:val="20"/>
          <w:szCs w:val="20"/>
          <w:vertAlign w:val="superscript"/>
        </w:rPr>
        <w:t>8</w:t>
      </w:r>
      <w:r w:rsidRPr="0079160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9160F">
        <w:rPr>
          <w:rFonts w:ascii="Arial" w:hAnsi="Arial" w:cs="Arial"/>
          <w:sz w:val="20"/>
          <w:szCs w:val="20"/>
        </w:rPr>
        <w:t>Masatsugu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 Ema</w:t>
      </w:r>
      <w:r w:rsidRPr="0079160F">
        <w:rPr>
          <w:rFonts w:ascii="Arial" w:hAnsi="Arial" w:cs="Arial"/>
          <w:sz w:val="20"/>
          <w:szCs w:val="20"/>
          <w:vertAlign w:val="superscript"/>
        </w:rPr>
        <w:t xml:space="preserve">3, </w:t>
      </w:r>
      <w:r w:rsidR="00785C45">
        <w:rPr>
          <w:rFonts w:ascii="Arial" w:hAnsi="Arial" w:cs="Arial"/>
          <w:sz w:val="20"/>
          <w:szCs w:val="20"/>
          <w:vertAlign w:val="superscript"/>
        </w:rPr>
        <w:t>7</w:t>
      </w:r>
      <w:r w:rsidRPr="0079160F">
        <w:rPr>
          <w:rFonts w:ascii="Arial" w:hAnsi="Arial" w:cs="Arial"/>
          <w:sz w:val="20"/>
          <w:szCs w:val="20"/>
        </w:rPr>
        <w:t>, Theodore J. Perkins</w:t>
      </w:r>
      <w:r w:rsidRPr="0079160F">
        <w:rPr>
          <w:rFonts w:ascii="Arial" w:hAnsi="Arial" w:cs="Arial"/>
          <w:sz w:val="20"/>
          <w:szCs w:val="20"/>
          <w:vertAlign w:val="superscript"/>
        </w:rPr>
        <w:t>2</w:t>
      </w:r>
      <w:r w:rsidRPr="0079160F">
        <w:rPr>
          <w:rFonts w:ascii="Arial" w:hAnsi="Arial" w:cs="Arial"/>
          <w:sz w:val="20"/>
          <w:szCs w:val="20"/>
        </w:rPr>
        <w:t>, William L. Stanford</w:t>
      </w:r>
      <w:r w:rsidRPr="0079160F">
        <w:rPr>
          <w:rFonts w:ascii="Arial" w:hAnsi="Arial" w:cs="Arial"/>
          <w:sz w:val="20"/>
          <w:szCs w:val="20"/>
          <w:vertAlign w:val="superscript"/>
        </w:rPr>
        <w:t xml:space="preserve">2, </w:t>
      </w:r>
      <w:r w:rsidR="00785C45">
        <w:rPr>
          <w:rFonts w:ascii="Arial" w:hAnsi="Arial" w:cs="Arial"/>
          <w:sz w:val="20"/>
          <w:szCs w:val="20"/>
          <w:vertAlign w:val="superscript"/>
        </w:rPr>
        <w:t>9</w:t>
      </w:r>
      <w:r w:rsidRPr="0079160F">
        <w:rPr>
          <w:rFonts w:ascii="Arial" w:hAnsi="Arial" w:cs="Arial"/>
          <w:sz w:val="20"/>
          <w:szCs w:val="20"/>
        </w:rPr>
        <w:t>, and Satoshi Tanaka</w:t>
      </w:r>
      <w:r w:rsidRPr="0079160F">
        <w:rPr>
          <w:rFonts w:ascii="Arial" w:hAnsi="Arial" w:cs="Arial"/>
          <w:sz w:val="20"/>
          <w:szCs w:val="20"/>
          <w:vertAlign w:val="superscript"/>
        </w:rPr>
        <w:t>1, *</w:t>
      </w:r>
    </w:p>
    <w:p w14:paraId="2910EC20" w14:textId="77777777" w:rsidR="001C44F8" w:rsidRPr="0079160F" w:rsidRDefault="001C44F8" w:rsidP="001C44F8">
      <w:pPr>
        <w:rPr>
          <w:rFonts w:ascii="Arial" w:hAnsi="Arial" w:cs="Arial"/>
          <w:b/>
          <w:sz w:val="20"/>
          <w:szCs w:val="20"/>
        </w:rPr>
      </w:pPr>
    </w:p>
    <w:p w14:paraId="093F5913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cs"/>
          <w:sz w:val="20"/>
          <w:szCs w:val="20"/>
          <w:vertAlign w:val="superscript"/>
        </w:rPr>
        <w:t>1</w:t>
      </w:r>
      <w:r w:rsidRPr="0079160F">
        <w:rPr>
          <w:rFonts w:ascii="Arial" w:hAnsi="Arial" w:cs="Arial"/>
          <w:sz w:val="20"/>
          <w:szCs w:val="20"/>
        </w:rPr>
        <w:t xml:space="preserve"> Department of Animal Resource Sciences, Graduate School of Agricultural and Life Sciences, The University of Tokyo, Tokyo 113-8657, Japan;</w:t>
      </w:r>
    </w:p>
    <w:p w14:paraId="5E48F263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eastAsia"/>
          <w:sz w:val="20"/>
          <w:szCs w:val="20"/>
          <w:vertAlign w:val="superscript"/>
        </w:rPr>
        <w:t>2</w:t>
      </w:r>
      <w:r w:rsidRPr="0079160F">
        <w:rPr>
          <w:rFonts w:ascii="Arial" w:hAnsi="Arial" w:cs="Arial"/>
          <w:sz w:val="20"/>
          <w:szCs w:val="20"/>
        </w:rPr>
        <w:t xml:space="preserve"> The Ottawa Hospital Research Institute, Ottawa ON K1H 8L6, Canada;</w:t>
      </w:r>
    </w:p>
    <w:p w14:paraId="2F879A8E" w14:textId="77777777" w:rsidR="001C44F8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eastAsia"/>
          <w:sz w:val="20"/>
          <w:szCs w:val="20"/>
          <w:vertAlign w:val="superscript"/>
        </w:rPr>
        <w:t>3</w:t>
      </w:r>
      <w:r w:rsidRPr="0079160F">
        <w:rPr>
          <w:rFonts w:ascii="Arial" w:hAnsi="Arial" w:cs="Arial"/>
          <w:sz w:val="20"/>
          <w:szCs w:val="20"/>
        </w:rPr>
        <w:t xml:space="preserve"> Department of Stem Cells and Human Disease Models, Research Center for Animal Life Sciences, Shiga University of Medical Sciences, Shiga 520-2192, Japan;</w:t>
      </w:r>
    </w:p>
    <w:p w14:paraId="00410438" w14:textId="77777777" w:rsidR="008A3605" w:rsidRPr="00745482" w:rsidRDefault="008A3605" w:rsidP="001C44F8">
      <w:pPr>
        <w:rPr>
          <w:rFonts w:ascii="Arial" w:hAnsi="Arial" w:cs="Arial"/>
          <w:color w:val="000000" w:themeColor="text1"/>
          <w:sz w:val="20"/>
          <w:szCs w:val="20"/>
        </w:rPr>
      </w:pPr>
      <w:r w:rsidRPr="00745482">
        <w:rPr>
          <w:rFonts w:ascii="Arial" w:hAnsi="Arial" w:cs="Arial" w:hint="eastAsia"/>
          <w:color w:val="000000" w:themeColor="text1"/>
          <w:sz w:val="20"/>
          <w:szCs w:val="20"/>
          <w:vertAlign w:val="superscript"/>
        </w:rPr>
        <w:t>4</w:t>
      </w:r>
      <w:r w:rsidRPr="00745482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745482">
        <w:rPr>
          <w:rFonts w:ascii="Arial" w:hAnsi="Arial" w:cs="Arial"/>
          <w:color w:val="000000" w:themeColor="text1"/>
          <w:sz w:val="20"/>
          <w:szCs w:val="20"/>
        </w:rPr>
        <w:t>Department of Veterinary Physiology, Graduate School of Agricultural and Life Sciences, The University of Tokyo, Tokyo 113-8657, Japan;</w:t>
      </w:r>
    </w:p>
    <w:p w14:paraId="594B8885" w14:textId="04C8A3B8" w:rsidR="001C44F8" w:rsidRPr="0079160F" w:rsidRDefault="00B671E6" w:rsidP="001C44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 w:rsidRPr="0079160F">
        <w:rPr>
          <w:rFonts w:ascii="Arial" w:hAnsi="Arial" w:cs="Arial"/>
          <w:sz w:val="20"/>
          <w:szCs w:val="20"/>
        </w:rPr>
        <w:t xml:space="preserve"> </w:t>
      </w:r>
      <w:r w:rsidR="001C44F8" w:rsidRPr="0079160F">
        <w:rPr>
          <w:rFonts w:ascii="Arial" w:hAnsi="Arial" w:cs="Arial"/>
          <w:sz w:val="20"/>
          <w:szCs w:val="20"/>
        </w:rPr>
        <w:t xml:space="preserve">Department </w:t>
      </w:r>
      <w:r w:rsidR="001C44F8" w:rsidRPr="0079160F">
        <w:rPr>
          <w:rFonts w:ascii="Arial" w:eastAsia="Arial" w:hAnsi="Arial" w:cs="Arial"/>
          <w:sz w:val="20"/>
          <w:szCs w:val="20"/>
        </w:rPr>
        <w:t>of</w:t>
      </w:r>
      <w:r w:rsidR="001C44F8" w:rsidRPr="0079160F">
        <w:rPr>
          <w:rFonts w:ascii="Arial" w:hAnsi="Arial" w:cs="Arial"/>
          <w:sz w:val="20"/>
          <w:szCs w:val="20"/>
        </w:rPr>
        <w:t xml:space="preserve"> Anatomy and Cell Biology, Graduate School of Medicine, Kyoto University, Kyoto 606-8501, Japan;</w:t>
      </w:r>
    </w:p>
    <w:p w14:paraId="41C14EA7" w14:textId="70C4328E" w:rsidR="001C44F8" w:rsidRPr="0079160F" w:rsidRDefault="00B671E6" w:rsidP="001C44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 w:rsidRPr="0079160F">
        <w:rPr>
          <w:rFonts w:ascii="Arial" w:hAnsi="Arial" w:cs="Arial"/>
          <w:sz w:val="20"/>
          <w:szCs w:val="20"/>
        </w:rPr>
        <w:t xml:space="preserve"> </w:t>
      </w:r>
      <w:r w:rsidR="001C44F8" w:rsidRPr="0079160F">
        <w:rPr>
          <w:rFonts w:ascii="Arial" w:hAnsi="Arial" w:cs="Arial"/>
          <w:sz w:val="20"/>
          <w:szCs w:val="20"/>
        </w:rPr>
        <w:t>Japan Science and Technology (JST), Exploratory Research for Advanced Technology (ERATO), Kyoto, Japan;</w:t>
      </w:r>
    </w:p>
    <w:p w14:paraId="2FF339F4" w14:textId="3C60981A" w:rsidR="001C44F8" w:rsidRPr="0079160F" w:rsidRDefault="00B671E6" w:rsidP="001C44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7</w:t>
      </w:r>
      <w:r w:rsidRPr="0079160F">
        <w:rPr>
          <w:rFonts w:ascii="Arial" w:hAnsi="Arial" w:cs="Arial"/>
          <w:sz w:val="20"/>
          <w:szCs w:val="20"/>
        </w:rPr>
        <w:t xml:space="preserve"> </w:t>
      </w:r>
      <w:r w:rsidR="001C44F8" w:rsidRPr="0079160F">
        <w:rPr>
          <w:rFonts w:ascii="Arial" w:hAnsi="Arial" w:cs="Arial"/>
          <w:sz w:val="20"/>
          <w:szCs w:val="20"/>
        </w:rPr>
        <w:t>Institute for Advanced Study of Human Biology (</w:t>
      </w:r>
      <w:proofErr w:type="spellStart"/>
      <w:r w:rsidR="001C44F8" w:rsidRPr="0079160F">
        <w:rPr>
          <w:rFonts w:ascii="Arial" w:hAnsi="Arial" w:cs="Arial"/>
          <w:sz w:val="20"/>
          <w:szCs w:val="20"/>
        </w:rPr>
        <w:t>WPI-ASHBi</w:t>
      </w:r>
      <w:proofErr w:type="spellEnd"/>
      <w:r w:rsidR="001C44F8" w:rsidRPr="0079160F">
        <w:rPr>
          <w:rFonts w:ascii="Arial" w:hAnsi="Arial" w:cs="Arial"/>
          <w:sz w:val="20"/>
          <w:szCs w:val="20"/>
        </w:rPr>
        <w:t>), Kyoto University, Kyoto 606-8501, Japan;</w:t>
      </w:r>
    </w:p>
    <w:p w14:paraId="210324F4" w14:textId="0A82B51F" w:rsidR="001C44F8" w:rsidRPr="0079160F" w:rsidRDefault="00B671E6" w:rsidP="001C44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8</w:t>
      </w:r>
      <w:r w:rsidRPr="0079160F">
        <w:rPr>
          <w:rFonts w:ascii="Arial" w:hAnsi="Arial" w:cs="Arial"/>
          <w:sz w:val="20"/>
          <w:szCs w:val="20"/>
        </w:rPr>
        <w:t xml:space="preserve"> </w:t>
      </w:r>
      <w:r w:rsidR="001C44F8" w:rsidRPr="0079160F">
        <w:rPr>
          <w:rFonts w:ascii="Arial" w:hAnsi="Arial" w:cs="Arial"/>
          <w:sz w:val="20"/>
          <w:szCs w:val="20"/>
        </w:rPr>
        <w:t>Center for iPS Cell Research and Application (</w:t>
      </w:r>
      <w:proofErr w:type="spellStart"/>
      <w:r w:rsidR="001C44F8" w:rsidRPr="0079160F">
        <w:rPr>
          <w:rFonts w:ascii="Arial" w:hAnsi="Arial" w:cs="Arial"/>
          <w:sz w:val="20"/>
          <w:szCs w:val="20"/>
        </w:rPr>
        <w:t>CiRA</w:t>
      </w:r>
      <w:proofErr w:type="spellEnd"/>
      <w:r w:rsidR="001C44F8" w:rsidRPr="0079160F">
        <w:rPr>
          <w:rFonts w:ascii="Arial" w:hAnsi="Arial" w:cs="Arial"/>
          <w:sz w:val="20"/>
          <w:szCs w:val="20"/>
        </w:rPr>
        <w:t>), Kyoto 606-8507, Japan;</w:t>
      </w:r>
    </w:p>
    <w:p w14:paraId="10AD59EB" w14:textId="4DFB2283" w:rsidR="001C44F8" w:rsidRPr="0079160F" w:rsidRDefault="00B671E6" w:rsidP="001C44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9</w:t>
      </w:r>
      <w:r w:rsidRPr="0079160F">
        <w:rPr>
          <w:rFonts w:ascii="Arial" w:hAnsi="Arial" w:cs="Arial"/>
          <w:sz w:val="20"/>
          <w:szCs w:val="20"/>
        </w:rPr>
        <w:t xml:space="preserve"> </w:t>
      </w:r>
      <w:r w:rsidR="001C44F8" w:rsidRPr="0079160F">
        <w:rPr>
          <w:rFonts w:ascii="Arial" w:hAnsi="Arial" w:cs="Arial"/>
          <w:sz w:val="20"/>
          <w:szCs w:val="20"/>
        </w:rPr>
        <w:t>Department of Cellular and Molecular Medicine, University of Ottawa, Ottawa K1H 8M5, Canada;</w:t>
      </w:r>
    </w:p>
    <w:p w14:paraId="655F4577" w14:textId="77777777" w:rsidR="001C44F8" w:rsidRPr="0079160F" w:rsidRDefault="001C44F8" w:rsidP="001C44F8">
      <w:pPr>
        <w:rPr>
          <w:rFonts w:ascii="Arial" w:hAnsi="Arial" w:cs="Arial"/>
          <w:sz w:val="20"/>
          <w:szCs w:val="20"/>
          <w:vertAlign w:val="superscript"/>
        </w:rPr>
      </w:pPr>
    </w:p>
    <w:p w14:paraId="12F8CFCF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eastAsia"/>
          <w:sz w:val="20"/>
          <w:szCs w:val="20"/>
          <w:vertAlign w:val="superscript"/>
        </w:rPr>
        <w:t>*</w:t>
      </w:r>
      <w:r w:rsidRPr="0079160F">
        <w:rPr>
          <w:rFonts w:ascii="Arial" w:hAnsi="Arial" w:cs="Arial" w:hint="eastAsia"/>
          <w:sz w:val="20"/>
          <w:szCs w:val="20"/>
        </w:rPr>
        <w:t xml:space="preserve"> </w:t>
      </w:r>
      <w:r w:rsidRPr="0079160F">
        <w:rPr>
          <w:rFonts w:ascii="Arial" w:hAnsi="Arial" w:cs="Arial"/>
          <w:sz w:val="20"/>
          <w:szCs w:val="20"/>
        </w:rPr>
        <w:t>To whom correspondence should be addressed: Satoshi Tanaka.</w:t>
      </w:r>
    </w:p>
    <w:p w14:paraId="6E48E90D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/>
          <w:sz w:val="20"/>
          <w:szCs w:val="20"/>
        </w:rPr>
        <w:t>Department of Animal Resource Sciences, Graduate School of Agricultural and Life Sciences, The University of Tokyo, Tokyo 113-8657, Japan</w:t>
      </w:r>
    </w:p>
    <w:p w14:paraId="7E21820B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eastAsia"/>
          <w:sz w:val="20"/>
          <w:szCs w:val="20"/>
        </w:rPr>
        <w:t>T</w:t>
      </w:r>
      <w:r w:rsidRPr="0079160F">
        <w:rPr>
          <w:rFonts w:ascii="Arial" w:hAnsi="Arial" w:cs="Arial"/>
          <w:sz w:val="20"/>
          <w:szCs w:val="20"/>
        </w:rPr>
        <w:t>EL/FAX: +81-3-5841-5472/+81-3-5841-8189</w:t>
      </w:r>
    </w:p>
    <w:p w14:paraId="6686D69B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/>
          <w:sz w:val="20"/>
          <w:szCs w:val="20"/>
        </w:rPr>
        <w:t>Email: asatoshi@mail.ecc.u-tokyo.ac.jp</w:t>
      </w:r>
    </w:p>
    <w:p w14:paraId="5DE3E6D4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</w:p>
    <w:p w14:paraId="0B1B29C9" w14:textId="77777777" w:rsidR="001C44F8" w:rsidRPr="0079160F" w:rsidRDefault="001C44F8" w:rsidP="001C44F8">
      <w:pPr>
        <w:rPr>
          <w:rFonts w:ascii="Arial" w:hAnsi="Arial" w:cs="Arial"/>
          <w:b/>
          <w:sz w:val="20"/>
          <w:szCs w:val="20"/>
        </w:rPr>
      </w:pPr>
      <w:r w:rsidRPr="0079160F">
        <w:rPr>
          <w:rFonts w:ascii="Arial" w:hAnsi="Arial" w:cs="Arial"/>
          <w:b/>
          <w:sz w:val="20"/>
          <w:szCs w:val="20"/>
        </w:rPr>
        <w:t>Table S1-S6</w:t>
      </w:r>
    </w:p>
    <w:p w14:paraId="7E085B90" w14:textId="1A6C670C" w:rsidR="001C44F8" w:rsidRPr="0079160F" w:rsidRDefault="001C44F8" w:rsidP="001C44F8">
      <w:pPr>
        <w:widowControl/>
        <w:jc w:val="left"/>
        <w:rPr>
          <w:rFonts w:ascii="Arial" w:hAnsi="Arial" w:cs="Arial"/>
          <w:b/>
          <w:sz w:val="20"/>
          <w:szCs w:val="20"/>
        </w:rPr>
      </w:pPr>
      <w:r w:rsidRPr="0079160F">
        <w:rPr>
          <w:rFonts w:ascii="Arial" w:hAnsi="Arial" w:cs="Arial" w:hint="eastAsia"/>
          <w:b/>
          <w:sz w:val="20"/>
          <w:szCs w:val="20"/>
        </w:rPr>
        <w:t>F</w:t>
      </w:r>
      <w:r w:rsidRPr="0079160F">
        <w:rPr>
          <w:rFonts w:ascii="Arial" w:hAnsi="Arial" w:cs="Arial"/>
          <w:b/>
          <w:sz w:val="20"/>
          <w:szCs w:val="20"/>
        </w:rPr>
        <w:t>igure S1-S12</w:t>
      </w:r>
      <w:r w:rsidRPr="0079160F">
        <w:br w:type="page"/>
      </w:r>
    </w:p>
    <w:p w14:paraId="21AD8C5D" w14:textId="77777777" w:rsidR="001C44F8" w:rsidRPr="0079160F" w:rsidRDefault="001C44F8" w:rsidP="001C44F8">
      <w:pPr>
        <w:rPr>
          <w:rFonts w:ascii="Arial" w:hAnsi="Arial" w:cs="Arial"/>
          <w:b/>
          <w:sz w:val="20"/>
          <w:szCs w:val="20"/>
        </w:rPr>
      </w:pPr>
      <w:r w:rsidRPr="0079160F">
        <w:rPr>
          <w:rFonts w:ascii="Arial" w:hAnsi="Arial" w:cs="Arial"/>
          <w:b/>
          <w:sz w:val="20"/>
          <w:szCs w:val="20"/>
        </w:rPr>
        <w:lastRenderedPageBreak/>
        <w:t xml:space="preserve">Supplementary </w:t>
      </w:r>
      <w:r w:rsidRPr="0079160F">
        <w:rPr>
          <w:rFonts w:ascii="Arial" w:hAnsi="Arial" w:cs="Arial" w:hint="eastAsia"/>
          <w:b/>
          <w:sz w:val="20"/>
          <w:szCs w:val="20"/>
        </w:rPr>
        <w:t>T</w:t>
      </w:r>
      <w:r w:rsidRPr="0079160F">
        <w:rPr>
          <w:rFonts w:ascii="Arial" w:hAnsi="Arial" w:cs="Arial"/>
          <w:b/>
          <w:sz w:val="20"/>
          <w:szCs w:val="20"/>
        </w:rPr>
        <w:t xml:space="preserve">able S1. </w:t>
      </w:r>
      <w:r w:rsidRPr="0079160F">
        <w:rPr>
          <w:rFonts w:ascii="Arial" w:hAnsi="Arial" w:cs="Arial"/>
          <w:sz w:val="20"/>
          <w:szCs w:val="20"/>
        </w:rPr>
        <w:t>Top 30 list of &gt; 2-fold over-</w:t>
      </w:r>
      <w:r w:rsidRPr="0079160F">
        <w:rPr>
          <w:rFonts w:ascii="Arial" w:eastAsia="Arial" w:hAnsi="Arial" w:cs="Arial"/>
          <w:sz w:val="20"/>
          <w:szCs w:val="20"/>
        </w:rPr>
        <w:t>represented</w:t>
      </w:r>
      <w:r w:rsidRPr="0079160F">
        <w:rPr>
          <w:rFonts w:ascii="Arial" w:hAnsi="Arial" w:cs="Arial"/>
          <w:sz w:val="20"/>
          <w:szCs w:val="20"/>
        </w:rPr>
        <w:t xml:space="preserve"> genes in RNA-</w:t>
      </w:r>
      <w:proofErr w:type="spellStart"/>
      <w:r w:rsidRPr="0079160F">
        <w:rPr>
          <w:rFonts w:ascii="Arial" w:hAnsi="Arial" w:cs="Arial"/>
          <w:sz w:val="20"/>
          <w:szCs w:val="20"/>
        </w:rPr>
        <w:t>seq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 data of all </w:t>
      </w:r>
      <w:proofErr w:type="spellStart"/>
      <w:r w:rsidRPr="0079160F">
        <w:rPr>
          <w:rFonts w:ascii="Arial" w:hAnsi="Arial" w:cs="Arial"/>
          <w:sz w:val="20"/>
          <w:szCs w:val="20"/>
        </w:rPr>
        <w:t>macTSCs</w:t>
      </w:r>
      <w:proofErr w:type="spellEnd"/>
      <w:r w:rsidRPr="0079160F">
        <w:rPr>
          <w:rFonts w:ascii="Arial" w:hAnsi="Arial" w:cs="Arial"/>
          <w:sz w:val="20"/>
          <w:szCs w:val="20"/>
        </w:rPr>
        <w:t>* compared to that of ESC</w:t>
      </w:r>
      <w:r w:rsidRPr="0079160F">
        <w:rPr>
          <w:rFonts w:ascii="Arial" w:eastAsia="Arial" w:hAnsi="Arial" w:cs="Arial"/>
          <w:sz w:val="20"/>
          <w:szCs w:val="20"/>
        </w:rPr>
        <w:t>.</w:t>
      </w:r>
    </w:p>
    <w:p w14:paraId="19EE98BD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FA53B01" wp14:editId="30D583F5">
            <wp:extent cx="5396230" cy="3839845"/>
            <wp:effectExtent l="0" t="0" r="0" b="0"/>
            <wp:docPr id="56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39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66530A" w14:textId="77777777" w:rsidR="001C44F8" w:rsidRPr="0079160F" w:rsidRDefault="001C44F8" w:rsidP="001C44F8">
      <w:pPr>
        <w:rPr>
          <w:rFonts w:ascii="Arial" w:hAnsi="Arial" w:cs="Arial"/>
          <w:sz w:val="12"/>
          <w:szCs w:val="12"/>
        </w:rPr>
      </w:pPr>
      <w:r w:rsidRPr="0079160F">
        <w:rPr>
          <w:rFonts w:ascii="Arial" w:hAnsi="Arial" w:cs="Arial" w:hint="eastAsia"/>
          <w:sz w:val="12"/>
          <w:szCs w:val="12"/>
        </w:rPr>
        <w:t>*</w:t>
      </w:r>
      <w:r w:rsidRPr="0079160F">
        <w:rPr>
          <w:rFonts w:ascii="Arial" w:hAnsi="Arial" w:cs="Arial"/>
          <w:sz w:val="12"/>
          <w:szCs w:val="12"/>
        </w:rPr>
        <w:t>, in AFHBY (#1, 2) or FHBY (#3-5) conditions; FC, fold-change</w:t>
      </w:r>
    </w:p>
    <w:p w14:paraId="7D8C924D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</w:p>
    <w:p w14:paraId="14D594ED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br w:type="page"/>
      </w:r>
    </w:p>
    <w:p w14:paraId="60BF12CD" w14:textId="77777777" w:rsidR="001C44F8" w:rsidRPr="0079160F" w:rsidRDefault="001C44F8" w:rsidP="001C44F8">
      <w:pPr>
        <w:rPr>
          <w:rFonts w:ascii="Arial" w:hAnsi="Arial" w:cs="Arial"/>
          <w:b/>
          <w:sz w:val="20"/>
          <w:szCs w:val="20"/>
        </w:rPr>
      </w:pPr>
      <w:r w:rsidRPr="0079160F">
        <w:rPr>
          <w:rFonts w:ascii="Arial" w:hAnsi="Arial" w:cs="Arial"/>
          <w:b/>
          <w:sz w:val="20"/>
          <w:szCs w:val="20"/>
        </w:rPr>
        <w:lastRenderedPageBreak/>
        <w:t xml:space="preserve">Supplementary </w:t>
      </w:r>
      <w:r w:rsidRPr="0079160F">
        <w:rPr>
          <w:rFonts w:ascii="Arial" w:hAnsi="Arial" w:cs="Arial" w:hint="eastAsia"/>
          <w:b/>
          <w:sz w:val="20"/>
          <w:szCs w:val="20"/>
        </w:rPr>
        <w:t>T</w:t>
      </w:r>
      <w:r w:rsidRPr="0079160F">
        <w:rPr>
          <w:rFonts w:ascii="Arial" w:hAnsi="Arial" w:cs="Arial"/>
          <w:b/>
          <w:sz w:val="20"/>
          <w:szCs w:val="20"/>
        </w:rPr>
        <w:t xml:space="preserve">able S2. </w:t>
      </w:r>
      <w:r w:rsidRPr="0079160F">
        <w:rPr>
          <w:rFonts w:ascii="Arial" w:hAnsi="Arial" w:cs="Arial"/>
          <w:sz w:val="20"/>
          <w:szCs w:val="20"/>
        </w:rPr>
        <w:t>FPKM value of trophoblast markers from RNA-</w:t>
      </w:r>
      <w:proofErr w:type="spellStart"/>
      <w:r w:rsidRPr="0079160F">
        <w:rPr>
          <w:rFonts w:ascii="Arial" w:hAnsi="Arial" w:cs="Arial"/>
          <w:sz w:val="20"/>
          <w:szCs w:val="20"/>
        </w:rPr>
        <w:t>seq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 data</w:t>
      </w:r>
      <w:r w:rsidRPr="0079160F">
        <w:rPr>
          <w:rFonts w:ascii="Arial" w:eastAsia="Arial" w:hAnsi="Arial" w:cs="Arial"/>
          <w:sz w:val="20"/>
          <w:szCs w:val="20"/>
        </w:rPr>
        <w:t>.</w:t>
      </w:r>
    </w:p>
    <w:p w14:paraId="1D411FFC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0A342BBE" wp14:editId="0E7ED46B">
            <wp:extent cx="5396230" cy="1760855"/>
            <wp:effectExtent l="0" t="0" r="0" b="0"/>
            <wp:docPr id="6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760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74D465" w14:textId="77777777" w:rsidR="001C44F8" w:rsidRPr="0079160F" w:rsidRDefault="001C44F8" w:rsidP="001C44F8">
      <w:pPr>
        <w:widowControl/>
        <w:jc w:val="left"/>
        <w:rPr>
          <w:rFonts w:ascii="Arial" w:hAnsi="Arial" w:cs="Arial"/>
          <w:b/>
          <w:sz w:val="20"/>
          <w:szCs w:val="20"/>
        </w:rPr>
      </w:pPr>
      <w:r w:rsidRPr="0079160F">
        <w:br w:type="page"/>
      </w:r>
    </w:p>
    <w:p w14:paraId="2B051C55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eastAsia"/>
          <w:b/>
          <w:sz w:val="20"/>
          <w:szCs w:val="20"/>
        </w:rPr>
        <w:lastRenderedPageBreak/>
        <w:t>S</w:t>
      </w:r>
      <w:r w:rsidRPr="0079160F">
        <w:rPr>
          <w:rFonts w:ascii="Arial" w:hAnsi="Arial" w:cs="Arial"/>
          <w:b/>
          <w:sz w:val="20"/>
          <w:szCs w:val="20"/>
        </w:rPr>
        <w:t xml:space="preserve">upplementary Table S3. </w:t>
      </w:r>
      <w:r w:rsidRPr="0079160F">
        <w:rPr>
          <w:rFonts w:ascii="Arial" w:hAnsi="Arial" w:cs="Arial"/>
          <w:sz w:val="20"/>
          <w:szCs w:val="20"/>
        </w:rPr>
        <w:t>The number of single</w:t>
      </w:r>
      <w:r w:rsidRPr="0079160F">
        <w:rPr>
          <w:rFonts w:ascii="Arial" w:eastAsia="Arial" w:hAnsi="Arial" w:cs="Arial"/>
          <w:sz w:val="20"/>
          <w:szCs w:val="20"/>
        </w:rPr>
        <w:t xml:space="preserve"> and </w:t>
      </w:r>
      <w:r w:rsidRPr="0079160F">
        <w:rPr>
          <w:rFonts w:ascii="Arial" w:hAnsi="Arial" w:cs="Arial"/>
          <w:sz w:val="20"/>
          <w:szCs w:val="20"/>
        </w:rPr>
        <w:t xml:space="preserve">multinucleated </w:t>
      </w:r>
      <w:r w:rsidR="008A3605">
        <w:rPr>
          <w:rFonts w:ascii="Arial" w:hAnsi="Arial" w:cs="Arial"/>
          <w:sz w:val="20"/>
          <w:szCs w:val="20"/>
        </w:rPr>
        <w:t xml:space="preserve">(≥ 3 nuclei) </w:t>
      </w:r>
      <w:r w:rsidRPr="0079160F">
        <w:rPr>
          <w:rFonts w:ascii="Arial" w:hAnsi="Arial" w:cs="Arial"/>
          <w:sz w:val="20"/>
          <w:szCs w:val="20"/>
        </w:rPr>
        <w:t>cells</w:t>
      </w:r>
      <w:r w:rsidRPr="0079160F">
        <w:rPr>
          <w:rFonts w:ascii="Arial" w:eastAsia="Arial" w:hAnsi="Arial" w:cs="Arial"/>
          <w:sz w:val="20"/>
          <w:szCs w:val="20"/>
        </w:rPr>
        <w:t>.</w:t>
      </w:r>
    </w:p>
    <w:p w14:paraId="7E1CA318" w14:textId="3667ED08" w:rsidR="001C44F8" w:rsidRDefault="00280C30" w:rsidP="001C44F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7A467DF" wp14:editId="0588E84D">
            <wp:extent cx="5396230" cy="1715770"/>
            <wp:effectExtent l="0" t="0" r="127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le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9D518" w14:textId="37517373" w:rsidR="000E157F" w:rsidRDefault="000E157F" w:rsidP="001C44F8">
      <w:pPr>
        <w:rPr>
          <w:rFonts w:ascii="Arial" w:eastAsia="Arial" w:hAnsi="Arial" w:cs="Arial"/>
          <w:sz w:val="12"/>
          <w:szCs w:val="12"/>
        </w:rPr>
      </w:pPr>
      <w:r w:rsidRPr="00280C30">
        <w:rPr>
          <w:rFonts w:ascii="Arial" w:eastAsia="Arial" w:hAnsi="Arial" w:cs="Arial"/>
          <w:sz w:val="12"/>
          <w:szCs w:val="12"/>
        </w:rPr>
        <w:t>* N</w:t>
      </w:r>
      <w:r w:rsidR="00047B60">
        <w:rPr>
          <w:rFonts w:ascii="ＭＳ ゴシック" w:eastAsia="ＭＳ ゴシック" w:hAnsi="ＭＳ ゴシック" w:cs="ＭＳ ゴシック"/>
          <w:sz w:val="12"/>
          <w:szCs w:val="12"/>
          <w:lang w:eastAsia="ja-JP"/>
        </w:rPr>
        <w:t>,</w:t>
      </w:r>
      <w:r>
        <w:rPr>
          <w:rFonts w:ascii="Arial" w:eastAsia="Arial" w:hAnsi="Arial" w:cs="Arial" w:hint="eastAsia"/>
          <w:sz w:val="12"/>
          <w:szCs w:val="12"/>
          <w:lang w:eastAsia="ja-JP"/>
        </w:rPr>
        <w:t xml:space="preserve"> </w:t>
      </w:r>
      <w:r w:rsidRPr="00280C30">
        <w:rPr>
          <w:rFonts w:ascii="Arial" w:eastAsia="Arial" w:hAnsi="Arial" w:cs="Arial"/>
          <w:sz w:val="12"/>
          <w:szCs w:val="12"/>
        </w:rPr>
        <w:t xml:space="preserve">the </w:t>
      </w:r>
      <w:r w:rsidR="009D7911">
        <w:rPr>
          <w:rFonts w:ascii="Arial" w:eastAsia="Arial" w:hAnsi="Arial" w:cs="Arial"/>
          <w:sz w:val="12"/>
          <w:szCs w:val="12"/>
        </w:rPr>
        <w:t xml:space="preserve">number of </w:t>
      </w:r>
      <w:r w:rsidRPr="00280C30">
        <w:rPr>
          <w:rFonts w:ascii="Arial" w:eastAsia="Arial" w:hAnsi="Arial" w:cs="Arial"/>
          <w:sz w:val="12"/>
          <w:szCs w:val="12"/>
        </w:rPr>
        <w:t xml:space="preserve">nuclei </w:t>
      </w:r>
      <w:r w:rsidR="009D7911">
        <w:rPr>
          <w:rFonts w:ascii="Arial" w:eastAsia="Arial" w:hAnsi="Arial" w:cs="Arial"/>
          <w:sz w:val="12"/>
          <w:szCs w:val="12"/>
        </w:rPr>
        <w:t>in the</w:t>
      </w:r>
      <w:r w:rsidRPr="00280C30">
        <w:rPr>
          <w:rFonts w:ascii="Arial" w:eastAsia="Arial" w:hAnsi="Arial" w:cs="Arial"/>
          <w:sz w:val="12"/>
          <w:szCs w:val="12"/>
        </w:rPr>
        <w:t xml:space="preserve"> mu</w:t>
      </w:r>
      <w:r>
        <w:rPr>
          <w:rFonts w:ascii="Arial" w:eastAsia="Arial" w:hAnsi="Arial" w:cs="Arial"/>
          <w:sz w:val="12"/>
          <w:szCs w:val="12"/>
        </w:rPr>
        <w:t>ltinucleated cells</w:t>
      </w:r>
      <w:r w:rsidR="00047B60">
        <w:rPr>
          <w:rFonts w:ascii="Arial" w:eastAsia="Arial" w:hAnsi="Arial" w:cs="Arial"/>
          <w:sz w:val="12"/>
          <w:szCs w:val="12"/>
        </w:rPr>
        <w:t>;</w:t>
      </w:r>
      <w:r>
        <w:rPr>
          <w:rFonts w:ascii="Arial" w:eastAsia="Arial" w:hAnsi="Arial" w:cs="Arial"/>
          <w:sz w:val="12"/>
          <w:szCs w:val="12"/>
        </w:rPr>
        <w:t xml:space="preserve"> C</w:t>
      </w:r>
      <w:r w:rsidR="00047B60">
        <w:rPr>
          <w:rFonts w:ascii="Arial" w:eastAsia="Arial" w:hAnsi="Arial" w:cs="Arial"/>
          <w:sz w:val="12"/>
          <w:szCs w:val="12"/>
        </w:rPr>
        <w:t>,</w:t>
      </w:r>
      <w:r>
        <w:rPr>
          <w:rFonts w:ascii="Arial" w:eastAsia="Arial" w:hAnsi="Arial" w:cs="Arial"/>
          <w:sz w:val="12"/>
          <w:szCs w:val="12"/>
        </w:rPr>
        <w:t xml:space="preserve"> the number of multinucleated cells</w:t>
      </w:r>
      <w:r w:rsidR="00047B60">
        <w:rPr>
          <w:rFonts w:ascii="Arial" w:eastAsia="Arial" w:hAnsi="Arial" w:cs="Arial"/>
          <w:sz w:val="12"/>
          <w:szCs w:val="12"/>
        </w:rPr>
        <w:t>;</w:t>
      </w:r>
      <w:r>
        <w:rPr>
          <w:rFonts w:ascii="Arial" w:eastAsia="Arial" w:hAnsi="Arial" w:cs="Arial"/>
          <w:sz w:val="12"/>
          <w:szCs w:val="12"/>
        </w:rPr>
        <w:t xml:space="preserve"> T</w:t>
      </w:r>
      <w:r w:rsidR="00047B60">
        <w:rPr>
          <w:rFonts w:ascii="Arial" w:eastAsia="Arial" w:hAnsi="Arial" w:cs="Arial"/>
          <w:sz w:val="12"/>
          <w:szCs w:val="12"/>
        </w:rPr>
        <w:t>,</w:t>
      </w:r>
      <w:r>
        <w:rPr>
          <w:rFonts w:ascii="Arial" w:eastAsia="Arial" w:hAnsi="Arial" w:cs="Arial"/>
          <w:sz w:val="12"/>
          <w:szCs w:val="12"/>
        </w:rPr>
        <w:t xml:space="preserve"> the total </w:t>
      </w:r>
      <w:r w:rsidR="00047B60">
        <w:rPr>
          <w:rFonts w:ascii="Arial" w:eastAsia="Arial" w:hAnsi="Arial" w:cs="Arial"/>
          <w:sz w:val="12"/>
          <w:szCs w:val="12"/>
        </w:rPr>
        <w:t xml:space="preserve">number of </w:t>
      </w:r>
      <w:r>
        <w:rPr>
          <w:rFonts w:ascii="Arial" w:eastAsia="Arial" w:hAnsi="Arial" w:cs="Arial"/>
          <w:sz w:val="12"/>
          <w:szCs w:val="12"/>
        </w:rPr>
        <w:t>nuclei.</w:t>
      </w:r>
    </w:p>
    <w:p w14:paraId="32F73724" w14:textId="06B35FE3" w:rsidR="00AC4B2C" w:rsidRPr="00280C30" w:rsidRDefault="00AC4B2C" w:rsidP="001C44F8">
      <w:pPr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 w:hint="eastAsia"/>
          <w:sz w:val="12"/>
          <w:szCs w:val="12"/>
        </w:rPr>
        <w:t>*</w:t>
      </w:r>
      <w:r>
        <w:rPr>
          <w:rFonts w:ascii="Arial" w:eastAsia="Arial" w:hAnsi="Arial" w:cs="Arial"/>
          <w:sz w:val="12"/>
          <w:szCs w:val="12"/>
        </w:rPr>
        <w:t>* Fusion index = (N-C)/T</w:t>
      </w:r>
    </w:p>
    <w:p w14:paraId="2D60B97C" w14:textId="77777777" w:rsidR="001C44F8" w:rsidRPr="0079160F" w:rsidRDefault="001C44F8" w:rsidP="001C44F8">
      <w:pPr>
        <w:rPr>
          <w:rFonts w:ascii="Arial" w:hAnsi="Arial" w:cs="Arial"/>
          <w:sz w:val="12"/>
          <w:szCs w:val="12"/>
        </w:rPr>
      </w:pPr>
    </w:p>
    <w:p w14:paraId="72B893A0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br w:type="page"/>
      </w:r>
    </w:p>
    <w:p w14:paraId="2E044934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/>
          <w:b/>
          <w:sz w:val="20"/>
          <w:szCs w:val="20"/>
        </w:rPr>
        <w:lastRenderedPageBreak/>
        <w:t xml:space="preserve">Supplementary </w:t>
      </w:r>
      <w:r w:rsidRPr="0079160F">
        <w:rPr>
          <w:rFonts w:ascii="Arial" w:hAnsi="Arial" w:cs="Arial" w:hint="eastAsia"/>
          <w:b/>
          <w:sz w:val="20"/>
          <w:szCs w:val="20"/>
        </w:rPr>
        <w:t>T</w:t>
      </w:r>
      <w:r w:rsidRPr="0079160F">
        <w:rPr>
          <w:rFonts w:ascii="Arial" w:hAnsi="Arial" w:cs="Arial"/>
          <w:b/>
          <w:sz w:val="20"/>
          <w:szCs w:val="20"/>
        </w:rPr>
        <w:t xml:space="preserve">able S4. </w:t>
      </w:r>
      <w:r w:rsidRPr="0079160F">
        <w:rPr>
          <w:rFonts w:ascii="Arial" w:hAnsi="Arial" w:cs="Arial"/>
          <w:sz w:val="20"/>
          <w:szCs w:val="20"/>
        </w:rPr>
        <w:t xml:space="preserve">Top 30 list of 2-fold up-regulated genes by dbcAMP treatment in </w:t>
      </w:r>
      <w:proofErr w:type="spellStart"/>
      <w:r w:rsidRPr="0079160F">
        <w:rPr>
          <w:rFonts w:ascii="Arial" w:hAnsi="Arial" w:cs="Arial"/>
          <w:sz w:val="20"/>
          <w:szCs w:val="20"/>
        </w:rPr>
        <w:t>macTSCs</w:t>
      </w:r>
      <w:proofErr w:type="spellEnd"/>
      <w:r w:rsidRPr="0079160F">
        <w:rPr>
          <w:rFonts w:ascii="Arial" w:eastAsia="Arial" w:hAnsi="Arial" w:cs="Arial"/>
          <w:sz w:val="20"/>
          <w:szCs w:val="20"/>
        </w:rPr>
        <w:t>.</w:t>
      </w:r>
    </w:p>
    <w:p w14:paraId="75790EE7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09C7D3A" wp14:editId="3E7D0F2F">
            <wp:extent cx="5396230" cy="3841750"/>
            <wp:effectExtent l="0" t="0" r="0" b="0"/>
            <wp:docPr id="59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41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3DAAE8" w14:textId="77777777" w:rsidR="001C44F8" w:rsidRPr="0079160F" w:rsidRDefault="001C44F8" w:rsidP="001C44F8">
      <w:pPr>
        <w:rPr>
          <w:rFonts w:ascii="Arial" w:hAnsi="Arial" w:cs="Arial"/>
          <w:sz w:val="12"/>
          <w:szCs w:val="12"/>
        </w:rPr>
      </w:pPr>
      <w:r w:rsidRPr="0079160F">
        <w:rPr>
          <w:rFonts w:ascii="Arial" w:hAnsi="Arial" w:cs="Arial" w:hint="eastAsia"/>
          <w:sz w:val="12"/>
          <w:szCs w:val="12"/>
        </w:rPr>
        <w:t>*</w:t>
      </w:r>
      <w:r w:rsidRPr="0079160F">
        <w:rPr>
          <w:rFonts w:ascii="Arial" w:hAnsi="Arial" w:cs="Arial"/>
          <w:sz w:val="12"/>
          <w:szCs w:val="12"/>
        </w:rPr>
        <w:t>, +cAMP vs AFHBY (#1, 2) or FHBY (#3-5); FC, fold-change</w:t>
      </w:r>
    </w:p>
    <w:p w14:paraId="18D24AD8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</w:p>
    <w:p w14:paraId="568DFBA9" w14:textId="77777777" w:rsidR="001C44F8" w:rsidRPr="0079160F" w:rsidRDefault="001C44F8" w:rsidP="001C44F8">
      <w:pPr>
        <w:rPr>
          <w:rFonts w:ascii="Arial" w:hAnsi="Arial" w:cs="Arial"/>
          <w:b/>
          <w:sz w:val="20"/>
          <w:szCs w:val="20"/>
        </w:rPr>
      </w:pPr>
      <w:r w:rsidRPr="0079160F">
        <w:br w:type="page"/>
      </w:r>
      <w:r w:rsidRPr="0079160F">
        <w:rPr>
          <w:rFonts w:ascii="Arial" w:hAnsi="Arial" w:cs="Arial"/>
          <w:b/>
          <w:sz w:val="20"/>
          <w:szCs w:val="20"/>
        </w:rPr>
        <w:lastRenderedPageBreak/>
        <w:t xml:space="preserve">Supplementary </w:t>
      </w:r>
      <w:r w:rsidRPr="0079160F">
        <w:rPr>
          <w:rFonts w:ascii="Arial" w:hAnsi="Arial" w:cs="Arial" w:hint="eastAsia"/>
          <w:b/>
          <w:sz w:val="20"/>
          <w:szCs w:val="20"/>
        </w:rPr>
        <w:t>T</w:t>
      </w:r>
      <w:r w:rsidRPr="0079160F">
        <w:rPr>
          <w:rFonts w:ascii="Arial" w:hAnsi="Arial" w:cs="Arial"/>
          <w:b/>
          <w:sz w:val="20"/>
          <w:szCs w:val="20"/>
        </w:rPr>
        <w:t xml:space="preserve">able S5. </w:t>
      </w:r>
      <w:r w:rsidRPr="0079160F">
        <w:rPr>
          <w:rFonts w:ascii="Arial" w:hAnsi="Arial" w:cs="Arial"/>
          <w:sz w:val="20"/>
          <w:szCs w:val="20"/>
        </w:rPr>
        <w:t>Primers list</w:t>
      </w:r>
      <w:r w:rsidRPr="0079160F">
        <w:rPr>
          <w:rFonts w:ascii="Arial" w:eastAsia="Arial" w:hAnsi="Arial" w:cs="Arial"/>
          <w:sz w:val="20"/>
          <w:szCs w:val="20"/>
        </w:rPr>
        <w:t>.</w:t>
      </w:r>
    </w:p>
    <w:p w14:paraId="1FFC6F45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EBC5451" wp14:editId="79FB83E2">
            <wp:extent cx="5396230" cy="6563360"/>
            <wp:effectExtent l="0" t="0" r="0" b="0"/>
            <wp:docPr id="61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563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9160F">
        <w:br w:type="page"/>
      </w:r>
    </w:p>
    <w:p w14:paraId="32455A9F" w14:textId="77777777" w:rsidR="001C44F8" w:rsidRPr="0079160F" w:rsidRDefault="001C44F8" w:rsidP="001C44F8">
      <w:pPr>
        <w:rPr>
          <w:rFonts w:ascii="Arial" w:hAnsi="Arial" w:cs="Arial"/>
          <w:b/>
          <w:sz w:val="20"/>
          <w:szCs w:val="20"/>
        </w:rPr>
      </w:pPr>
      <w:r w:rsidRPr="0079160F">
        <w:rPr>
          <w:rFonts w:ascii="Arial" w:hAnsi="Arial" w:cs="Arial"/>
          <w:b/>
          <w:sz w:val="20"/>
          <w:szCs w:val="20"/>
        </w:rPr>
        <w:lastRenderedPageBreak/>
        <w:t xml:space="preserve">Supplementary </w:t>
      </w:r>
      <w:r w:rsidRPr="0079160F">
        <w:rPr>
          <w:rFonts w:ascii="Arial" w:hAnsi="Arial" w:cs="Arial" w:hint="eastAsia"/>
          <w:b/>
          <w:sz w:val="20"/>
          <w:szCs w:val="20"/>
        </w:rPr>
        <w:t>T</w:t>
      </w:r>
      <w:r w:rsidRPr="0079160F">
        <w:rPr>
          <w:rFonts w:ascii="Arial" w:hAnsi="Arial" w:cs="Arial"/>
          <w:b/>
          <w:sz w:val="20"/>
          <w:szCs w:val="20"/>
        </w:rPr>
        <w:t xml:space="preserve">able S6. </w:t>
      </w:r>
      <w:r w:rsidRPr="0079160F">
        <w:rPr>
          <w:rFonts w:ascii="Arial" w:hAnsi="Arial" w:cs="Arial"/>
          <w:sz w:val="20"/>
          <w:szCs w:val="20"/>
        </w:rPr>
        <w:t>Antibody list</w:t>
      </w:r>
      <w:r w:rsidRPr="0079160F">
        <w:rPr>
          <w:rFonts w:ascii="Arial" w:eastAsia="Arial" w:hAnsi="Arial" w:cs="Arial"/>
          <w:sz w:val="20"/>
          <w:szCs w:val="20"/>
        </w:rPr>
        <w:t>.</w:t>
      </w:r>
    </w:p>
    <w:p w14:paraId="29B25437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40FF7AD9" wp14:editId="2418B984">
            <wp:extent cx="5396230" cy="1785620"/>
            <wp:effectExtent l="0" t="0" r="0" b="0"/>
            <wp:docPr id="6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785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557C47" w14:textId="77777777" w:rsidR="001C44F8" w:rsidRPr="0079160F" w:rsidRDefault="001C44F8" w:rsidP="001C44F8">
      <w:pPr>
        <w:widowControl/>
        <w:jc w:val="left"/>
        <w:rPr>
          <w:rFonts w:ascii="Arial" w:eastAsia="Arial" w:hAnsi="Arial" w:cs="Arial"/>
          <w:sz w:val="20"/>
          <w:szCs w:val="20"/>
        </w:rPr>
      </w:pPr>
      <w:r w:rsidRPr="0079160F">
        <w:br w:type="page"/>
      </w:r>
    </w:p>
    <w:p w14:paraId="1F8D6F69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6391B8E5" wp14:editId="686F0F04">
            <wp:extent cx="5396230" cy="6237605"/>
            <wp:effectExtent l="0" t="0" r="0" b="0"/>
            <wp:docPr id="63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237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F7CACA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07A006E4" wp14:editId="213504AA">
            <wp:extent cx="5396230" cy="4123690"/>
            <wp:effectExtent l="0" t="0" r="0" b="0"/>
            <wp:docPr id="6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123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2B7157" w14:textId="77777777" w:rsidR="001C44F8" w:rsidRPr="0079160F" w:rsidRDefault="001C44F8" w:rsidP="001C44F8">
      <w:pPr>
        <w:rPr>
          <w:rFonts w:ascii="Arial" w:hAnsi="Arial" w:cs="Arial"/>
          <w:b/>
          <w:sz w:val="20"/>
          <w:szCs w:val="20"/>
        </w:rPr>
      </w:pPr>
      <w:r w:rsidRPr="0079160F">
        <w:rPr>
          <w:rFonts w:ascii="Arial" w:hAnsi="Arial" w:cs="Arial" w:hint="eastAsia"/>
          <w:b/>
          <w:sz w:val="20"/>
          <w:szCs w:val="20"/>
        </w:rPr>
        <w:t>S</w:t>
      </w:r>
      <w:r w:rsidRPr="0079160F">
        <w:rPr>
          <w:rFonts w:ascii="Arial" w:hAnsi="Arial" w:cs="Arial"/>
          <w:b/>
          <w:sz w:val="20"/>
          <w:szCs w:val="20"/>
        </w:rPr>
        <w:t xml:space="preserve">upplementary Figure S1. </w:t>
      </w:r>
      <w:r w:rsidRPr="0079160F">
        <w:rPr>
          <w:rFonts w:ascii="Arial" w:hAnsi="Arial" w:cs="Arial"/>
          <w:sz w:val="20"/>
          <w:szCs w:val="20"/>
        </w:rPr>
        <w:t>Establishment of cynomolgus monkey trophoblast stem cell lines (</w:t>
      </w:r>
      <w:proofErr w:type="spellStart"/>
      <w:r w:rsidRPr="0079160F">
        <w:rPr>
          <w:rFonts w:ascii="Arial" w:hAnsi="Arial" w:cs="Arial"/>
          <w:sz w:val="20"/>
          <w:szCs w:val="20"/>
        </w:rPr>
        <w:t>macTSC</w:t>
      </w:r>
      <w:proofErr w:type="spellEnd"/>
      <w:r w:rsidRPr="0079160F">
        <w:rPr>
          <w:rFonts w:ascii="Arial" w:hAnsi="Arial" w:cs="Arial"/>
          <w:sz w:val="20"/>
          <w:szCs w:val="20"/>
        </w:rPr>
        <w:t>) from blastocysts. (</w:t>
      </w:r>
      <w:r w:rsidRPr="0079160F">
        <w:rPr>
          <w:rFonts w:ascii="Arial" w:hAnsi="Arial" w:cs="Arial"/>
          <w:i/>
          <w:sz w:val="20"/>
          <w:szCs w:val="20"/>
        </w:rPr>
        <w:t>A</w:t>
      </w:r>
      <w:r w:rsidRPr="0079160F">
        <w:rPr>
          <w:rFonts w:ascii="Arial" w:hAnsi="Arial" w:cs="Arial"/>
          <w:sz w:val="20"/>
          <w:szCs w:val="20"/>
        </w:rPr>
        <w:t xml:space="preserve">) All of the blastocysts used in the present study </w:t>
      </w:r>
      <w:r w:rsidRPr="0079160F">
        <w:rPr>
          <w:rFonts w:ascii="Arial" w:eastAsia="Arial" w:hAnsi="Arial" w:cs="Arial"/>
          <w:sz w:val="20"/>
          <w:szCs w:val="20"/>
        </w:rPr>
        <w:t>displayed attachment</w:t>
      </w:r>
      <w:r w:rsidRPr="0079160F">
        <w:rPr>
          <w:rFonts w:ascii="Arial" w:hAnsi="Arial" w:cs="Arial"/>
          <w:sz w:val="20"/>
          <w:szCs w:val="20"/>
        </w:rPr>
        <w:t xml:space="preserve"> by day 5 of</w:t>
      </w:r>
      <w:r w:rsidRPr="0079160F">
        <w:rPr>
          <w:rFonts w:ascii="Arial" w:eastAsia="Arial" w:hAnsi="Arial" w:cs="Arial"/>
          <w:sz w:val="20"/>
          <w:szCs w:val="20"/>
        </w:rPr>
        <w:t xml:space="preserve"> cell</w:t>
      </w:r>
      <w:r w:rsidRPr="0079160F">
        <w:rPr>
          <w:rFonts w:ascii="Arial" w:hAnsi="Arial" w:cs="Arial"/>
          <w:sz w:val="20"/>
          <w:szCs w:val="20"/>
        </w:rPr>
        <w:t xml:space="preserve"> culture (D5), formed cell outgrowth, and eventually gave rise to stably growing cell lines. See the main text for the </w:t>
      </w:r>
      <w:r w:rsidRPr="0079160F">
        <w:rPr>
          <w:rFonts w:ascii="Arial" w:eastAsia="Arial" w:hAnsi="Arial" w:cs="Arial"/>
          <w:sz w:val="20"/>
          <w:szCs w:val="20"/>
        </w:rPr>
        <w:t xml:space="preserve">specific </w:t>
      </w:r>
      <w:r w:rsidRPr="0079160F">
        <w:rPr>
          <w:rFonts w:ascii="Arial" w:hAnsi="Arial" w:cs="Arial"/>
          <w:sz w:val="20"/>
          <w:szCs w:val="20"/>
        </w:rPr>
        <w:t xml:space="preserve">culture conditions. Scale bar = 200 </w:t>
      </w:r>
      <w:proofErr w:type="spellStart"/>
      <w:r w:rsidRPr="0079160F">
        <w:rPr>
          <w:rFonts w:ascii="Arial" w:hAnsi="Arial" w:cs="Arial"/>
          <w:sz w:val="20"/>
          <w:szCs w:val="20"/>
        </w:rPr>
        <w:t>μm</w:t>
      </w:r>
      <w:proofErr w:type="spellEnd"/>
      <w:r w:rsidRPr="0079160F">
        <w:rPr>
          <w:rFonts w:ascii="Arial" w:hAnsi="Arial" w:cs="Arial"/>
          <w:sz w:val="20"/>
          <w:szCs w:val="20"/>
        </w:rPr>
        <w:t>.</w:t>
      </w:r>
      <w:r w:rsidRPr="0079160F">
        <w:rPr>
          <w:rFonts w:ascii="Arial" w:hAnsi="Arial" w:cs="Arial"/>
          <w:i/>
          <w:sz w:val="20"/>
          <w:szCs w:val="20"/>
        </w:rPr>
        <w:t xml:space="preserve"> </w:t>
      </w:r>
      <w:r w:rsidRPr="0079160F">
        <w:rPr>
          <w:rFonts w:ascii="Arial" w:hAnsi="Arial" w:cs="Arial"/>
          <w:sz w:val="20"/>
          <w:szCs w:val="20"/>
        </w:rPr>
        <w:t>(</w:t>
      </w:r>
      <w:r w:rsidRPr="0079160F">
        <w:rPr>
          <w:rFonts w:ascii="Arial" w:hAnsi="Arial" w:cs="Arial"/>
          <w:i/>
          <w:sz w:val="20"/>
          <w:szCs w:val="20"/>
        </w:rPr>
        <w:t>B</w:t>
      </w:r>
      <w:r w:rsidRPr="0079160F">
        <w:rPr>
          <w:rFonts w:ascii="Arial" w:hAnsi="Arial" w:cs="Arial"/>
          <w:sz w:val="20"/>
          <w:szCs w:val="20"/>
        </w:rPr>
        <w:t xml:space="preserve">) The appearance of the five </w:t>
      </w:r>
      <w:proofErr w:type="spellStart"/>
      <w:r w:rsidRPr="0079160F">
        <w:rPr>
          <w:rFonts w:ascii="Arial" w:hAnsi="Arial" w:cs="Arial"/>
          <w:sz w:val="20"/>
          <w:szCs w:val="20"/>
        </w:rPr>
        <w:t>macTSC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 lines. Scale bar = 200 </w:t>
      </w:r>
      <w:proofErr w:type="spellStart"/>
      <w:r w:rsidRPr="0079160F">
        <w:rPr>
          <w:rFonts w:ascii="Arial" w:hAnsi="Arial" w:cs="Arial"/>
          <w:sz w:val="20"/>
          <w:szCs w:val="20"/>
        </w:rPr>
        <w:t>μm</w:t>
      </w:r>
      <w:proofErr w:type="spellEnd"/>
      <w:r w:rsidRPr="0079160F">
        <w:rPr>
          <w:rFonts w:ascii="Arial" w:hAnsi="Arial" w:cs="Arial"/>
          <w:sz w:val="20"/>
          <w:szCs w:val="20"/>
        </w:rPr>
        <w:t>. (</w:t>
      </w:r>
      <w:r w:rsidRPr="0079160F">
        <w:rPr>
          <w:rFonts w:ascii="Arial" w:hAnsi="Arial" w:cs="Arial"/>
          <w:i/>
          <w:sz w:val="20"/>
          <w:szCs w:val="20"/>
        </w:rPr>
        <w:t>C</w:t>
      </w:r>
      <w:r w:rsidRPr="0079160F">
        <w:rPr>
          <w:rFonts w:ascii="Arial" w:hAnsi="Arial" w:cs="Arial"/>
          <w:sz w:val="20"/>
          <w:szCs w:val="20"/>
        </w:rPr>
        <w:t>) Growth of macTSC#2 in different culture conditions; related to Figure 1C. (</w:t>
      </w:r>
      <w:r w:rsidRPr="0079160F">
        <w:rPr>
          <w:rFonts w:ascii="Arial" w:hAnsi="Arial" w:cs="Arial"/>
          <w:i/>
          <w:sz w:val="20"/>
          <w:szCs w:val="20"/>
        </w:rPr>
        <w:t>D</w:t>
      </w:r>
      <w:r w:rsidRPr="0079160F">
        <w:rPr>
          <w:rFonts w:ascii="Arial" w:hAnsi="Arial" w:cs="Arial"/>
          <w:sz w:val="20"/>
          <w:szCs w:val="20"/>
        </w:rPr>
        <w:t xml:space="preserve">) The number of chromosomes in macTSC#2. Chromosome spreads were prepared from the </w:t>
      </w:r>
      <w:proofErr w:type="spellStart"/>
      <w:r w:rsidRPr="0079160F">
        <w:rPr>
          <w:rFonts w:ascii="Arial" w:hAnsi="Arial" w:cs="Arial"/>
          <w:sz w:val="20"/>
          <w:szCs w:val="20"/>
        </w:rPr>
        <w:t>colcemid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-treated cells, and the number of chromosomes in fluorescent images of 54 spreads </w:t>
      </w:r>
      <w:r w:rsidRPr="0079160F">
        <w:rPr>
          <w:rFonts w:ascii="Arial" w:eastAsia="Arial" w:hAnsi="Arial" w:cs="Arial"/>
          <w:sz w:val="20"/>
          <w:szCs w:val="20"/>
        </w:rPr>
        <w:t>were</w:t>
      </w:r>
      <w:r w:rsidRPr="0079160F">
        <w:rPr>
          <w:rFonts w:ascii="Arial" w:hAnsi="Arial" w:cs="Arial"/>
          <w:sz w:val="20"/>
          <w:szCs w:val="20"/>
        </w:rPr>
        <w:t xml:space="preserve"> counted. (</w:t>
      </w:r>
      <w:r w:rsidRPr="0079160F">
        <w:rPr>
          <w:rFonts w:ascii="Arial" w:hAnsi="Arial" w:cs="Arial"/>
          <w:i/>
          <w:sz w:val="20"/>
          <w:szCs w:val="20"/>
        </w:rPr>
        <w:t>E</w:t>
      </w:r>
      <w:r w:rsidRPr="0079160F">
        <w:rPr>
          <w:rFonts w:ascii="Arial" w:hAnsi="Arial" w:cs="Arial"/>
          <w:sz w:val="20"/>
          <w:szCs w:val="20"/>
        </w:rPr>
        <w:t>) Growth of macTSC#1 line. (</w:t>
      </w:r>
      <w:r w:rsidRPr="0079160F">
        <w:rPr>
          <w:rFonts w:ascii="Arial" w:hAnsi="Arial" w:cs="Arial"/>
          <w:i/>
          <w:sz w:val="20"/>
          <w:szCs w:val="20"/>
        </w:rPr>
        <w:t>F</w:t>
      </w:r>
      <w:r w:rsidRPr="0079160F">
        <w:rPr>
          <w:rFonts w:ascii="Arial" w:hAnsi="Arial" w:cs="Arial"/>
          <w:sz w:val="20"/>
          <w:szCs w:val="20"/>
        </w:rPr>
        <w:t>) The number of chromosomes in macTSC#1. The fluorescent images of 51 spreads were counted.</w:t>
      </w:r>
    </w:p>
    <w:p w14:paraId="0DA7D4CD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</w:p>
    <w:p w14:paraId="7A9B66CE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br w:type="page"/>
      </w:r>
    </w:p>
    <w:p w14:paraId="36C3DEBA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0A00AB34" wp14:editId="56B49B44">
            <wp:extent cx="5396230" cy="929005"/>
            <wp:effectExtent l="0" t="0" r="0" b="0"/>
            <wp:docPr id="6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929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446302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eastAsia"/>
          <w:b/>
          <w:sz w:val="20"/>
          <w:szCs w:val="20"/>
        </w:rPr>
        <w:t>S</w:t>
      </w:r>
      <w:r w:rsidRPr="0079160F">
        <w:rPr>
          <w:rFonts w:ascii="Arial" w:hAnsi="Arial" w:cs="Arial"/>
          <w:b/>
          <w:sz w:val="20"/>
          <w:szCs w:val="20"/>
        </w:rPr>
        <w:t>upplementary Figure S2.</w:t>
      </w:r>
      <w:r w:rsidRPr="0079160F">
        <w:rPr>
          <w:rFonts w:ascii="Arial" w:hAnsi="Arial" w:cs="Arial"/>
          <w:sz w:val="20"/>
          <w:szCs w:val="20"/>
        </w:rPr>
        <w:t xml:space="preserve"> (</w:t>
      </w:r>
      <w:r w:rsidRPr="0079160F">
        <w:rPr>
          <w:rFonts w:ascii="Arial" w:hAnsi="Arial" w:cs="Arial"/>
          <w:i/>
          <w:sz w:val="20"/>
          <w:szCs w:val="20"/>
        </w:rPr>
        <w:t>A</w:t>
      </w:r>
      <w:r w:rsidRPr="0079160F">
        <w:rPr>
          <w:rFonts w:ascii="Arial" w:hAnsi="Arial" w:cs="Arial"/>
          <w:sz w:val="20"/>
          <w:szCs w:val="20"/>
        </w:rPr>
        <w:t xml:space="preserve"> and </w:t>
      </w:r>
      <w:r w:rsidRPr="0079160F">
        <w:rPr>
          <w:rFonts w:ascii="Arial" w:hAnsi="Arial" w:cs="Arial"/>
          <w:i/>
          <w:sz w:val="20"/>
          <w:szCs w:val="20"/>
        </w:rPr>
        <w:t>B</w:t>
      </w:r>
      <w:r w:rsidRPr="0079160F">
        <w:rPr>
          <w:rFonts w:ascii="Arial" w:hAnsi="Arial" w:cs="Arial"/>
          <w:sz w:val="20"/>
          <w:szCs w:val="20"/>
        </w:rPr>
        <w:t xml:space="preserve">) DNA methylation status of the </w:t>
      </w:r>
      <w:r w:rsidRPr="0079160F">
        <w:rPr>
          <w:rFonts w:ascii="Arial" w:hAnsi="Arial" w:cs="Arial"/>
          <w:i/>
          <w:sz w:val="20"/>
          <w:szCs w:val="20"/>
        </w:rPr>
        <w:t>ELF5</w:t>
      </w:r>
      <w:r w:rsidRPr="0079160F">
        <w:rPr>
          <w:rFonts w:ascii="Arial" w:hAnsi="Arial" w:cs="Arial"/>
          <w:sz w:val="20"/>
          <w:szCs w:val="20"/>
        </w:rPr>
        <w:t xml:space="preserve"> promoter (</w:t>
      </w:r>
      <w:r w:rsidRPr="0079160F">
        <w:rPr>
          <w:rFonts w:ascii="Arial" w:hAnsi="Arial" w:cs="Arial"/>
          <w:i/>
          <w:sz w:val="20"/>
          <w:szCs w:val="20"/>
        </w:rPr>
        <w:t>A</w:t>
      </w:r>
      <w:r w:rsidRPr="0079160F">
        <w:rPr>
          <w:rFonts w:ascii="Arial" w:hAnsi="Arial" w:cs="Arial"/>
          <w:sz w:val="20"/>
          <w:szCs w:val="20"/>
        </w:rPr>
        <w:t xml:space="preserve">) </w:t>
      </w:r>
      <w:r w:rsidRPr="0079160F">
        <w:rPr>
          <w:rFonts w:ascii="Arial" w:eastAsia="Arial" w:hAnsi="Arial" w:cs="Arial"/>
          <w:sz w:val="20"/>
          <w:szCs w:val="20"/>
        </w:rPr>
        <w:t>in</w:t>
      </w:r>
      <w:r w:rsidRPr="0079160F">
        <w:rPr>
          <w:rFonts w:ascii="Arial" w:hAnsi="Arial" w:cs="Arial"/>
          <w:sz w:val="20"/>
          <w:szCs w:val="20"/>
        </w:rPr>
        <w:t xml:space="preserve"> T-E T-DMRs (</w:t>
      </w:r>
      <w:r w:rsidRPr="0079160F">
        <w:rPr>
          <w:rFonts w:ascii="Arial" w:hAnsi="Arial" w:cs="Arial"/>
          <w:i/>
          <w:sz w:val="20"/>
          <w:szCs w:val="20"/>
        </w:rPr>
        <w:t>B</w:t>
      </w:r>
      <w:r w:rsidRPr="0079160F">
        <w:rPr>
          <w:rFonts w:ascii="Arial" w:hAnsi="Arial" w:cs="Arial"/>
          <w:sz w:val="20"/>
          <w:szCs w:val="20"/>
        </w:rPr>
        <w:t xml:space="preserve">) in macTSC#1. Open and filled circles represent unmethylated and methylated cytosines, respectively. Overall methylation percentage (the number of methylated </w:t>
      </w:r>
      <w:proofErr w:type="spellStart"/>
      <w:r w:rsidRPr="0079160F">
        <w:rPr>
          <w:rFonts w:ascii="Arial" w:hAnsi="Arial" w:cs="Arial"/>
          <w:sz w:val="20"/>
          <w:szCs w:val="20"/>
        </w:rPr>
        <w:t>CpGs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 per number of total </w:t>
      </w:r>
      <w:proofErr w:type="spellStart"/>
      <w:r w:rsidRPr="0079160F">
        <w:rPr>
          <w:rFonts w:ascii="Arial" w:hAnsi="Arial" w:cs="Arial"/>
          <w:sz w:val="20"/>
          <w:szCs w:val="20"/>
        </w:rPr>
        <w:t>CpGs</w:t>
      </w:r>
      <w:proofErr w:type="spellEnd"/>
      <w:r w:rsidRPr="0079160F">
        <w:rPr>
          <w:rFonts w:ascii="Arial" w:hAnsi="Arial" w:cs="Arial"/>
          <w:sz w:val="20"/>
          <w:szCs w:val="20"/>
        </w:rPr>
        <w:t>) is shown under each part.</w:t>
      </w:r>
    </w:p>
    <w:p w14:paraId="41970A9C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br w:type="page"/>
      </w:r>
    </w:p>
    <w:p w14:paraId="5A7ED611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69B57470" wp14:editId="7140ECBD">
            <wp:extent cx="5396230" cy="4210050"/>
            <wp:effectExtent l="0" t="0" r="0" b="0"/>
            <wp:docPr id="6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21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E72A62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eastAsia"/>
          <w:b/>
          <w:sz w:val="20"/>
          <w:szCs w:val="20"/>
        </w:rPr>
        <w:t>S</w:t>
      </w:r>
      <w:r w:rsidRPr="0079160F">
        <w:rPr>
          <w:rFonts w:ascii="Arial" w:hAnsi="Arial" w:cs="Arial"/>
          <w:b/>
          <w:sz w:val="20"/>
          <w:szCs w:val="20"/>
        </w:rPr>
        <w:t>upplementary Figure 3.</w:t>
      </w:r>
      <w:r w:rsidRPr="0079160F">
        <w:rPr>
          <w:rFonts w:ascii="Arial" w:hAnsi="Arial" w:cs="Arial"/>
          <w:sz w:val="20"/>
          <w:szCs w:val="20"/>
        </w:rPr>
        <w:t xml:space="preserve"> The relative expression levels of five C19MC miRNAs in macTSC#1-5. The mean expression level (</w:t>
      </w:r>
      <w:r w:rsidRPr="00AF5496">
        <w:rPr>
          <w:rFonts w:ascii="Arial" w:hAnsi="Arial" w:cs="Arial"/>
          <w:sz w:val="20"/>
          <w:szCs w:val="20"/>
        </w:rPr>
        <w:t xml:space="preserve">± SD) was normalized to that of U6 snRNA. Value of each miRNA in macTSC#2 was arbitrary set as 1. *; </w:t>
      </w:r>
      <w:r w:rsidRPr="00AF5496">
        <w:rPr>
          <w:rFonts w:ascii="Arial" w:hAnsi="Arial" w:cs="Arial"/>
          <w:i/>
          <w:sz w:val="20"/>
          <w:szCs w:val="20"/>
        </w:rPr>
        <w:t>p</w:t>
      </w:r>
      <w:r w:rsidRPr="00AF5496">
        <w:rPr>
          <w:rFonts w:ascii="Arial" w:hAnsi="Arial" w:cs="Arial"/>
          <w:sz w:val="20"/>
          <w:szCs w:val="20"/>
        </w:rPr>
        <w:t xml:space="preserve"> &lt; 0.05 (technical triplicates for biological duplicates).</w:t>
      </w:r>
    </w:p>
    <w:p w14:paraId="1551D423" w14:textId="77777777" w:rsidR="001C44F8" w:rsidRPr="0079160F" w:rsidRDefault="001C44F8" w:rsidP="001C44F8">
      <w:pPr>
        <w:rPr>
          <w:rFonts w:ascii="Arial" w:hAnsi="Arial" w:cs="Arial"/>
          <w:b/>
          <w:sz w:val="20"/>
          <w:szCs w:val="20"/>
        </w:rPr>
      </w:pPr>
    </w:p>
    <w:p w14:paraId="7F43F0B8" w14:textId="77777777" w:rsidR="001C44F8" w:rsidRPr="0079160F" w:rsidRDefault="001C44F8" w:rsidP="001C44F8">
      <w:pPr>
        <w:widowControl/>
        <w:jc w:val="left"/>
        <w:rPr>
          <w:rFonts w:ascii="Arial" w:hAnsi="Arial" w:cs="Arial"/>
          <w:b/>
          <w:sz w:val="20"/>
          <w:szCs w:val="20"/>
        </w:rPr>
      </w:pPr>
      <w:r w:rsidRPr="0079160F">
        <w:br w:type="page"/>
      </w:r>
    </w:p>
    <w:p w14:paraId="6C76B0E9" w14:textId="77777777" w:rsidR="001C44F8" w:rsidRPr="0079160F" w:rsidRDefault="001C44F8" w:rsidP="001C44F8">
      <w:pPr>
        <w:rPr>
          <w:rFonts w:ascii="Arial" w:eastAsia="Arial" w:hAnsi="Arial" w:cs="Arial"/>
          <w:b/>
          <w:sz w:val="20"/>
          <w:szCs w:val="20"/>
        </w:rPr>
      </w:pPr>
      <w:r w:rsidRPr="0079160F">
        <w:rPr>
          <w:rFonts w:ascii="Arial" w:eastAsia="Arial" w:hAnsi="Arial" w:cs="Arial"/>
          <w:b/>
          <w:noProof/>
          <w:sz w:val="20"/>
          <w:szCs w:val="20"/>
        </w:rPr>
        <w:lastRenderedPageBreak/>
        <w:drawing>
          <wp:inline distT="0" distB="0" distL="0" distR="0" wp14:anchorId="62C6F8C2" wp14:editId="06420C1D">
            <wp:extent cx="5396230" cy="3868420"/>
            <wp:effectExtent l="0" t="0" r="0" b="0"/>
            <wp:docPr id="6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68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6DD468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/>
          <w:b/>
          <w:sz w:val="20"/>
          <w:szCs w:val="20"/>
        </w:rPr>
        <w:t xml:space="preserve">Supplementary Figure S4. </w:t>
      </w:r>
      <w:r w:rsidRPr="0079160F">
        <w:rPr>
          <w:rFonts w:ascii="Arial" w:hAnsi="Arial" w:cs="Arial"/>
          <w:sz w:val="20"/>
          <w:szCs w:val="20"/>
        </w:rPr>
        <w:t xml:space="preserve">The GO term enrichment analysis of the genes with &lt; 2-fold lower expression in the all </w:t>
      </w:r>
      <w:proofErr w:type="spellStart"/>
      <w:r w:rsidRPr="0079160F">
        <w:rPr>
          <w:rFonts w:ascii="Arial" w:hAnsi="Arial" w:cs="Arial"/>
          <w:sz w:val="20"/>
          <w:szCs w:val="20"/>
        </w:rPr>
        <w:t>macTSCs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 than in ESC. For GO analyses, PANTHER (www.panther.org) was used. </w:t>
      </w:r>
      <w:r w:rsidRPr="0079160F">
        <w:rPr>
          <w:rFonts w:ascii="Arial" w:hAnsi="Arial" w:cs="Arial"/>
          <w:i/>
          <w:sz w:val="20"/>
          <w:szCs w:val="20"/>
        </w:rPr>
        <w:t>P</w:t>
      </w:r>
      <w:r w:rsidRPr="0079160F">
        <w:rPr>
          <w:rFonts w:ascii="Arial" w:hAnsi="Arial" w:cs="Arial"/>
          <w:sz w:val="20"/>
          <w:szCs w:val="20"/>
        </w:rPr>
        <w:t xml:space="preserve">-values were calculated by Fisher’s exact test and Bonferroni </w:t>
      </w:r>
      <w:r w:rsidRPr="0079160F">
        <w:rPr>
          <w:rFonts w:ascii="Arial" w:eastAsia="Arial" w:hAnsi="Arial" w:cs="Arial"/>
          <w:sz w:val="20"/>
          <w:szCs w:val="20"/>
        </w:rPr>
        <w:t>corrected</w:t>
      </w:r>
      <w:r w:rsidRPr="0079160F">
        <w:rPr>
          <w:rFonts w:ascii="Arial" w:hAnsi="Arial" w:cs="Arial"/>
          <w:sz w:val="20"/>
          <w:szCs w:val="20"/>
        </w:rPr>
        <w:t>.</w:t>
      </w:r>
      <w:r w:rsidRPr="0079160F">
        <w:br w:type="page"/>
      </w:r>
    </w:p>
    <w:p w14:paraId="307A53B4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2ED75BA6" wp14:editId="16E3C21A">
            <wp:extent cx="5396230" cy="1668145"/>
            <wp:effectExtent l="0" t="0" r="0" b="0"/>
            <wp:docPr id="68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668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E9E386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cs"/>
          <w:b/>
          <w:sz w:val="20"/>
          <w:szCs w:val="20"/>
        </w:rPr>
        <w:t>S</w:t>
      </w:r>
      <w:r w:rsidRPr="0079160F">
        <w:rPr>
          <w:rFonts w:ascii="Arial" w:hAnsi="Arial" w:cs="Arial"/>
          <w:b/>
          <w:sz w:val="20"/>
          <w:szCs w:val="20"/>
        </w:rPr>
        <w:t xml:space="preserve">upplementary Figure S5. </w:t>
      </w:r>
      <w:r w:rsidRPr="0079160F">
        <w:rPr>
          <w:rFonts w:ascii="Arial" w:hAnsi="Arial" w:cs="Arial"/>
          <w:sz w:val="20"/>
          <w:szCs w:val="20"/>
        </w:rPr>
        <w:t>Determination of the thresholds in flow cytometric analyses. The combination of antibodies and their isotype controls were used to draw threshold lines (arrows</w:t>
      </w:r>
      <w:r w:rsidRPr="0079160F">
        <w:rPr>
          <w:rFonts w:ascii="Arial" w:eastAsia="Arial" w:hAnsi="Arial" w:cs="Arial"/>
          <w:sz w:val="20"/>
          <w:szCs w:val="20"/>
        </w:rPr>
        <w:t>),</w:t>
      </w:r>
      <w:r w:rsidRPr="0079160F">
        <w:rPr>
          <w:rFonts w:ascii="Arial" w:hAnsi="Arial" w:cs="Arial"/>
          <w:sz w:val="20"/>
          <w:szCs w:val="20"/>
        </w:rPr>
        <w:t xml:space="preserve"> so that a majority (&gt; 99%) of double-negative controls distribute under the threshold lines.</w:t>
      </w:r>
    </w:p>
    <w:p w14:paraId="2ACA824B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</w:p>
    <w:p w14:paraId="35F53F54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br w:type="page"/>
      </w:r>
    </w:p>
    <w:p w14:paraId="1C8B4951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3A9A2E45" wp14:editId="47EDEA34">
            <wp:extent cx="5396230" cy="1776730"/>
            <wp:effectExtent l="0" t="0" r="0" b="0"/>
            <wp:docPr id="4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776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886D10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cs"/>
          <w:b/>
          <w:sz w:val="20"/>
          <w:szCs w:val="20"/>
        </w:rPr>
        <w:t>S</w:t>
      </w:r>
      <w:r w:rsidRPr="0079160F">
        <w:rPr>
          <w:rFonts w:ascii="Arial" w:hAnsi="Arial" w:cs="Arial"/>
          <w:b/>
          <w:sz w:val="20"/>
          <w:szCs w:val="20"/>
        </w:rPr>
        <w:t xml:space="preserve">upplementary Figure S6. </w:t>
      </w:r>
      <w:r w:rsidRPr="0079160F">
        <w:rPr>
          <w:rFonts w:ascii="Arial" w:hAnsi="Arial" w:cs="Arial"/>
          <w:sz w:val="20"/>
          <w:szCs w:val="20"/>
        </w:rPr>
        <w:t>Flow cytometric analysis in biological duplication; related to Figure 6C. PI staining-positive dead cells were gated out.</w:t>
      </w:r>
    </w:p>
    <w:p w14:paraId="5ACCC0F9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br w:type="page"/>
      </w:r>
    </w:p>
    <w:p w14:paraId="7C13F934" w14:textId="77777777" w:rsidR="001C44F8" w:rsidRPr="0079160F" w:rsidRDefault="001C44F8" w:rsidP="001C44F8">
      <w:pPr>
        <w:widowControl/>
        <w:jc w:val="left"/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0D3E9E44" wp14:editId="364A5438">
            <wp:extent cx="5396230" cy="3451860"/>
            <wp:effectExtent l="0" t="0" r="0" b="0"/>
            <wp:docPr id="4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451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4C3D8C" w14:textId="77777777" w:rsidR="001C44F8" w:rsidRPr="0079160F" w:rsidRDefault="001C44F8" w:rsidP="001C44F8">
      <w:pPr>
        <w:widowControl/>
        <w:jc w:val="left"/>
        <w:rPr>
          <w:rFonts w:ascii="Arial" w:hAnsi="Arial" w:cs="Arial"/>
          <w:b/>
          <w:sz w:val="20"/>
          <w:szCs w:val="20"/>
        </w:rPr>
      </w:pPr>
      <w:r w:rsidRPr="0079160F">
        <w:rPr>
          <w:rFonts w:ascii="Arial" w:hAnsi="Arial" w:cs="Arial"/>
          <w:b/>
          <w:sz w:val="20"/>
          <w:szCs w:val="20"/>
        </w:rPr>
        <w:t xml:space="preserve">Supplementary Figure S7. </w:t>
      </w:r>
      <w:r w:rsidRPr="0079160F">
        <w:rPr>
          <w:rFonts w:ascii="Arial" w:hAnsi="Arial" w:cs="Arial"/>
          <w:sz w:val="20"/>
          <w:szCs w:val="20"/>
        </w:rPr>
        <w:t xml:space="preserve">The GO term enrichment analysis of the genes with &lt; 2-fold lower expression in the all </w:t>
      </w:r>
      <w:proofErr w:type="spellStart"/>
      <w:r w:rsidRPr="0079160F">
        <w:rPr>
          <w:rFonts w:ascii="Arial" w:hAnsi="Arial" w:cs="Arial"/>
          <w:sz w:val="20"/>
          <w:szCs w:val="20"/>
        </w:rPr>
        <w:t>macTSCs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 in +cAMP than FHBY condition. For GO analyses, PANTHER (www.panther.org) was used. </w:t>
      </w:r>
      <w:r w:rsidRPr="0079160F">
        <w:rPr>
          <w:rFonts w:ascii="Arial" w:hAnsi="Arial" w:cs="Arial"/>
          <w:i/>
          <w:sz w:val="20"/>
          <w:szCs w:val="20"/>
        </w:rPr>
        <w:t>P</w:t>
      </w:r>
      <w:r w:rsidRPr="0079160F">
        <w:rPr>
          <w:rFonts w:ascii="Arial" w:hAnsi="Arial" w:cs="Arial"/>
          <w:sz w:val="20"/>
          <w:szCs w:val="20"/>
        </w:rPr>
        <w:t xml:space="preserve">-values were calculated by Fisher’s exact test and Bonferroni </w:t>
      </w:r>
      <w:r w:rsidRPr="0079160F">
        <w:rPr>
          <w:rFonts w:ascii="Arial" w:eastAsia="Arial" w:hAnsi="Arial" w:cs="Arial"/>
          <w:sz w:val="20"/>
          <w:szCs w:val="20"/>
        </w:rPr>
        <w:t>corrected</w:t>
      </w:r>
      <w:r w:rsidRPr="0079160F">
        <w:rPr>
          <w:rFonts w:ascii="Arial" w:hAnsi="Arial" w:cs="Arial"/>
          <w:sz w:val="20"/>
          <w:szCs w:val="20"/>
        </w:rPr>
        <w:t>.</w:t>
      </w:r>
    </w:p>
    <w:p w14:paraId="78E1EEDC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</w:p>
    <w:p w14:paraId="0E95674F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br w:type="page"/>
      </w:r>
    </w:p>
    <w:p w14:paraId="14A8FF12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5C8DC70D" wp14:editId="461A2E57">
            <wp:extent cx="5396230" cy="5843270"/>
            <wp:effectExtent l="0" t="0" r="0" b="0"/>
            <wp:docPr id="43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843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4DFFF3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/>
          <w:b/>
          <w:sz w:val="20"/>
          <w:szCs w:val="20"/>
        </w:rPr>
        <w:t xml:space="preserve">Supplementary Figure S8. </w:t>
      </w:r>
      <w:r w:rsidRPr="0079160F">
        <w:rPr>
          <w:rFonts w:ascii="Arial" w:hAnsi="Arial" w:cs="Arial"/>
          <w:sz w:val="20"/>
          <w:szCs w:val="20"/>
        </w:rPr>
        <w:t xml:space="preserve">Establishment of Venus-overexpressing </w:t>
      </w:r>
      <w:proofErr w:type="spellStart"/>
      <w:r w:rsidRPr="0079160F">
        <w:rPr>
          <w:rFonts w:ascii="Arial" w:hAnsi="Arial" w:cs="Arial"/>
          <w:sz w:val="20"/>
          <w:szCs w:val="20"/>
        </w:rPr>
        <w:t>macTSC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 lines. Detection of Venus in macTSC#2-Venus (</w:t>
      </w:r>
      <w:r w:rsidRPr="0079160F">
        <w:rPr>
          <w:rFonts w:ascii="Arial" w:hAnsi="Arial" w:cs="Arial"/>
          <w:i/>
          <w:sz w:val="20"/>
          <w:szCs w:val="20"/>
        </w:rPr>
        <w:t>A</w:t>
      </w:r>
      <w:r w:rsidRPr="0079160F">
        <w:rPr>
          <w:rFonts w:ascii="Arial" w:hAnsi="Arial" w:cs="Arial"/>
          <w:sz w:val="20"/>
          <w:szCs w:val="20"/>
        </w:rPr>
        <w:t xml:space="preserve"> and </w:t>
      </w:r>
      <w:r w:rsidRPr="0079160F">
        <w:rPr>
          <w:rFonts w:ascii="Arial" w:hAnsi="Arial" w:cs="Arial"/>
          <w:i/>
          <w:sz w:val="20"/>
          <w:szCs w:val="20"/>
        </w:rPr>
        <w:t>B</w:t>
      </w:r>
      <w:r w:rsidRPr="0079160F">
        <w:rPr>
          <w:rFonts w:ascii="Arial" w:hAnsi="Arial" w:cs="Arial"/>
          <w:sz w:val="20"/>
          <w:szCs w:val="20"/>
        </w:rPr>
        <w:t>) and macTSC#4-Venus lines (</w:t>
      </w:r>
      <w:r w:rsidRPr="0079160F">
        <w:rPr>
          <w:rFonts w:ascii="Arial" w:hAnsi="Arial" w:cs="Arial"/>
          <w:i/>
          <w:sz w:val="20"/>
          <w:szCs w:val="20"/>
        </w:rPr>
        <w:t>C</w:t>
      </w:r>
      <w:r w:rsidRPr="0079160F">
        <w:rPr>
          <w:rFonts w:ascii="Arial" w:hAnsi="Arial" w:cs="Arial"/>
          <w:sz w:val="20"/>
          <w:szCs w:val="20"/>
        </w:rPr>
        <w:t xml:space="preserve"> and </w:t>
      </w:r>
      <w:r w:rsidRPr="0079160F">
        <w:rPr>
          <w:rFonts w:ascii="Arial" w:hAnsi="Arial" w:cs="Arial"/>
          <w:i/>
          <w:sz w:val="20"/>
          <w:szCs w:val="20"/>
        </w:rPr>
        <w:t>D</w:t>
      </w:r>
      <w:r w:rsidRPr="0079160F">
        <w:rPr>
          <w:rFonts w:ascii="Arial" w:hAnsi="Arial" w:cs="Arial"/>
          <w:sz w:val="20"/>
          <w:szCs w:val="20"/>
        </w:rPr>
        <w:t>) by immunofluorescence (</w:t>
      </w:r>
      <w:r w:rsidRPr="0079160F">
        <w:rPr>
          <w:rFonts w:ascii="Arial" w:hAnsi="Arial" w:cs="Arial"/>
          <w:i/>
          <w:sz w:val="20"/>
          <w:szCs w:val="20"/>
        </w:rPr>
        <w:t>A</w:t>
      </w:r>
      <w:r w:rsidRPr="0079160F">
        <w:rPr>
          <w:rFonts w:ascii="Arial" w:hAnsi="Arial" w:cs="Arial"/>
          <w:sz w:val="20"/>
          <w:szCs w:val="20"/>
        </w:rPr>
        <w:t xml:space="preserve"> and </w:t>
      </w:r>
      <w:r w:rsidRPr="0079160F">
        <w:rPr>
          <w:rFonts w:ascii="Arial" w:hAnsi="Arial" w:cs="Arial"/>
          <w:i/>
          <w:sz w:val="20"/>
          <w:szCs w:val="20"/>
        </w:rPr>
        <w:t>C</w:t>
      </w:r>
      <w:r w:rsidRPr="0079160F">
        <w:rPr>
          <w:rFonts w:ascii="Arial" w:hAnsi="Arial" w:cs="Arial"/>
          <w:sz w:val="20"/>
          <w:szCs w:val="20"/>
        </w:rPr>
        <w:t>) and western blotting (</w:t>
      </w:r>
      <w:r w:rsidRPr="0079160F">
        <w:rPr>
          <w:rFonts w:ascii="Arial" w:hAnsi="Arial" w:cs="Arial"/>
          <w:i/>
          <w:sz w:val="20"/>
          <w:szCs w:val="20"/>
        </w:rPr>
        <w:t>B</w:t>
      </w:r>
      <w:r w:rsidRPr="0079160F">
        <w:rPr>
          <w:rFonts w:ascii="Arial" w:hAnsi="Arial" w:cs="Arial"/>
          <w:sz w:val="20"/>
          <w:szCs w:val="20"/>
        </w:rPr>
        <w:t xml:space="preserve"> and </w:t>
      </w:r>
      <w:r w:rsidRPr="0079160F">
        <w:rPr>
          <w:rFonts w:ascii="Arial" w:hAnsi="Arial" w:cs="Arial"/>
          <w:i/>
          <w:sz w:val="20"/>
          <w:szCs w:val="20"/>
        </w:rPr>
        <w:t>D</w:t>
      </w:r>
      <w:r w:rsidRPr="0079160F">
        <w:rPr>
          <w:rFonts w:ascii="Arial" w:hAnsi="Arial" w:cs="Arial"/>
          <w:sz w:val="20"/>
          <w:szCs w:val="20"/>
        </w:rPr>
        <w:t xml:space="preserve">). Scale bars in A and C = 100 </w:t>
      </w:r>
      <w:proofErr w:type="spellStart"/>
      <w:r w:rsidRPr="0079160F">
        <w:rPr>
          <w:rFonts w:ascii="Arial" w:hAnsi="Arial" w:cs="Arial"/>
          <w:sz w:val="20"/>
          <w:szCs w:val="20"/>
        </w:rPr>
        <w:t>μm</w:t>
      </w:r>
      <w:proofErr w:type="spellEnd"/>
      <w:r w:rsidRPr="0079160F">
        <w:rPr>
          <w:rFonts w:ascii="Arial" w:hAnsi="Arial" w:cs="Arial"/>
          <w:sz w:val="20"/>
          <w:szCs w:val="20"/>
        </w:rPr>
        <w:t>. ACTB was used as an internal control for western blotting. Control, the original macTSC#2 (</w:t>
      </w:r>
      <w:r w:rsidRPr="0079160F">
        <w:rPr>
          <w:rFonts w:ascii="Arial" w:hAnsi="Arial" w:cs="Arial"/>
          <w:i/>
          <w:sz w:val="20"/>
          <w:szCs w:val="20"/>
        </w:rPr>
        <w:t>B</w:t>
      </w:r>
      <w:r w:rsidRPr="0079160F">
        <w:rPr>
          <w:rFonts w:ascii="Arial" w:hAnsi="Arial" w:cs="Arial"/>
          <w:sz w:val="20"/>
          <w:szCs w:val="20"/>
        </w:rPr>
        <w:t>) and macTSC#4 (</w:t>
      </w:r>
      <w:r w:rsidRPr="0079160F">
        <w:rPr>
          <w:rFonts w:ascii="Arial" w:hAnsi="Arial" w:cs="Arial"/>
          <w:i/>
          <w:sz w:val="20"/>
          <w:szCs w:val="20"/>
        </w:rPr>
        <w:t>D</w:t>
      </w:r>
      <w:r w:rsidRPr="0079160F">
        <w:rPr>
          <w:rFonts w:ascii="Arial" w:hAnsi="Arial" w:cs="Arial"/>
          <w:sz w:val="20"/>
          <w:szCs w:val="20"/>
        </w:rPr>
        <w:t>) cells. Based on the expression levels of Venus, macTSC#2-Venus No. 6 and macTSC#4-Venus No. 11 were chosen for the xenogeneic chimera assay.</w:t>
      </w:r>
    </w:p>
    <w:p w14:paraId="7560DFC5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br w:type="page"/>
      </w:r>
    </w:p>
    <w:p w14:paraId="2075883F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757099AB" wp14:editId="7BC41BB2">
            <wp:extent cx="5396230" cy="1159510"/>
            <wp:effectExtent l="0" t="0" r="0" b="0"/>
            <wp:docPr id="4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159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F8A024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AF5496">
        <w:rPr>
          <w:rFonts w:ascii="Arial" w:hAnsi="Arial" w:cs="Arial"/>
          <w:b/>
          <w:sz w:val="20"/>
          <w:szCs w:val="20"/>
        </w:rPr>
        <w:t xml:space="preserve">Supplementary Figure S9. </w:t>
      </w:r>
      <w:r w:rsidRPr="00AF5496">
        <w:rPr>
          <w:rFonts w:ascii="Arial" w:hAnsi="Arial" w:cs="Arial"/>
          <w:sz w:val="20"/>
          <w:szCs w:val="20"/>
        </w:rPr>
        <w:t xml:space="preserve">Failure of aggregation in xenogeneic chimera blastocyst. macTSC#2-Venus </w:t>
      </w:r>
      <w:r w:rsidRPr="00AF5496">
        <w:rPr>
          <w:rFonts w:ascii="Arial" w:eastAsia="Arial" w:hAnsi="Arial" w:cs="Arial"/>
          <w:sz w:val="20"/>
          <w:szCs w:val="20"/>
        </w:rPr>
        <w:t>cells</w:t>
      </w:r>
      <w:r w:rsidRPr="00AF5496">
        <w:rPr>
          <w:rFonts w:ascii="Arial" w:hAnsi="Arial" w:cs="Arial"/>
          <w:sz w:val="20"/>
          <w:szCs w:val="20"/>
        </w:rPr>
        <w:t xml:space="preserve"> dropped to the embryonic cavity. Scale bar = 50 µm.</w:t>
      </w:r>
    </w:p>
    <w:p w14:paraId="78247B50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br w:type="page"/>
      </w:r>
    </w:p>
    <w:p w14:paraId="2A9B9E08" w14:textId="77777777" w:rsidR="001C44F8" w:rsidRPr="0079160F" w:rsidRDefault="001C44F8" w:rsidP="001C44F8">
      <w:pPr>
        <w:widowControl/>
        <w:jc w:val="left"/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2D676F21" wp14:editId="741F1B61">
            <wp:extent cx="3136900" cy="2514600"/>
            <wp:effectExtent l="0" t="0" r="0" b="0"/>
            <wp:docPr id="4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51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0A5706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AF5496">
        <w:rPr>
          <w:rFonts w:ascii="Arial" w:hAnsi="Arial" w:cs="Arial"/>
          <w:b/>
          <w:sz w:val="20"/>
          <w:szCs w:val="20"/>
        </w:rPr>
        <w:t>Supplementary Figure S10</w:t>
      </w:r>
      <w:r w:rsidRPr="00AF549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F5496">
        <w:rPr>
          <w:rFonts w:ascii="Arial" w:hAnsi="Arial" w:cs="Arial"/>
          <w:sz w:val="20"/>
          <w:szCs w:val="20"/>
        </w:rPr>
        <w:t>qRT</w:t>
      </w:r>
      <w:proofErr w:type="spellEnd"/>
      <w:r w:rsidRPr="00AF5496">
        <w:rPr>
          <w:rFonts w:ascii="Arial" w:hAnsi="Arial" w:cs="Arial"/>
          <w:sz w:val="20"/>
          <w:szCs w:val="20"/>
        </w:rPr>
        <w:t xml:space="preserve">-PCR for analyzing the expression of </w:t>
      </w:r>
      <w:r w:rsidRPr="00AF5496">
        <w:rPr>
          <w:rFonts w:ascii="Arial" w:hAnsi="Arial" w:cs="Arial"/>
          <w:i/>
          <w:sz w:val="20"/>
          <w:szCs w:val="20"/>
        </w:rPr>
        <w:t>CDX2</w:t>
      </w:r>
      <w:r w:rsidRPr="00AF5496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AF5496">
        <w:rPr>
          <w:rFonts w:ascii="Arial" w:hAnsi="Arial" w:cs="Arial"/>
          <w:sz w:val="20"/>
          <w:szCs w:val="20"/>
        </w:rPr>
        <w:t>macTSC</w:t>
      </w:r>
      <w:proofErr w:type="spellEnd"/>
      <w:r w:rsidRPr="00AF5496">
        <w:rPr>
          <w:rFonts w:ascii="Arial" w:hAnsi="Arial" w:cs="Arial"/>
          <w:sz w:val="20"/>
          <w:szCs w:val="20"/>
        </w:rPr>
        <w:t xml:space="preserve">. The mean values (± SD) of technical triplicates </w:t>
      </w:r>
      <w:r w:rsidRPr="00AF5496">
        <w:rPr>
          <w:rFonts w:ascii="Arial" w:hAnsi="Arial" w:cs="Arial" w:hint="eastAsia"/>
          <w:sz w:val="20"/>
          <w:szCs w:val="20"/>
        </w:rPr>
        <w:t>f</w:t>
      </w:r>
      <w:r w:rsidRPr="00AF5496">
        <w:rPr>
          <w:rFonts w:ascii="Arial" w:hAnsi="Arial" w:cs="Arial"/>
          <w:sz w:val="20"/>
          <w:szCs w:val="20"/>
        </w:rPr>
        <w:t xml:space="preserve">or biological duplicates, normalized by the expression of </w:t>
      </w:r>
      <w:r w:rsidRPr="00AF5496">
        <w:rPr>
          <w:rFonts w:ascii="Arial" w:hAnsi="Arial" w:cs="Arial"/>
          <w:i/>
          <w:sz w:val="20"/>
          <w:szCs w:val="20"/>
        </w:rPr>
        <w:t>ACTB</w:t>
      </w:r>
      <w:r w:rsidRPr="00AF5496">
        <w:rPr>
          <w:rFonts w:ascii="Arial" w:hAnsi="Arial" w:cs="Arial"/>
          <w:sz w:val="20"/>
          <w:szCs w:val="20"/>
        </w:rPr>
        <w:t xml:space="preserve">, were shown relative to that of small intestine (SI; arbitrarily set as 1). </w:t>
      </w:r>
    </w:p>
    <w:p w14:paraId="3AB94AE9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br w:type="page"/>
      </w:r>
    </w:p>
    <w:p w14:paraId="717B9C4A" w14:textId="77777777" w:rsidR="001C44F8" w:rsidRPr="0079160F" w:rsidRDefault="001C44F8" w:rsidP="001C44F8">
      <w:pPr>
        <w:rPr>
          <w:rFonts w:ascii="Arial" w:eastAsia="Arial" w:hAnsi="Arial" w:cs="Arial"/>
          <w:sz w:val="20"/>
          <w:szCs w:val="20"/>
        </w:rPr>
      </w:pPr>
      <w:r w:rsidRPr="0079160F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686A42A2" wp14:editId="4F8B3E5B">
            <wp:extent cx="3337639" cy="2644627"/>
            <wp:effectExtent l="0" t="0" r="0" b="0"/>
            <wp:docPr id="4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1"/>
                    <a:srcRect r="13351"/>
                    <a:stretch>
                      <a:fillRect/>
                    </a:stretch>
                  </pic:blipFill>
                  <pic:spPr>
                    <a:xfrm>
                      <a:off x="0" y="0"/>
                      <a:ext cx="3337639" cy="26446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7C64F" w14:textId="77777777" w:rsidR="001C44F8" w:rsidRPr="0079160F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eastAsia"/>
          <w:b/>
          <w:sz w:val="20"/>
          <w:szCs w:val="20"/>
        </w:rPr>
        <w:t>S</w:t>
      </w:r>
      <w:r w:rsidRPr="0079160F">
        <w:rPr>
          <w:rFonts w:ascii="Arial" w:hAnsi="Arial" w:cs="Arial"/>
          <w:b/>
          <w:sz w:val="20"/>
          <w:szCs w:val="20"/>
        </w:rPr>
        <w:t xml:space="preserve">upplementary Figure S11. </w:t>
      </w:r>
      <w:r w:rsidRPr="0079160F">
        <w:rPr>
          <w:rFonts w:ascii="Arial" w:hAnsi="Arial" w:cs="Arial"/>
          <w:sz w:val="20"/>
          <w:szCs w:val="20"/>
        </w:rPr>
        <w:t>Growth of macTSC#2 treated with 1 µM of EGFR inhibitor, PD153035 (</w:t>
      </w:r>
      <w:proofErr w:type="spellStart"/>
      <w:r w:rsidRPr="0079160F">
        <w:rPr>
          <w:rFonts w:ascii="Arial" w:hAnsi="Arial" w:cs="Arial"/>
          <w:sz w:val="20"/>
          <w:szCs w:val="20"/>
        </w:rPr>
        <w:t>EGFRi</w:t>
      </w:r>
      <w:proofErr w:type="spellEnd"/>
      <w:r w:rsidRPr="0079160F">
        <w:rPr>
          <w:rFonts w:ascii="Arial" w:hAnsi="Arial" w:cs="Arial"/>
          <w:sz w:val="20"/>
          <w:szCs w:val="20"/>
        </w:rPr>
        <w:t xml:space="preserve">) (TCI, Tokyo, Japan); related to Figure 1D. The number of cells normalized to that at day 0 and arbitrarily set as 1. The mean values (± SD) of technical triplicates for biological duplicates are shown. </w:t>
      </w:r>
      <w:r w:rsidRPr="0079160F">
        <w:rPr>
          <w:rFonts w:ascii="Arial" w:hAnsi="Arial" w:cs="Arial"/>
          <w:i/>
          <w:sz w:val="20"/>
          <w:szCs w:val="20"/>
        </w:rPr>
        <w:t>P</w:t>
      </w:r>
      <w:r w:rsidRPr="0079160F">
        <w:rPr>
          <w:rFonts w:ascii="Arial" w:hAnsi="Arial" w:cs="Arial"/>
          <w:sz w:val="20"/>
          <w:szCs w:val="20"/>
        </w:rPr>
        <w:t xml:space="preserve"> &lt; 0.05 between different characters on day 4 (The Tukey-Kramer test).</w:t>
      </w:r>
    </w:p>
    <w:p w14:paraId="46EF8F41" w14:textId="77777777" w:rsidR="001C44F8" w:rsidRPr="0079160F" w:rsidRDefault="001C44F8" w:rsidP="001C44F8">
      <w:pPr>
        <w:widowControl/>
        <w:jc w:val="left"/>
        <w:rPr>
          <w:rFonts w:ascii="Arial" w:hAnsi="Arial" w:cs="Arial"/>
          <w:sz w:val="20"/>
          <w:szCs w:val="20"/>
        </w:rPr>
      </w:pPr>
      <w:r w:rsidRPr="0079160F">
        <w:br w:type="page"/>
      </w:r>
    </w:p>
    <w:p w14:paraId="6F57802F" w14:textId="77777777" w:rsidR="001C44F8" w:rsidRPr="0079160F" w:rsidRDefault="001C44F8" w:rsidP="001C44F8">
      <w:pPr>
        <w:rPr>
          <w:rFonts w:ascii="Arial" w:eastAsia="Arial" w:hAnsi="Arial" w:cs="Arial"/>
          <w:b/>
          <w:sz w:val="20"/>
          <w:szCs w:val="20"/>
        </w:rPr>
      </w:pPr>
      <w:r w:rsidRPr="0079160F">
        <w:rPr>
          <w:rFonts w:ascii="Arial" w:eastAsia="Arial" w:hAnsi="Arial" w:cs="Arial"/>
          <w:b/>
          <w:noProof/>
          <w:sz w:val="20"/>
          <w:szCs w:val="20"/>
        </w:rPr>
        <w:lastRenderedPageBreak/>
        <w:drawing>
          <wp:inline distT="0" distB="0" distL="0" distR="0" wp14:anchorId="2BE40C6A" wp14:editId="66BD12CD">
            <wp:extent cx="4392775" cy="7933765"/>
            <wp:effectExtent l="0" t="0" r="0" b="0"/>
            <wp:docPr id="47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2775" cy="7933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DD8789" w14:textId="77777777" w:rsidR="00EC7AE0" w:rsidRPr="001C44F8" w:rsidRDefault="001C44F8" w:rsidP="001C44F8">
      <w:pPr>
        <w:rPr>
          <w:rFonts w:ascii="Arial" w:hAnsi="Arial" w:cs="Arial"/>
          <w:sz w:val="20"/>
          <w:szCs w:val="20"/>
        </w:rPr>
      </w:pPr>
      <w:r w:rsidRPr="0079160F">
        <w:rPr>
          <w:rFonts w:ascii="Arial" w:hAnsi="Arial" w:cs="Arial" w:hint="cs"/>
          <w:b/>
          <w:sz w:val="20"/>
          <w:szCs w:val="20"/>
        </w:rPr>
        <w:t>S</w:t>
      </w:r>
      <w:r w:rsidRPr="0079160F">
        <w:rPr>
          <w:rFonts w:ascii="Arial" w:hAnsi="Arial" w:cs="Arial"/>
          <w:b/>
          <w:sz w:val="20"/>
          <w:szCs w:val="20"/>
        </w:rPr>
        <w:t xml:space="preserve">upplementary Figure S12. </w:t>
      </w:r>
      <w:r w:rsidRPr="0079160F">
        <w:rPr>
          <w:rFonts w:ascii="Arial" w:hAnsi="Arial" w:cs="Arial"/>
          <w:sz w:val="20"/>
          <w:szCs w:val="20"/>
        </w:rPr>
        <w:t>Uncut blot images</w:t>
      </w:r>
      <w:r w:rsidRPr="0079160F">
        <w:rPr>
          <w:rFonts w:ascii="Arial" w:eastAsia="Arial" w:hAnsi="Arial" w:cs="Arial"/>
          <w:sz w:val="20"/>
          <w:szCs w:val="20"/>
        </w:rPr>
        <w:t>.</w:t>
      </w:r>
    </w:p>
    <w:sectPr w:rsidR="00EC7AE0" w:rsidRPr="001C44F8" w:rsidSect="00791571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F8"/>
    <w:rsid w:val="00047B60"/>
    <w:rsid w:val="000B6036"/>
    <w:rsid w:val="000E157F"/>
    <w:rsid w:val="00177197"/>
    <w:rsid w:val="001C44F8"/>
    <w:rsid w:val="00261B6C"/>
    <w:rsid w:val="00280C30"/>
    <w:rsid w:val="003F7A2D"/>
    <w:rsid w:val="004C105A"/>
    <w:rsid w:val="00745482"/>
    <w:rsid w:val="00773B05"/>
    <w:rsid w:val="00785C45"/>
    <w:rsid w:val="00791571"/>
    <w:rsid w:val="00822EA1"/>
    <w:rsid w:val="008A3605"/>
    <w:rsid w:val="009A0E16"/>
    <w:rsid w:val="009D7911"/>
    <w:rsid w:val="00A0389A"/>
    <w:rsid w:val="00AC4B2C"/>
    <w:rsid w:val="00AF3D4C"/>
    <w:rsid w:val="00B01C06"/>
    <w:rsid w:val="00B671E6"/>
    <w:rsid w:val="00D70FAE"/>
    <w:rsid w:val="00EC7AE0"/>
    <w:rsid w:val="00F7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135612"/>
  <w15:chartTrackingRefBased/>
  <w15:docId w15:val="{C61C5CE3-2E75-5940-9A1D-9F9C19AA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4F8"/>
    <w:pPr>
      <w:widowControl w:val="0"/>
      <w:jc w:val="both"/>
    </w:pPr>
    <w:rPr>
      <w:rFonts w:ascii="游明朝" w:eastAsia="游明朝" w:hAnsi="游明朝" w:cs="游明朝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57F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E157F"/>
    <w:rPr>
      <w:rFonts w:ascii="ＭＳ 明朝" w:eastAsia="ＭＳ 明朝" w:hAnsi="游明朝" w:cs="游明朝"/>
      <w:kern w:val="0"/>
      <w:sz w:val="18"/>
      <w:szCs w:val="18"/>
      <w:lang w:eastAsia="en-US"/>
    </w:rPr>
  </w:style>
  <w:style w:type="character" w:styleId="a5">
    <w:name w:val="annotation reference"/>
    <w:basedOn w:val="a0"/>
    <w:uiPriority w:val="99"/>
    <w:semiHidden/>
    <w:unhideWhenUsed/>
    <w:rsid w:val="008A3605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8A3605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8A3605"/>
    <w:rPr>
      <w:rFonts w:ascii="游明朝" w:eastAsia="游明朝" w:hAnsi="游明朝" w:cs="游明朝"/>
      <w:kern w:val="0"/>
      <w:szCs w:val="21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A360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A3605"/>
    <w:rPr>
      <w:rFonts w:ascii="游明朝" w:eastAsia="游明朝" w:hAnsi="游明朝" w:cs="游明朝"/>
      <w:b/>
      <w:bCs/>
      <w:kern w:val="0"/>
      <w:szCs w:val="21"/>
      <w:lang w:eastAsia="en-US"/>
    </w:rPr>
  </w:style>
  <w:style w:type="paragraph" w:styleId="aa">
    <w:name w:val="Revision"/>
    <w:hidden/>
    <w:uiPriority w:val="99"/>
    <w:semiHidden/>
    <w:rsid w:val="00047B60"/>
    <w:rPr>
      <w:rFonts w:ascii="游明朝" w:eastAsia="游明朝" w:hAnsi="游明朝" w:cs="游明朝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松本翔馬</dc:creator>
  <cp:keywords/>
  <dc:description/>
  <cp:lastModifiedBy>Satoshi Tanaka</cp:lastModifiedBy>
  <cp:revision>3</cp:revision>
  <dcterms:created xsi:type="dcterms:W3CDTF">2020-03-23T06:45:00Z</dcterms:created>
  <dcterms:modified xsi:type="dcterms:W3CDTF">2020-03-28T00:18:00Z</dcterms:modified>
</cp:coreProperties>
</file>