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328" w:rsidRDefault="00DB2328" w:rsidP="000B23F7">
      <w:bookmarkStart w:id="0" w:name="_Toc210108285"/>
      <w:bookmarkStart w:id="1" w:name="_Toc210110075"/>
      <w:bookmarkStart w:id="2" w:name="_Toc210617007"/>
    </w:p>
    <w:p w:rsidR="00DB2328" w:rsidRDefault="00DB2328" w:rsidP="000B23F7"/>
    <w:p w:rsidR="00F7021F" w:rsidRPr="00F7021F" w:rsidRDefault="00F7021F" w:rsidP="00F7021F">
      <w:pPr>
        <w:jc w:val="center"/>
        <w:rPr>
          <w:b/>
          <w:sz w:val="40"/>
          <w:szCs w:val="40"/>
        </w:rPr>
      </w:pPr>
      <w:r w:rsidRPr="00F7021F">
        <w:rPr>
          <w:rFonts w:hint="eastAsia"/>
          <w:b/>
          <w:sz w:val="40"/>
          <w:szCs w:val="40"/>
        </w:rPr>
        <w:t>Clinical Study Protocol</w:t>
      </w:r>
    </w:p>
    <w:p w:rsidR="00F7021F" w:rsidRDefault="00F7021F" w:rsidP="00F1485B">
      <w:pPr>
        <w:jc w:val="center"/>
        <w:rPr>
          <w:b/>
          <w:sz w:val="40"/>
          <w:szCs w:val="40"/>
        </w:rPr>
      </w:pPr>
    </w:p>
    <w:p w:rsidR="00DB2328" w:rsidRDefault="00DB2328" w:rsidP="00F1485B">
      <w:pPr>
        <w:jc w:val="center"/>
        <w:rPr>
          <w:b/>
          <w:sz w:val="40"/>
          <w:szCs w:val="40"/>
        </w:rPr>
      </w:pPr>
    </w:p>
    <w:p w:rsidR="008C3C6E" w:rsidRPr="008C3C6E" w:rsidRDefault="008C3C6E" w:rsidP="00F1485B">
      <w:pPr>
        <w:jc w:val="center"/>
        <w:rPr>
          <w:b/>
          <w:sz w:val="48"/>
          <w:szCs w:val="48"/>
          <w:u w:val="single"/>
        </w:rPr>
      </w:pPr>
    </w:p>
    <w:p w:rsidR="00F7021F" w:rsidRDefault="00220FF6" w:rsidP="00D74D12">
      <w:pPr>
        <w:autoSpaceDE w:val="0"/>
        <w:autoSpaceDN w:val="0"/>
        <w:adjustRightInd w:val="0"/>
        <w:jc w:val="center"/>
        <w:rPr>
          <w:rFonts w:ascii="TimesNewRoman" w:hAnsi="TimesNewRoman" w:cs="TimesNewRoman"/>
          <w:kern w:val="0"/>
          <w:sz w:val="40"/>
          <w:szCs w:val="40"/>
        </w:rPr>
      </w:pPr>
      <w:r>
        <w:rPr>
          <w:rFonts w:ascii="TimesNewRoman" w:hAnsi="TimesNewRoman" w:cs="TimesNewRoman"/>
          <w:kern w:val="0"/>
          <w:sz w:val="40"/>
          <w:szCs w:val="40"/>
        </w:rPr>
        <w:t>The Clinical and Urodynamic Effect</w:t>
      </w:r>
    </w:p>
    <w:p w:rsidR="00220FF6" w:rsidRDefault="00220FF6" w:rsidP="00D74D12">
      <w:pPr>
        <w:autoSpaceDE w:val="0"/>
        <w:autoSpaceDN w:val="0"/>
        <w:adjustRightInd w:val="0"/>
        <w:jc w:val="center"/>
        <w:rPr>
          <w:rFonts w:ascii="TimesNewRoman" w:hAnsi="TimesNewRoman" w:cs="TimesNewRoman"/>
          <w:kern w:val="0"/>
          <w:sz w:val="40"/>
          <w:szCs w:val="40"/>
        </w:rPr>
      </w:pPr>
      <w:r>
        <w:rPr>
          <w:rFonts w:ascii="TimesNewRoman" w:hAnsi="TimesNewRoman" w:cs="TimesNewRoman"/>
          <w:kern w:val="0"/>
          <w:sz w:val="40"/>
          <w:szCs w:val="40"/>
        </w:rPr>
        <w:t>of Transvaginal or Laparoscopic mesh suspension</w:t>
      </w:r>
    </w:p>
    <w:p w:rsidR="00220FF6" w:rsidRDefault="00220FF6" w:rsidP="00D74D12">
      <w:pPr>
        <w:autoSpaceDE w:val="0"/>
        <w:autoSpaceDN w:val="0"/>
        <w:adjustRightInd w:val="0"/>
        <w:jc w:val="center"/>
        <w:rPr>
          <w:rFonts w:ascii="TimesNewRoman" w:hAnsi="TimesNewRoman" w:cs="TimesNewRoman"/>
          <w:kern w:val="0"/>
          <w:sz w:val="40"/>
          <w:szCs w:val="40"/>
        </w:rPr>
      </w:pPr>
      <w:r>
        <w:rPr>
          <w:rFonts w:ascii="TimesNewRoman" w:hAnsi="TimesNewRoman" w:cs="TimesNewRoman" w:hint="eastAsia"/>
          <w:kern w:val="0"/>
          <w:sz w:val="40"/>
          <w:szCs w:val="40"/>
        </w:rPr>
        <w:t>f</w:t>
      </w:r>
      <w:r>
        <w:rPr>
          <w:rFonts w:ascii="TimesNewRoman" w:hAnsi="TimesNewRoman" w:cs="TimesNewRoman"/>
          <w:kern w:val="0"/>
          <w:sz w:val="40"/>
          <w:szCs w:val="40"/>
        </w:rPr>
        <w:t>or The Treatment of Pelvic Organ Prolapse</w:t>
      </w:r>
    </w:p>
    <w:tbl>
      <w:tblPr>
        <w:tblW w:w="0" w:type="auto"/>
        <w:tblLook w:val="04A0" w:firstRow="1" w:lastRow="0" w:firstColumn="1" w:lastColumn="0" w:noHBand="0" w:noVBand="1"/>
      </w:tblPr>
      <w:tblGrid>
        <w:gridCol w:w="4348"/>
        <w:gridCol w:w="4348"/>
      </w:tblGrid>
      <w:tr w:rsidR="00F7021F" w:rsidRPr="003B48CE">
        <w:tc>
          <w:tcPr>
            <w:tcW w:w="4348" w:type="dxa"/>
          </w:tcPr>
          <w:p w:rsidR="00F7021F" w:rsidRPr="003B48CE" w:rsidRDefault="00F7021F" w:rsidP="00260364">
            <w:pPr>
              <w:jc w:val="right"/>
            </w:pPr>
          </w:p>
        </w:tc>
        <w:tc>
          <w:tcPr>
            <w:tcW w:w="4348" w:type="dxa"/>
          </w:tcPr>
          <w:p w:rsidR="00F7021F" w:rsidRPr="00F959A6" w:rsidRDefault="00F7021F" w:rsidP="00902253">
            <w:pPr>
              <w:rPr>
                <w:color w:val="FF0000"/>
                <w:szCs w:val="24"/>
              </w:rPr>
            </w:pPr>
          </w:p>
        </w:tc>
      </w:tr>
      <w:tr w:rsidR="00F7021F" w:rsidRPr="003B48CE">
        <w:tc>
          <w:tcPr>
            <w:tcW w:w="4348" w:type="dxa"/>
          </w:tcPr>
          <w:p w:rsidR="00F7021F" w:rsidRPr="003B48CE" w:rsidRDefault="00F7021F" w:rsidP="00260364">
            <w:pPr>
              <w:jc w:val="right"/>
            </w:pPr>
            <w:r w:rsidRPr="003B48CE">
              <w:t>Version:</w:t>
            </w:r>
          </w:p>
        </w:tc>
        <w:tc>
          <w:tcPr>
            <w:tcW w:w="4348" w:type="dxa"/>
          </w:tcPr>
          <w:p w:rsidR="00F7021F" w:rsidRPr="003B48CE" w:rsidRDefault="007D68AA" w:rsidP="00260364">
            <w:r>
              <w:rPr>
                <w:rFonts w:hint="eastAsia"/>
              </w:rPr>
              <w:t>1</w:t>
            </w:r>
            <w:r w:rsidR="00F7021F" w:rsidRPr="003B48CE">
              <w:rPr>
                <w:rFonts w:hint="eastAsia"/>
              </w:rPr>
              <w:t>.0</w:t>
            </w:r>
          </w:p>
        </w:tc>
      </w:tr>
      <w:tr w:rsidR="00F7021F" w:rsidRPr="003B48CE">
        <w:tc>
          <w:tcPr>
            <w:tcW w:w="4348" w:type="dxa"/>
          </w:tcPr>
          <w:p w:rsidR="00F7021F" w:rsidRPr="003B48CE" w:rsidRDefault="00F7021F" w:rsidP="004C0909">
            <w:pPr>
              <w:ind w:right="240"/>
              <w:jc w:val="right"/>
            </w:pPr>
            <w:r w:rsidRPr="003B48CE">
              <w:t>Date:</w:t>
            </w:r>
          </w:p>
        </w:tc>
        <w:tc>
          <w:tcPr>
            <w:tcW w:w="4348" w:type="dxa"/>
          </w:tcPr>
          <w:p w:rsidR="00F7021F" w:rsidRPr="003B48CE" w:rsidRDefault="00C233DE" w:rsidP="009C0F50">
            <w:r>
              <w:t>05 January 2019</w:t>
            </w:r>
          </w:p>
        </w:tc>
      </w:tr>
      <w:tr w:rsidR="00F7021F" w:rsidRPr="003B48CE">
        <w:tc>
          <w:tcPr>
            <w:tcW w:w="4348" w:type="dxa"/>
          </w:tcPr>
          <w:p w:rsidR="00F7021F" w:rsidRPr="003B48CE" w:rsidRDefault="00F7021F" w:rsidP="00260364">
            <w:pPr>
              <w:jc w:val="right"/>
            </w:pPr>
          </w:p>
        </w:tc>
        <w:tc>
          <w:tcPr>
            <w:tcW w:w="4348" w:type="dxa"/>
          </w:tcPr>
          <w:p w:rsidR="00F7021F" w:rsidRPr="003B48CE" w:rsidRDefault="00F7021F" w:rsidP="00260364"/>
        </w:tc>
      </w:tr>
      <w:tr w:rsidR="00F7021F" w:rsidRPr="003B48CE">
        <w:tc>
          <w:tcPr>
            <w:tcW w:w="4348" w:type="dxa"/>
          </w:tcPr>
          <w:p w:rsidR="00F7021F" w:rsidRPr="003B48CE" w:rsidRDefault="00F7021F" w:rsidP="00260364">
            <w:pPr>
              <w:jc w:val="right"/>
            </w:pPr>
          </w:p>
        </w:tc>
        <w:tc>
          <w:tcPr>
            <w:tcW w:w="4348" w:type="dxa"/>
          </w:tcPr>
          <w:p w:rsidR="00F7021F" w:rsidRPr="003B48CE" w:rsidRDefault="00F7021F" w:rsidP="007B79DC"/>
        </w:tc>
      </w:tr>
    </w:tbl>
    <w:p w:rsidR="00F7021F" w:rsidRDefault="00F7021F" w:rsidP="00F7021F"/>
    <w:p w:rsidR="00C1589E" w:rsidRDefault="00C1589E" w:rsidP="00F7021F"/>
    <w:tbl>
      <w:tblPr>
        <w:tblW w:w="5342" w:type="pct"/>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636"/>
        <w:gridCol w:w="7986"/>
      </w:tblGrid>
      <w:tr w:rsidR="00C1589E" w:rsidRPr="00220FF6" w:rsidTr="00C476DE">
        <w:trPr>
          <w:trHeight w:val="567"/>
          <w:jc w:val="center"/>
        </w:trPr>
        <w:tc>
          <w:tcPr>
            <w:tcW w:w="850" w:type="pct"/>
            <w:tcBorders>
              <w:top w:val="single" w:sz="8" w:space="0" w:color="auto"/>
              <w:left w:val="single" w:sz="8" w:space="0" w:color="auto"/>
              <w:bottom w:val="single" w:sz="8" w:space="0" w:color="auto"/>
              <w:right w:val="single" w:sz="8" w:space="0" w:color="auto"/>
            </w:tcBorders>
            <w:vAlign w:val="center"/>
          </w:tcPr>
          <w:p w:rsidR="00C1589E" w:rsidRPr="00220FF6" w:rsidRDefault="00220FF6" w:rsidP="00C476DE">
            <w:pPr>
              <w:tabs>
                <w:tab w:val="left" w:pos="336"/>
              </w:tabs>
              <w:spacing w:line="400" w:lineRule="exact"/>
              <w:ind w:leftChars="25" w:left="60" w:rightChars="25" w:right="60"/>
              <w:rPr>
                <w:rFonts w:eastAsia="標楷體"/>
              </w:rPr>
            </w:pPr>
            <w:r w:rsidRPr="00220FF6">
              <w:rPr>
                <w:rFonts w:eastAsia="標楷體"/>
              </w:rPr>
              <w:t>PI</w:t>
            </w:r>
          </w:p>
        </w:tc>
        <w:tc>
          <w:tcPr>
            <w:tcW w:w="4150" w:type="pct"/>
            <w:tcBorders>
              <w:top w:val="single" w:sz="8" w:space="0" w:color="auto"/>
              <w:left w:val="single" w:sz="8" w:space="0" w:color="auto"/>
              <w:bottom w:val="single" w:sz="8" w:space="0" w:color="auto"/>
              <w:right w:val="single" w:sz="8" w:space="0" w:color="auto"/>
            </w:tcBorders>
            <w:vAlign w:val="center"/>
          </w:tcPr>
          <w:p w:rsidR="00C1589E" w:rsidRPr="00220FF6" w:rsidRDefault="00220FF6" w:rsidP="00C476DE">
            <w:pPr>
              <w:tabs>
                <w:tab w:val="left" w:pos="336"/>
              </w:tabs>
              <w:spacing w:line="400" w:lineRule="exact"/>
              <w:ind w:leftChars="25" w:left="60" w:rightChars="25" w:right="60"/>
              <w:rPr>
                <w:rFonts w:eastAsia="標楷體"/>
              </w:rPr>
            </w:pPr>
            <w:r w:rsidRPr="00220FF6">
              <w:rPr>
                <w:rFonts w:eastAsia="標楷體"/>
              </w:rPr>
              <w:t>Cheng-Yu Long</w:t>
            </w:r>
          </w:p>
        </w:tc>
      </w:tr>
      <w:tr w:rsidR="00C1589E" w:rsidRPr="00220FF6" w:rsidTr="00C476DE">
        <w:trPr>
          <w:trHeight w:val="567"/>
          <w:jc w:val="center"/>
        </w:trPr>
        <w:tc>
          <w:tcPr>
            <w:tcW w:w="850" w:type="pct"/>
            <w:tcBorders>
              <w:top w:val="single" w:sz="8" w:space="0" w:color="auto"/>
              <w:left w:val="single" w:sz="8" w:space="0" w:color="auto"/>
              <w:bottom w:val="single" w:sz="8" w:space="0" w:color="auto"/>
              <w:right w:val="single" w:sz="8" w:space="0" w:color="auto"/>
            </w:tcBorders>
            <w:vAlign w:val="center"/>
          </w:tcPr>
          <w:p w:rsidR="00C1589E" w:rsidRPr="00220FF6" w:rsidRDefault="00220FF6" w:rsidP="00C476DE">
            <w:pPr>
              <w:tabs>
                <w:tab w:val="left" w:pos="336"/>
              </w:tabs>
              <w:spacing w:line="400" w:lineRule="exact"/>
              <w:ind w:leftChars="25" w:left="60" w:rightChars="25" w:right="60"/>
              <w:rPr>
                <w:rFonts w:eastAsia="標楷體"/>
              </w:rPr>
            </w:pPr>
            <w:r w:rsidRPr="00220FF6">
              <w:rPr>
                <w:rFonts w:eastAsia="標楷體"/>
              </w:rPr>
              <w:t>Co-PI</w:t>
            </w:r>
          </w:p>
        </w:tc>
        <w:tc>
          <w:tcPr>
            <w:tcW w:w="4150" w:type="pct"/>
            <w:tcBorders>
              <w:top w:val="single" w:sz="8" w:space="0" w:color="auto"/>
              <w:left w:val="single" w:sz="8" w:space="0" w:color="auto"/>
              <w:bottom w:val="single" w:sz="8" w:space="0" w:color="auto"/>
              <w:right w:val="single" w:sz="8" w:space="0" w:color="auto"/>
            </w:tcBorders>
            <w:vAlign w:val="center"/>
          </w:tcPr>
          <w:p w:rsidR="00C1589E" w:rsidRPr="00220FF6" w:rsidRDefault="00220FF6" w:rsidP="00C476DE">
            <w:pPr>
              <w:tabs>
                <w:tab w:val="left" w:pos="336"/>
              </w:tabs>
              <w:spacing w:line="400" w:lineRule="exact"/>
              <w:ind w:leftChars="25" w:left="60" w:rightChars="25" w:right="60"/>
              <w:rPr>
                <w:rFonts w:eastAsia="標楷體"/>
              </w:rPr>
            </w:pPr>
            <w:r w:rsidRPr="00220FF6">
              <w:rPr>
                <w:rFonts w:eastAsia="標楷體"/>
              </w:rPr>
              <w:t>Kun-Ling Lin</w:t>
            </w:r>
          </w:p>
        </w:tc>
      </w:tr>
    </w:tbl>
    <w:p w:rsidR="00DB2328" w:rsidRDefault="00DB2328" w:rsidP="00F7021F"/>
    <w:p w:rsidR="00C1589E" w:rsidRDefault="00C1589E" w:rsidP="00F7021F"/>
    <w:p w:rsidR="00220FF6" w:rsidRPr="00D87AAF" w:rsidRDefault="00974B04" w:rsidP="008171FE">
      <w:pPr>
        <w:jc w:val="center"/>
        <w:rPr>
          <w:rFonts w:asciiTheme="majorHAnsi" w:hAnsiTheme="majorHAnsi" w:cstheme="majorHAnsi"/>
          <w:sz w:val="22"/>
        </w:rPr>
        <w:sectPr w:rsidR="00220FF6" w:rsidRPr="00D87AAF" w:rsidSect="0081077D">
          <w:headerReference w:type="default" r:id="rId8"/>
          <w:footerReference w:type="default" r:id="rId9"/>
          <w:type w:val="continuous"/>
          <w:pgSz w:w="11906" w:h="16838"/>
          <w:pgMar w:top="1440" w:right="1440" w:bottom="1440" w:left="1440" w:header="851" w:footer="992" w:gutter="0"/>
          <w:pgNumType w:fmt="lowerRoman" w:start="1"/>
          <w:cols w:space="425"/>
          <w:docGrid w:type="lines" w:linePitch="360"/>
        </w:sectPr>
      </w:pPr>
      <w:r w:rsidRPr="00D87AAF">
        <w:rPr>
          <w:rFonts w:asciiTheme="majorHAnsi" w:hAnsiTheme="majorHAnsi" w:cstheme="majorHAnsi"/>
          <w:sz w:val="22"/>
        </w:rPr>
        <w:t xml:space="preserve">*The original version of this clinical study protocol was written in Mandarin. This is an English version according to the request of </w:t>
      </w:r>
      <w:r w:rsidR="00D87AAF" w:rsidRPr="00D87AAF">
        <w:rPr>
          <w:rFonts w:asciiTheme="majorHAnsi" w:hAnsiTheme="majorHAnsi" w:cstheme="majorHAnsi"/>
          <w:sz w:val="22"/>
        </w:rPr>
        <w:t xml:space="preserve">the </w:t>
      </w:r>
      <w:r w:rsidRPr="00D87AAF">
        <w:rPr>
          <w:rFonts w:asciiTheme="majorHAnsi" w:hAnsiTheme="majorHAnsi" w:cstheme="majorHAnsi"/>
          <w:sz w:val="22"/>
        </w:rPr>
        <w:t xml:space="preserve">editorial office. The formal IRB-proved version </w:t>
      </w:r>
      <w:r w:rsidR="00C16F25" w:rsidRPr="00D87AAF">
        <w:rPr>
          <w:rFonts w:asciiTheme="majorHAnsi" w:hAnsiTheme="majorHAnsi" w:cstheme="majorHAnsi"/>
          <w:sz w:val="22"/>
        </w:rPr>
        <w:t>can also be provided if necessary</w:t>
      </w:r>
      <w:r w:rsidRPr="00D87AAF">
        <w:rPr>
          <w:rFonts w:asciiTheme="majorHAnsi" w:hAnsiTheme="majorHAnsi" w:cstheme="majorHAnsi"/>
          <w:sz w:val="22"/>
        </w:rPr>
        <w:t>. Our original article is part of this clinical study protocol.</w:t>
      </w:r>
    </w:p>
    <w:bookmarkEnd w:id="0"/>
    <w:bookmarkEnd w:id="1"/>
    <w:bookmarkEnd w:id="2"/>
    <w:p w:rsidR="009B7385" w:rsidRDefault="00974B04" w:rsidP="0051124B">
      <w:pPr>
        <w:pStyle w:val="1"/>
        <w:snapToGrid/>
        <w:rPr>
          <w:rFonts w:ascii="Times New Roman" w:hAnsi="Times New Roman"/>
          <w:caps/>
          <w:sz w:val="28"/>
          <w:szCs w:val="28"/>
        </w:rPr>
      </w:pPr>
      <w:r>
        <w:rPr>
          <w:rFonts w:ascii="Times New Roman" w:hAnsi="Times New Roman"/>
          <w:caps/>
          <w:sz w:val="28"/>
          <w:szCs w:val="28"/>
        </w:rPr>
        <w:lastRenderedPageBreak/>
        <w:t>Background</w:t>
      </w:r>
    </w:p>
    <w:p w:rsidR="00EA2918" w:rsidRPr="00945DC8" w:rsidRDefault="00183112" w:rsidP="004D480A">
      <w:pPr>
        <w:autoSpaceDE w:val="0"/>
        <w:autoSpaceDN w:val="0"/>
        <w:adjustRightInd w:val="0"/>
        <w:spacing w:line="640" w:lineRule="exact"/>
        <w:ind w:firstLine="482"/>
        <w:jc w:val="left"/>
        <w:rPr>
          <w:szCs w:val="24"/>
        </w:rPr>
      </w:pPr>
      <w:bookmarkStart w:id="3" w:name="_Toc262028799"/>
      <w:r w:rsidRPr="00945DC8">
        <w:rPr>
          <w:szCs w:val="24"/>
        </w:rPr>
        <w:t>Female p</w:t>
      </w:r>
      <w:r w:rsidR="00EA2918" w:rsidRPr="00945DC8">
        <w:rPr>
          <w:szCs w:val="24"/>
        </w:rPr>
        <w:t>elvic floor dysfunction</w:t>
      </w:r>
      <w:r w:rsidR="006A67DD">
        <w:rPr>
          <w:rFonts w:hint="eastAsia"/>
          <w:szCs w:val="24"/>
        </w:rPr>
        <w:t xml:space="preserve"> </w:t>
      </w:r>
      <w:r w:rsidR="001B6F11" w:rsidRPr="00945DC8">
        <w:rPr>
          <w:szCs w:val="24"/>
        </w:rPr>
        <w:t>(PFD)</w:t>
      </w:r>
      <w:r w:rsidR="00EA2918" w:rsidRPr="00945DC8">
        <w:rPr>
          <w:szCs w:val="24"/>
        </w:rPr>
        <w:t xml:space="preserve"> includes</w:t>
      </w:r>
      <w:r w:rsidR="002D180F" w:rsidRPr="00945DC8">
        <w:rPr>
          <w:szCs w:val="24"/>
        </w:rPr>
        <w:t xml:space="preserve"> </w:t>
      </w:r>
      <w:r w:rsidRPr="00945DC8">
        <w:rPr>
          <w:color w:val="333333"/>
          <w:spacing w:val="2"/>
          <w:szCs w:val="24"/>
          <w:shd w:val="clear" w:color="auto" w:fill="FCFCFC"/>
        </w:rPr>
        <w:t>symptoms of urinary incontinence (UI), anorectal dysfunction, pelvic organ prolapse (POP), sexual dysfunction, pelvic pain, and lower urinary tract abnormalities</w:t>
      </w:r>
      <w:r w:rsidR="001B6F11" w:rsidRPr="00945DC8">
        <w:rPr>
          <w:szCs w:val="24"/>
        </w:rPr>
        <w:t xml:space="preserve">. </w:t>
      </w:r>
      <w:r w:rsidR="00974B04">
        <w:rPr>
          <w:szCs w:val="24"/>
        </w:rPr>
        <w:t xml:space="preserve">High recurrence rates were noted over traditional pelvic floor reconstruction. However, the safety and efficacy of transvaginal mesh and laparoscopic </w:t>
      </w:r>
      <w:r w:rsidR="00266362">
        <w:rPr>
          <w:szCs w:val="24"/>
        </w:rPr>
        <w:t xml:space="preserve">mesh </w:t>
      </w:r>
      <w:r w:rsidR="00974B04">
        <w:rPr>
          <w:szCs w:val="24"/>
        </w:rPr>
        <w:t>suspension are still undetermined.</w:t>
      </w:r>
    </w:p>
    <w:p w:rsidR="00E36836" w:rsidRPr="00DF5F71" w:rsidRDefault="00EA2918" w:rsidP="00892C87">
      <w:pPr>
        <w:pStyle w:val="1"/>
        <w:snapToGrid/>
        <w:spacing w:line="600" w:lineRule="exact"/>
        <w:rPr>
          <w:rFonts w:ascii="Times New Roman" w:hAnsi="Times New Roman"/>
          <w:caps/>
          <w:sz w:val="28"/>
          <w:szCs w:val="28"/>
        </w:rPr>
      </w:pPr>
      <w:r w:rsidRPr="00DF5F71">
        <w:rPr>
          <w:rFonts w:ascii="Times New Roman" w:hAnsi="Times New Roman" w:hint="eastAsia"/>
          <w:caps/>
          <w:sz w:val="28"/>
          <w:szCs w:val="28"/>
        </w:rPr>
        <w:t>Study Objectives</w:t>
      </w:r>
      <w:bookmarkEnd w:id="3"/>
    </w:p>
    <w:p w:rsidR="00C113E2" w:rsidRDefault="00BD3315" w:rsidP="00892C87">
      <w:pPr>
        <w:autoSpaceDE w:val="0"/>
        <w:autoSpaceDN w:val="0"/>
        <w:adjustRightInd w:val="0"/>
        <w:spacing w:line="600" w:lineRule="exact"/>
        <w:ind w:firstLine="482"/>
        <w:rPr>
          <w:rFonts w:ascii="AdvP41153C" w:hAnsi="AdvP41153C" w:cs="AdvP41153C"/>
        </w:rPr>
      </w:pPr>
      <w:r>
        <w:rPr>
          <w:rFonts w:ascii="AdvP41153C" w:hAnsi="AdvP41153C" w:cs="AdvP41153C" w:hint="eastAsia"/>
        </w:rPr>
        <w:t xml:space="preserve">To </w:t>
      </w:r>
      <w:r w:rsidR="00974B04">
        <w:rPr>
          <w:rFonts w:ascii="AdvP41153C" w:hAnsi="AdvP41153C" w:cs="AdvP41153C"/>
        </w:rPr>
        <w:t xml:space="preserve">evaluate the clinical and urodynamic effect </w:t>
      </w:r>
      <w:r w:rsidR="00266362">
        <w:rPr>
          <w:rFonts w:ascii="AdvP41153C" w:hAnsi="AdvP41153C" w:cs="AdvP41153C"/>
        </w:rPr>
        <w:t>of transvaginal mesh and laparoscopic mesh suspension for the treatment of pelvic organ prolapse.</w:t>
      </w:r>
    </w:p>
    <w:p w:rsidR="0003161B" w:rsidRPr="00DF5F71" w:rsidRDefault="0003161B" w:rsidP="00892C87">
      <w:pPr>
        <w:pStyle w:val="1"/>
        <w:snapToGrid/>
        <w:spacing w:line="600" w:lineRule="exact"/>
        <w:rPr>
          <w:rFonts w:ascii="Times New Roman" w:hAnsi="Times New Roman"/>
          <w:caps/>
          <w:sz w:val="28"/>
          <w:szCs w:val="28"/>
        </w:rPr>
      </w:pPr>
      <w:bookmarkStart w:id="4" w:name="_Toc262028800"/>
      <w:r w:rsidRPr="00DF5F71">
        <w:rPr>
          <w:rFonts w:ascii="Times New Roman" w:hAnsi="Times New Roman" w:hint="eastAsia"/>
          <w:caps/>
          <w:sz w:val="28"/>
          <w:szCs w:val="28"/>
        </w:rPr>
        <w:t>Study Design and Center</w:t>
      </w:r>
      <w:bookmarkEnd w:id="4"/>
    </w:p>
    <w:p w:rsidR="00266362" w:rsidRPr="00C16F25" w:rsidRDefault="00E2405D" w:rsidP="00C16F25">
      <w:pPr>
        <w:pStyle w:val="2"/>
        <w:spacing w:line="600" w:lineRule="exact"/>
        <w:rPr>
          <w:rFonts w:ascii="Times New Roman" w:hAnsi="Times New Roman"/>
          <w:sz w:val="28"/>
          <w:szCs w:val="28"/>
        </w:rPr>
      </w:pPr>
      <w:bookmarkStart w:id="5" w:name="_Toc262028801"/>
      <w:r w:rsidRPr="00DF5F71">
        <w:rPr>
          <w:rFonts w:ascii="Times New Roman" w:hAnsi="Times New Roman"/>
          <w:sz w:val="28"/>
          <w:szCs w:val="28"/>
        </w:rPr>
        <w:t xml:space="preserve">Study </w:t>
      </w:r>
      <w:bookmarkEnd w:id="5"/>
      <w:r w:rsidR="00266362">
        <w:rPr>
          <w:rFonts w:ascii="Times New Roman" w:hAnsi="Times New Roman"/>
          <w:sz w:val="28"/>
          <w:szCs w:val="28"/>
        </w:rPr>
        <w:t xml:space="preserve">Period: </w:t>
      </w:r>
      <w:r w:rsidR="00266362" w:rsidRPr="00C16F25">
        <w:rPr>
          <w:rFonts w:ascii="Times New Roman" w:hAnsi="Times New Roman"/>
          <w:b w:val="0"/>
          <w:bCs w:val="0"/>
          <w:sz w:val="28"/>
          <w:szCs w:val="28"/>
        </w:rPr>
        <w:t>January 1</w:t>
      </w:r>
      <w:r w:rsidR="00266362" w:rsidRPr="00C16F25">
        <w:rPr>
          <w:rFonts w:ascii="Times New Roman" w:hAnsi="Times New Roman"/>
          <w:b w:val="0"/>
          <w:bCs w:val="0"/>
          <w:sz w:val="28"/>
          <w:szCs w:val="28"/>
          <w:vertAlign w:val="superscript"/>
        </w:rPr>
        <w:t>st</w:t>
      </w:r>
      <w:r w:rsidR="00D87AAF">
        <w:rPr>
          <w:rFonts w:ascii="Times New Roman" w:hAnsi="Times New Roman"/>
          <w:b w:val="0"/>
          <w:bCs w:val="0"/>
          <w:sz w:val="28"/>
          <w:szCs w:val="28"/>
        </w:rPr>
        <w:t xml:space="preserve">, </w:t>
      </w:r>
      <w:r w:rsidR="00266362" w:rsidRPr="00C16F25">
        <w:rPr>
          <w:rFonts w:ascii="Times New Roman" w:hAnsi="Times New Roman"/>
          <w:b w:val="0"/>
          <w:bCs w:val="0"/>
          <w:sz w:val="28"/>
          <w:szCs w:val="28"/>
        </w:rPr>
        <w:t xml:space="preserve">2012 to </w:t>
      </w:r>
      <w:r w:rsidR="00C16F25" w:rsidRPr="00C16F25">
        <w:rPr>
          <w:rFonts w:ascii="Times New Roman" w:hAnsi="Times New Roman"/>
          <w:b w:val="0"/>
          <w:bCs w:val="0"/>
          <w:sz w:val="28"/>
          <w:szCs w:val="28"/>
        </w:rPr>
        <w:t>December 31</w:t>
      </w:r>
      <w:r w:rsidR="00C16F25" w:rsidRPr="00C16F25">
        <w:rPr>
          <w:rFonts w:ascii="Times New Roman" w:hAnsi="Times New Roman"/>
          <w:b w:val="0"/>
          <w:bCs w:val="0"/>
          <w:sz w:val="28"/>
          <w:szCs w:val="28"/>
          <w:vertAlign w:val="superscript"/>
        </w:rPr>
        <w:t>st</w:t>
      </w:r>
      <w:r w:rsidR="00D87AAF">
        <w:rPr>
          <w:rFonts w:ascii="Times New Roman" w:hAnsi="Times New Roman"/>
          <w:b w:val="0"/>
          <w:bCs w:val="0"/>
          <w:sz w:val="28"/>
          <w:szCs w:val="28"/>
        </w:rPr>
        <w:t xml:space="preserve">, </w:t>
      </w:r>
      <w:r w:rsidR="00C16F25" w:rsidRPr="00C16F25">
        <w:rPr>
          <w:rFonts w:ascii="Times New Roman" w:hAnsi="Times New Roman"/>
          <w:b w:val="0"/>
          <w:bCs w:val="0"/>
          <w:sz w:val="28"/>
          <w:szCs w:val="28"/>
        </w:rPr>
        <w:t>2018.</w:t>
      </w:r>
      <w:bookmarkStart w:id="6" w:name="_Toc262028802"/>
      <w:bookmarkEnd w:id="6"/>
    </w:p>
    <w:p w:rsidR="00266362" w:rsidRPr="00C16F25" w:rsidRDefault="00266362" w:rsidP="00266362">
      <w:pPr>
        <w:pStyle w:val="2"/>
        <w:spacing w:line="600" w:lineRule="exact"/>
        <w:rPr>
          <w:rFonts w:ascii="Times New Roman" w:hAnsi="Times New Roman"/>
          <w:sz w:val="28"/>
          <w:szCs w:val="28"/>
        </w:rPr>
      </w:pPr>
      <w:r>
        <w:rPr>
          <w:rFonts w:ascii="Times New Roman" w:hAnsi="Times New Roman"/>
          <w:sz w:val="28"/>
          <w:szCs w:val="28"/>
        </w:rPr>
        <w:t xml:space="preserve">Location: </w:t>
      </w:r>
      <w:r w:rsidRPr="00C16F25">
        <w:rPr>
          <w:rFonts w:ascii="Times New Roman" w:hAnsi="Times New Roman"/>
          <w:b w:val="0"/>
          <w:bCs w:val="0"/>
          <w:sz w:val="28"/>
          <w:szCs w:val="28"/>
        </w:rPr>
        <w:t>Kaohsiung Medical University Chung-Ho Memorial Hospital</w:t>
      </w:r>
    </w:p>
    <w:p w:rsidR="0003161B" w:rsidRPr="00DF5F71" w:rsidRDefault="001A2EBB" w:rsidP="00892C87">
      <w:pPr>
        <w:pStyle w:val="3"/>
        <w:spacing w:line="600" w:lineRule="exact"/>
        <w:rPr>
          <w:rFonts w:ascii="Times New Roman" w:hAnsi="Times New Roman"/>
          <w:sz w:val="24"/>
          <w:szCs w:val="24"/>
        </w:rPr>
      </w:pPr>
      <w:r w:rsidRPr="00DF5F71">
        <w:rPr>
          <w:rFonts w:ascii="Times New Roman" w:hAnsi="Times New Roman" w:hint="eastAsia"/>
          <w:sz w:val="24"/>
          <w:szCs w:val="24"/>
        </w:rPr>
        <w:t>Inclusion Criteria</w:t>
      </w:r>
    </w:p>
    <w:p w:rsidR="002D180F" w:rsidRPr="002D180F" w:rsidRDefault="00266362" w:rsidP="00C233DE">
      <w:pPr>
        <w:widowControl/>
        <w:spacing w:after="48" w:line="640" w:lineRule="exact"/>
        <w:ind w:firstLine="482"/>
        <w:jc w:val="left"/>
        <w:rPr>
          <w:rFonts w:ascii="AdvP41153C" w:hAnsi="AdvP41153C" w:cs="AdvP41153C"/>
        </w:rPr>
      </w:pPr>
      <w:r w:rsidRPr="00266362">
        <w:rPr>
          <w:color w:val="000000"/>
          <w:kern w:val="0"/>
          <w:szCs w:val="24"/>
        </w:rPr>
        <w:t>Women with mainly uterine prolapse stage II or greater as defined by the POP-Q staging system</w:t>
      </w:r>
      <w:r w:rsidR="00C16F25">
        <w:rPr>
          <w:rFonts w:ascii="AdvP41153C" w:hAnsi="AdvP41153C" w:cs="AdvP41153C"/>
        </w:rPr>
        <w:t xml:space="preserve"> received transvaginal mesh </w:t>
      </w:r>
      <w:r w:rsidR="00C233DE">
        <w:rPr>
          <w:rFonts w:ascii="AdvP41153C" w:hAnsi="AdvP41153C" w:cs="AdvP41153C"/>
        </w:rPr>
        <w:t>surgeries</w:t>
      </w:r>
      <w:r w:rsidR="00C16F25">
        <w:rPr>
          <w:rFonts w:ascii="AdvP41153C" w:hAnsi="AdvP41153C" w:cs="AdvP41153C"/>
        </w:rPr>
        <w:t xml:space="preserve"> and laparoscopic mesh suspension surgeries.</w:t>
      </w:r>
    </w:p>
    <w:p w:rsidR="002D180F" w:rsidRDefault="00C1589E" w:rsidP="00892C87">
      <w:pPr>
        <w:pStyle w:val="3"/>
        <w:spacing w:line="680" w:lineRule="exact"/>
        <w:rPr>
          <w:rFonts w:ascii="Times New Roman" w:hAnsi="Times New Roman"/>
          <w:sz w:val="24"/>
          <w:szCs w:val="24"/>
        </w:rPr>
      </w:pPr>
      <w:r>
        <w:rPr>
          <w:rFonts w:ascii="Times New Roman" w:hAnsi="Times New Roman"/>
          <w:sz w:val="24"/>
          <w:szCs w:val="24"/>
        </w:rPr>
        <w:t>Ex</w:t>
      </w:r>
      <w:r w:rsidR="002D180F" w:rsidRPr="00DF5F71">
        <w:rPr>
          <w:rFonts w:ascii="Times New Roman" w:hAnsi="Times New Roman" w:hint="eastAsia"/>
          <w:sz w:val="24"/>
          <w:szCs w:val="24"/>
        </w:rPr>
        <w:t>clusion Criteria</w:t>
      </w:r>
    </w:p>
    <w:p w:rsidR="00C16F25" w:rsidRDefault="00C16F25" w:rsidP="00C233DE">
      <w:pPr>
        <w:widowControl/>
        <w:numPr>
          <w:ilvl w:val="0"/>
          <w:numId w:val="17"/>
        </w:numPr>
        <w:spacing w:after="48" w:line="640" w:lineRule="exact"/>
        <w:ind w:left="714" w:hanging="357"/>
        <w:jc w:val="left"/>
        <w:rPr>
          <w:color w:val="000000"/>
          <w:kern w:val="0"/>
          <w:szCs w:val="24"/>
        </w:rPr>
      </w:pPr>
      <w:r>
        <w:rPr>
          <w:rFonts w:hint="eastAsia"/>
          <w:color w:val="000000"/>
          <w:kern w:val="0"/>
          <w:szCs w:val="24"/>
        </w:rPr>
        <w:t>A</w:t>
      </w:r>
      <w:r>
        <w:rPr>
          <w:color w:val="000000"/>
          <w:kern w:val="0"/>
          <w:szCs w:val="24"/>
        </w:rPr>
        <w:t>ge &lt; 20-year-old</w:t>
      </w:r>
    </w:p>
    <w:p w:rsidR="00C16F25" w:rsidRPr="00C16F25" w:rsidRDefault="00C16F25" w:rsidP="00C16F25">
      <w:pPr>
        <w:widowControl/>
        <w:numPr>
          <w:ilvl w:val="0"/>
          <w:numId w:val="17"/>
        </w:numPr>
        <w:spacing w:before="100" w:beforeAutospacing="1" w:after="48" w:line="640" w:lineRule="exact"/>
        <w:ind w:left="714" w:hanging="357"/>
        <w:jc w:val="left"/>
        <w:rPr>
          <w:color w:val="000000"/>
          <w:kern w:val="0"/>
          <w:szCs w:val="24"/>
        </w:rPr>
      </w:pPr>
      <w:r w:rsidRPr="00C16F25">
        <w:rPr>
          <w:color w:val="000000"/>
          <w:kern w:val="0"/>
          <w:szCs w:val="24"/>
        </w:rPr>
        <w:t>A hypertrophic uterus, huge fibroids</w:t>
      </w:r>
    </w:p>
    <w:p w:rsidR="00C16F25" w:rsidRPr="00C16F25" w:rsidRDefault="00C16F25" w:rsidP="00C16F25">
      <w:pPr>
        <w:widowControl/>
        <w:numPr>
          <w:ilvl w:val="0"/>
          <w:numId w:val="17"/>
        </w:numPr>
        <w:spacing w:before="100" w:beforeAutospacing="1" w:after="48" w:line="640" w:lineRule="exact"/>
        <w:ind w:left="714" w:hanging="357"/>
        <w:jc w:val="left"/>
        <w:rPr>
          <w:color w:val="000000"/>
          <w:kern w:val="0"/>
          <w:szCs w:val="24"/>
        </w:rPr>
      </w:pPr>
      <w:r w:rsidRPr="00C16F25">
        <w:rPr>
          <w:color w:val="000000"/>
          <w:kern w:val="0"/>
          <w:szCs w:val="24"/>
        </w:rPr>
        <w:t>History of cervical dysplasia or endometrial pathology</w:t>
      </w:r>
    </w:p>
    <w:p w:rsidR="00C16F25" w:rsidRPr="00C16F25" w:rsidRDefault="00C16F25" w:rsidP="00C16F25">
      <w:pPr>
        <w:widowControl/>
        <w:numPr>
          <w:ilvl w:val="0"/>
          <w:numId w:val="17"/>
        </w:numPr>
        <w:spacing w:before="100" w:beforeAutospacing="1" w:after="48" w:line="640" w:lineRule="exact"/>
        <w:ind w:left="714" w:hanging="357"/>
        <w:jc w:val="left"/>
        <w:rPr>
          <w:color w:val="000000"/>
          <w:kern w:val="0"/>
          <w:szCs w:val="24"/>
        </w:rPr>
      </w:pPr>
      <w:r w:rsidRPr="00C16F25">
        <w:rPr>
          <w:color w:val="000000"/>
          <w:kern w:val="0"/>
          <w:szCs w:val="24"/>
        </w:rPr>
        <w:t>History of postmenopausal bleeding in the past 12 months</w:t>
      </w:r>
    </w:p>
    <w:p w:rsidR="00C16F25" w:rsidRPr="00C16F25" w:rsidRDefault="00C16F25" w:rsidP="00C16F25">
      <w:pPr>
        <w:widowControl/>
        <w:numPr>
          <w:ilvl w:val="0"/>
          <w:numId w:val="17"/>
        </w:numPr>
        <w:spacing w:before="100" w:beforeAutospacing="1" w:after="48" w:line="640" w:lineRule="exact"/>
        <w:ind w:left="714" w:hanging="357"/>
        <w:jc w:val="left"/>
        <w:rPr>
          <w:color w:val="000000"/>
          <w:kern w:val="0"/>
          <w:szCs w:val="24"/>
        </w:rPr>
      </w:pPr>
      <w:r w:rsidRPr="00C16F25">
        <w:rPr>
          <w:color w:val="000000"/>
          <w:kern w:val="0"/>
          <w:szCs w:val="24"/>
        </w:rPr>
        <w:lastRenderedPageBreak/>
        <w:t>Unwilling to preserve their uterus</w:t>
      </w:r>
    </w:p>
    <w:p w:rsidR="00641B22" w:rsidRPr="00DF5F71" w:rsidRDefault="00641B22" w:rsidP="00892C87">
      <w:pPr>
        <w:pStyle w:val="1"/>
        <w:snapToGrid/>
        <w:spacing w:before="25" w:line="600" w:lineRule="exact"/>
        <w:rPr>
          <w:rFonts w:ascii="Times New Roman" w:hAnsi="Times New Roman"/>
          <w:caps/>
          <w:sz w:val="28"/>
          <w:szCs w:val="28"/>
        </w:rPr>
      </w:pPr>
      <w:bookmarkStart w:id="7" w:name="_Toc262028809"/>
      <w:r w:rsidRPr="00DF5F71">
        <w:rPr>
          <w:rFonts w:ascii="Times New Roman" w:hAnsi="Times New Roman" w:hint="eastAsia"/>
          <w:caps/>
          <w:sz w:val="28"/>
          <w:szCs w:val="28"/>
        </w:rPr>
        <w:t>Methodology</w:t>
      </w:r>
      <w:bookmarkEnd w:id="7"/>
    </w:p>
    <w:p w:rsidR="00D178FA" w:rsidRPr="00844027" w:rsidRDefault="00EB7025" w:rsidP="00892C87">
      <w:pPr>
        <w:pStyle w:val="2"/>
        <w:spacing w:before="25" w:line="600" w:lineRule="exact"/>
        <w:rPr>
          <w:rFonts w:ascii="Times New Roman" w:hAnsi="Times New Roman"/>
          <w:sz w:val="24"/>
          <w:szCs w:val="24"/>
        </w:rPr>
      </w:pPr>
      <w:bookmarkStart w:id="8" w:name="_Toc262028810"/>
      <w:bookmarkStart w:id="9" w:name="_Toc262028811"/>
      <w:bookmarkEnd w:id="8"/>
      <w:bookmarkEnd w:id="9"/>
      <w:r>
        <w:rPr>
          <w:rFonts w:ascii="Times New Roman" w:hAnsi="Times New Roman" w:hint="eastAsia"/>
          <w:sz w:val="24"/>
          <w:szCs w:val="24"/>
        </w:rPr>
        <w:t>Patient</w:t>
      </w:r>
      <w:r w:rsidR="00C1589E">
        <w:rPr>
          <w:rFonts w:ascii="Times New Roman" w:hAnsi="Times New Roman"/>
          <w:sz w:val="24"/>
          <w:szCs w:val="24"/>
        </w:rPr>
        <w:t>s’</w:t>
      </w:r>
      <w:r>
        <w:rPr>
          <w:rFonts w:ascii="Times New Roman" w:hAnsi="Times New Roman" w:hint="eastAsia"/>
          <w:sz w:val="24"/>
          <w:szCs w:val="24"/>
        </w:rPr>
        <w:t xml:space="preserve"> data</w:t>
      </w:r>
    </w:p>
    <w:p w:rsidR="00402E79" w:rsidRPr="00C16F25" w:rsidRDefault="00402E79" w:rsidP="00892C87">
      <w:pPr>
        <w:autoSpaceDE w:val="0"/>
        <w:autoSpaceDN w:val="0"/>
        <w:adjustRightInd w:val="0"/>
        <w:spacing w:before="25" w:line="600" w:lineRule="exact"/>
        <w:ind w:firstLine="360"/>
      </w:pPr>
      <w:r w:rsidRPr="00C16F25">
        <w:rPr>
          <w:rFonts w:eastAsia="標楷體"/>
          <w:kern w:val="0"/>
        </w:rPr>
        <w:t xml:space="preserve"> </w:t>
      </w:r>
      <w:r w:rsidR="00C16F25" w:rsidRPr="00C16F25">
        <w:rPr>
          <w:szCs w:val="24"/>
        </w:rPr>
        <w:t>The clinical evaluations consisted of a detailed history before and 6 months after surgery, including urinary analysis, pelvic examination using POP-Q system, urodynamic studies, transabdominal ultrasound, and personal interview to identify urinary</w:t>
      </w:r>
      <w:r w:rsidR="00C16F25" w:rsidRPr="00C16F25">
        <w:rPr>
          <w:color w:val="FF0000"/>
          <w:szCs w:val="24"/>
        </w:rPr>
        <w:t xml:space="preserve"> </w:t>
      </w:r>
      <w:r w:rsidR="00C16F25" w:rsidRPr="00C16F25">
        <w:rPr>
          <w:szCs w:val="24"/>
        </w:rPr>
        <w:t xml:space="preserve">and sexual symptoms. </w:t>
      </w:r>
      <w:r w:rsidR="00C16F25" w:rsidRPr="00C16F25">
        <w:rPr>
          <w:szCs w:val="24"/>
          <w:shd w:val="clear" w:color="auto" w:fill="FFFFFF"/>
        </w:rPr>
        <w:t xml:space="preserve">Urinary symptoms with the standardized questionnaire taking into account the 2002 ICS definitions. Women were asked to fill out the visual </w:t>
      </w:r>
      <w:r w:rsidR="00C16F25" w:rsidRPr="00C16F25">
        <w:rPr>
          <w:noProof/>
          <w:szCs w:val="24"/>
          <w:shd w:val="clear" w:color="auto" w:fill="FFFFFF"/>
        </w:rPr>
        <w:t>analog</w:t>
      </w:r>
      <w:r w:rsidR="00C16F25" w:rsidRPr="00C16F25">
        <w:rPr>
          <w:szCs w:val="24"/>
          <w:shd w:val="clear" w:color="auto" w:fill="FFFFFF"/>
        </w:rPr>
        <w:t xml:space="preserve"> scale (VAS) scores during the postoperative day 1 </w:t>
      </w:r>
      <w:r w:rsidR="00C16F25" w:rsidRPr="00C16F25">
        <w:rPr>
          <w:noProof/>
          <w:szCs w:val="24"/>
          <w:shd w:val="clear" w:color="auto" w:fill="FFFFFF"/>
        </w:rPr>
        <w:t>round</w:t>
      </w:r>
      <w:r w:rsidR="00C16F25" w:rsidRPr="00C16F25">
        <w:rPr>
          <w:szCs w:val="24"/>
          <w:shd w:val="clear" w:color="auto" w:fill="FFFFFF"/>
        </w:rPr>
        <w:t>.</w:t>
      </w:r>
      <w:r w:rsidR="00C113E2" w:rsidRPr="00C16F25">
        <w:t xml:space="preserve"> </w:t>
      </w:r>
      <w:r w:rsidRPr="00C16F25">
        <w:t xml:space="preserve"> </w:t>
      </w:r>
    </w:p>
    <w:p w:rsidR="00C16F25" w:rsidRPr="00C16F25" w:rsidRDefault="00C16F25" w:rsidP="00C16F25">
      <w:pPr>
        <w:spacing w:before="240" w:line="360" w:lineRule="auto"/>
        <w:ind w:firstLineChars="100" w:firstLine="240"/>
        <w:rPr>
          <w:szCs w:val="24"/>
        </w:rPr>
      </w:pPr>
      <w:r w:rsidRPr="00C16F25">
        <w:tab/>
      </w:r>
      <w:r w:rsidRPr="00C16F25">
        <w:rPr>
          <w:szCs w:val="24"/>
        </w:rPr>
        <w:t>As a follow-up, postoperative outpatient visits were at 1, 2, 3, 6, and 12 months and then semiannually beyond one year. Pelvic examination was performed routinely in every visit to clinics. Recurrence was defined as the most dependent portion of POP stage II or greater. The Clavien-Dindo grading was used for the classification of the intraoperative and postoperative complications of Long mesh surgery.</w:t>
      </w:r>
    </w:p>
    <w:p w:rsidR="00EB7025" w:rsidRDefault="00C16F25" w:rsidP="00892C87">
      <w:pPr>
        <w:pStyle w:val="2"/>
        <w:spacing w:before="25" w:line="600" w:lineRule="exact"/>
        <w:rPr>
          <w:rFonts w:ascii="Times New Roman" w:hAnsi="Times New Roman"/>
          <w:sz w:val="24"/>
          <w:szCs w:val="24"/>
        </w:rPr>
      </w:pPr>
      <w:r>
        <w:rPr>
          <w:rFonts w:ascii="Times New Roman" w:hAnsi="Times New Roman"/>
          <w:sz w:val="24"/>
          <w:szCs w:val="24"/>
        </w:rPr>
        <w:t>Equipment</w:t>
      </w:r>
    </w:p>
    <w:p w:rsidR="008A42F8" w:rsidRPr="00C16F25" w:rsidRDefault="008A42F8" w:rsidP="00892C87">
      <w:pPr>
        <w:spacing w:before="25" w:line="600" w:lineRule="exact"/>
        <w:ind w:firstLine="480"/>
      </w:pPr>
      <w:r w:rsidRPr="00C16F25">
        <w:t xml:space="preserve"> </w:t>
      </w:r>
      <w:r w:rsidR="00C16F25" w:rsidRPr="00C16F25">
        <w:rPr>
          <w:szCs w:val="24"/>
          <w:shd w:val="clear" w:color="auto" w:fill="FFFFFF"/>
        </w:rPr>
        <w:t>Urodynamic studies, including non-instrumented uroflowmetry, filling and voiding cystometry, and urethral pressure profilometry, were performed according to the recommendations by the International Continence Society</w:t>
      </w:r>
      <w:r w:rsidR="00C16F25" w:rsidRPr="00C16F25">
        <w:rPr>
          <w:color w:val="FF0000"/>
          <w:szCs w:val="24"/>
          <w:shd w:val="clear" w:color="auto" w:fill="FFFFFF"/>
        </w:rPr>
        <w:t xml:space="preserve"> </w:t>
      </w:r>
      <w:r w:rsidR="00C16F25" w:rsidRPr="00C16F25">
        <w:rPr>
          <w:szCs w:val="24"/>
          <w:shd w:val="clear" w:color="auto" w:fill="FFFFFF"/>
        </w:rPr>
        <w:t xml:space="preserve">with a 6-channel urodynamic monitor (MMS; UD2000, Enschede, Netherlands). </w:t>
      </w:r>
    </w:p>
    <w:p w:rsidR="008A42F8" w:rsidRDefault="0043261F" w:rsidP="00892C87">
      <w:pPr>
        <w:pStyle w:val="2"/>
        <w:spacing w:before="25" w:line="600" w:lineRule="exact"/>
        <w:rPr>
          <w:rFonts w:ascii="Times New Roman" w:hAnsi="Times New Roman"/>
          <w:sz w:val="24"/>
          <w:szCs w:val="24"/>
        </w:rPr>
      </w:pPr>
      <w:r>
        <w:rPr>
          <w:rFonts w:ascii="Times New Roman" w:hAnsi="Times New Roman" w:hint="eastAsia"/>
          <w:sz w:val="24"/>
          <w:szCs w:val="24"/>
        </w:rPr>
        <w:t>Questionnaire</w:t>
      </w:r>
      <w:r w:rsidR="009F7D65">
        <w:rPr>
          <w:rFonts w:ascii="Times New Roman" w:hAnsi="Times New Roman"/>
          <w:sz w:val="24"/>
          <w:szCs w:val="24"/>
        </w:rPr>
        <w:t>s</w:t>
      </w:r>
    </w:p>
    <w:p w:rsidR="0043261F" w:rsidRPr="00C16F25" w:rsidRDefault="00C16F25" w:rsidP="00C16F25">
      <w:pPr>
        <w:spacing w:before="25" w:line="600" w:lineRule="exact"/>
        <w:ind w:firstLine="480"/>
      </w:pPr>
      <w:r w:rsidRPr="00C16F25">
        <w:rPr>
          <w:szCs w:val="24"/>
        </w:rPr>
        <w:t>To identify urinary</w:t>
      </w:r>
      <w:r w:rsidRPr="00C16F25">
        <w:rPr>
          <w:color w:val="FF0000"/>
          <w:szCs w:val="24"/>
        </w:rPr>
        <w:t xml:space="preserve"> </w:t>
      </w:r>
      <w:r w:rsidRPr="00C16F25">
        <w:rPr>
          <w:szCs w:val="24"/>
        </w:rPr>
        <w:t xml:space="preserve">and sexual symptoms with the Overactive Bladder Symptom Score (OABSS), the short forms of Urogenital Distress Inventory (UDI-6), the Incontinence Impact </w:t>
      </w:r>
      <w:r w:rsidRPr="00C16F25">
        <w:rPr>
          <w:szCs w:val="24"/>
        </w:rPr>
        <w:lastRenderedPageBreak/>
        <w:t>Questionnaire (IIQ-7), the Female Sexual Function Index (FSFI) questionnaire, and the Pelvic Organ Prolapse Distress Inventory (POPDI-6).</w:t>
      </w:r>
    </w:p>
    <w:p w:rsidR="0003161B" w:rsidRDefault="0003161B" w:rsidP="00892C87">
      <w:pPr>
        <w:pStyle w:val="1"/>
        <w:snapToGrid/>
        <w:spacing w:before="25" w:line="600" w:lineRule="exact"/>
        <w:rPr>
          <w:rFonts w:ascii="Times New Roman" w:hAnsi="Times New Roman"/>
          <w:caps/>
          <w:sz w:val="28"/>
          <w:szCs w:val="28"/>
        </w:rPr>
      </w:pPr>
      <w:bookmarkStart w:id="10" w:name="_Toc262028817"/>
      <w:r w:rsidRPr="00DC33D6">
        <w:rPr>
          <w:rFonts w:ascii="Times New Roman" w:hAnsi="Times New Roman"/>
          <w:caps/>
          <w:sz w:val="28"/>
          <w:szCs w:val="28"/>
        </w:rPr>
        <w:t>Statistical Analysis</w:t>
      </w:r>
      <w:bookmarkEnd w:id="10"/>
    </w:p>
    <w:p w:rsidR="0000782E" w:rsidRPr="00C16F25" w:rsidRDefault="00C16F25" w:rsidP="00C16F25">
      <w:pPr>
        <w:autoSpaceDE w:val="0"/>
        <w:autoSpaceDN w:val="0"/>
        <w:adjustRightInd w:val="0"/>
        <w:spacing w:before="25" w:line="600" w:lineRule="exact"/>
        <w:ind w:firstLine="600"/>
      </w:pPr>
      <w:r w:rsidRPr="00C16F25">
        <w:rPr>
          <w:szCs w:val="24"/>
        </w:rPr>
        <w:t>Retrospective and observational design. IBM SPSS Statistical Software version 20.0 ed. was used for statistical analyses.</w:t>
      </w:r>
    </w:p>
    <w:p w:rsidR="00DC33D6" w:rsidRDefault="00963BE2" w:rsidP="00892C87">
      <w:pPr>
        <w:pStyle w:val="1"/>
        <w:snapToGrid/>
        <w:spacing w:before="25" w:line="600" w:lineRule="exact"/>
        <w:rPr>
          <w:rFonts w:ascii="Times New Roman" w:hAnsi="Times New Roman"/>
          <w:caps/>
          <w:sz w:val="28"/>
          <w:szCs w:val="28"/>
        </w:rPr>
      </w:pPr>
      <w:bookmarkStart w:id="11" w:name="_Toc210108319"/>
      <w:bookmarkStart w:id="12" w:name="_Toc210110109"/>
      <w:bookmarkStart w:id="13" w:name="_Toc210617051"/>
      <w:r>
        <w:rPr>
          <w:rFonts w:ascii="Times New Roman" w:hAnsi="Times New Roman" w:hint="eastAsia"/>
          <w:caps/>
          <w:sz w:val="28"/>
          <w:szCs w:val="28"/>
        </w:rPr>
        <w:t>Expect</w:t>
      </w:r>
      <w:r w:rsidR="00D41F2B">
        <w:rPr>
          <w:rFonts w:ascii="Times New Roman" w:hAnsi="Times New Roman"/>
          <w:caps/>
          <w:sz w:val="28"/>
          <w:szCs w:val="28"/>
        </w:rPr>
        <w:t>ed</w:t>
      </w:r>
      <w:r>
        <w:rPr>
          <w:rFonts w:ascii="Times New Roman" w:hAnsi="Times New Roman" w:hint="eastAsia"/>
          <w:caps/>
          <w:sz w:val="28"/>
          <w:szCs w:val="28"/>
        </w:rPr>
        <w:t xml:space="preserve"> result</w:t>
      </w:r>
      <w:r w:rsidR="00D41F2B">
        <w:rPr>
          <w:rFonts w:ascii="Times New Roman" w:hAnsi="Times New Roman"/>
          <w:caps/>
          <w:sz w:val="28"/>
          <w:szCs w:val="28"/>
        </w:rPr>
        <w:t>s</w:t>
      </w:r>
    </w:p>
    <w:bookmarkEnd w:id="11"/>
    <w:bookmarkEnd w:id="12"/>
    <w:bookmarkEnd w:id="13"/>
    <w:p w:rsidR="00892C87" w:rsidRDefault="008171FE" w:rsidP="008171FE">
      <w:pPr>
        <w:pStyle w:val="af9"/>
        <w:numPr>
          <w:ilvl w:val="1"/>
          <w:numId w:val="17"/>
        </w:numPr>
        <w:autoSpaceDE w:val="0"/>
        <w:autoSpaceDN w:val="0"/>
        <w:adjustRightInd w:val="0"/>
        <w:spacing w:before="25" w:line="600" w:lineRule="exact"/>
        <w:ind w:leftChars="0" w:left="426"/>
        <w:rPr>
          <w:rFonts w:ascii="AdvP41153C" w:hAnsi="AdvP41153C" w:cs="AdvP41153C"/>
        </w:rPr>
      </w:pPr>
      <w:r>
        <w:rPr>
          <w:rFonts w:ascii="AdvP41153C" w:hAnsi="AdvP41153C" w:cs="AdvP41153C" w:hint="eastAsia"/>
        </w:rPr>
        <w:t>E</w:t>
      </w:r>
      <w:r>
        <w:rPr>
          <w:rFonts w:ascii="AdvP41153C" w:hAnsi="AdvP41153C" w:cs="AdvP41153C"/>
        </w:rPr>
        <w:t>valuate the clinical outcomes of unabsorbable mesh in pelvic reconstruction surgeries.</w:t>
      </w:r>
    </w:p>
    <w:p w:rsidR="008171FE" w:rsidRPr="008171FE" w:rsidRDefault="008171FE" w:rsidP="008171FE">
      <w:pPr>
        <w:pStyle w:val="af9"/>
        <w:numPr>
          <w:ilvl w:val="1"/>
          <w:numId w:val="17"/>
        </w:numPr>
        <w:autoSpaceDE w:val="0"/>
        <w:autoSpaceDN w:val="0"/>
        <w:adjustRightInd w:val="0"/>
        <w:spacing w:before="25" w:line="600" w:lineRule="exact"/>
        <w:ind w:leftChars="0" w:left="426"/>
        <w:rPr>
          <w:rFonts w:ascii="AdvP41153C" w:hAnsi="AdvP41153C" w:cs="AdvP41153C"/>
        </w:rPr>
      </w:pPr>
      <w:r>
        <w:rPr>
          <w:rFonts w:ascii="AdvP41153C" w:hAnsi="AdvP41153C" w:cs="AdvP41153C"/>
        </w:rPr>
        <w:t>Compare the urodynamic parameter changes after pelvic reconstruction surgeries.</w:t>
      </w:r>
    </w:p>
    <w:p w:rsidR="008171FE" w:rsidRDefault="008171FE" w:rsidP="008171FE">
      <w:pPr>
        <w:pStyle w:val="af9"/>
        <w:numPr>
          <w:ilvl w:val="1"/>
          <w:numId w:val="17"/>
        </w:numPr>
        <w:autoSpaceDE w:val="0"/>
        <w:autoSpaceDN w:val="0"/>
        <w:adjustRightInd w:val="0"/>
        <w:spacing w:before="25" w:line="600" w:lineRule="exact"/>
        <w:ind w:leftChars="0" w:left="426"/>
        <w:rPr>
          <w:rFonts w:ascii="AdvP41153C" w:hAnsi="AdvP41153C" w:cs="AdvP41153C"/>
        </w:rPr>
      </w:pPr>
      <w:r>
        <w:rPr>
          <w:rFonts w:ascii="AdvP41153C" w:hAnsi="AdvP41153C" w:cs="AdvP41153C" w:hint="eastAsia"/>
        </w:rPr>
        <w:t>C</w:t>
      </w:r>
      <w:r>
        <w:rPr>
          <w:rFonts w:ascii="AdvP41153C" w:hAnsi="AdvP41153C" w:cs="AdvP41153C"/>
        </w:rPr>
        <w:t>ompare the changes in the lower urinary tract symptoms and the sexual function after different surgeries.</w:t>
      </w:r>
    </w:p>
    <w:p w:rsidR="008171FE" w:rsidRPr="008171FE" w:rsidRDefault="008171FE" w:rsidP="008171FE">
      <w:pPr>
        <w:pStyle w:val="af9"/>
        <w:numPr>
          <w:ilvl w:val="1"/>
          <w:numId w:val="17"/>
        </w:numPr>
        <w:autoSpaceDE w:val="0"/>
        <w:autoSpaceDN w:val="0"/>
        <w:adjustRightInd w:val="0"/>
        <w:spacing w:before="25" w:line="600" w:lineRule="exact"/>
        <w:ind w:leftChars="0" w:left="426"/>
        <w:rPr>
          <w:rFonts w:ascii="AdvP41153C" w:hAnsi="AdvP41153C" w:cs="AdvP41153C"/>
        </w:rPr>
      </w:pPr>
      <w:r>
        <w:rPr>
          <w:rFonts w:ascii="AdvP41153C" w:hAnsi="AdvP41153C" w:cs="AdvP41153C" w:hint="eastAsia"/>
        </w:rPr>
        <w:t>P</w:t>
      </w:r>
      <w:r>
        <w:rPr>
          <w:rFonts w:ascii="AdvP41153C" w:hAnsi="AdvP41153C" w:cs="AdvP41153C"/>
        </w:rPr>
        <w:t>rovide information for health care</w:t>
      </w:r>
      <w:bookmarkStart w:id="14" w:name="_GoBack"/>
      <w:bookmarkEnd w:id="14"/>
      <w:r>
        <w:rPr>
          <w:rFonts w:ascii="AdvP41153C" w:hAnsi="AdvP41153C" w:cs="AdvP41153C"/>
        </w:rPr>
        <w:t xml:space="preserve">giver in pre-operative evaluation. </w:t>
      </w:r>
    </w:p>
    <w:p w:rsidR="00D41F2B" w:rsidRDefault="00D41F2B" w:rsidP="00C113E2">
      <w:pPr>
        <w:pStyle w:val="1"/>
        <w:snapToGrid/>
        <w:spacing w:before="25" w:line="480" w:lineRule="auto"/>
        <w:rPr>
          <w:rFonts w:ascii="Times New Roman" w:hAnsi="Times New Roman"/>
          <w:caps/>
          <w:sz w:val="28"/>
          <w:szCs w:val="28"/>
        </w:rPr>
      </w:pPr>
      <w:r>
        <w:rPr>
          <w:rFonts w:ascii="Times New Roman" w:hAnsi="Times New Roman" w:hint="eastAsia"/>
          <w:caps/>
          <w:sz w:val="28"/>
          <w:szCs w:val="28"/>
        </w:rPr>
        <w:t>study st</w:t>
      </w:r>
      <w:r>
        <w:rPr>
          <w:rFonts w:ascii="Times New Roman" w:hAnsi="Times New Roman"/>
          <w:caps/>
          <w:sz w:val="28"/>
          <w:szCs w:val="28"/>
        </w:rPr>
        <w:t>A</w:t>
      </w:r>
      <w:r>
        <w:rPr>
          <w:rFonts w:ascii="Times New Roman" w:hAnsi="Times New Roman" w:hint="eastAsia"/>
          <w:caps/>
          <w:sz w:val="28"/>
          <w:szCs w:val="28"/>
        </w:rPr>
        <w:t>ff</w:t>
      </w:r>
    </w:p>
    <w:tbl>
      <w:tblPr>
        <w:tblW w:w="4244" w:type="pct"/>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637"/>
        <w:gridCol w:w="3455"/>
        <w:gridCol w:w="2552"/>
      </w:tblGrid>
      <w:tr w:rsidR="008171FE" w:rsidRPr="00220FF6" w:rsidTr="008171FE">
        <w:trPr>
          <w:trHeight w:val="567"/>
          <w:jc w:val="center"/>
        </w:trPr>
        <w:tc>
          <w:tcPr>
            <w:tcW w:w="1071" w:type="pct"/>
            <w:tcBorders>
              <w:top w:val="single" w:sz="8" w:space="0" w:color="auto"/>
              <w:left w:val="single" w:sz="8" w:space="0" w:color="auto"/>
              <w:bottom w:val="single" w:sz="8" w:space="0" w:color="auto"/>
              <w:right w:val="single" w:sz="8" w:space="0" w:color="auto"/>
            </w:tcBorders>
            <w:vAlign w:val="center"/>
          </w:tcPr>
          <w:p w:rsidR="008171FE" w:rsidRPr="00220FF6" w:rsidRDefault="008171FE" w:rsidP="00FD2178">
            <w:pPr>
              <w:tabs>
                <w:tab w:val="left" w:pos="336"/>
              </w:tabs>
              <w:spacing w:line="400" w:lineRule="exact"/>
              <w:ind w:leftChars="25" w:left="60" w:rightChars="25" w:right="60"/>
              <w:rPr>
                <w:rFonts w:eastAsia="標楷體"/>
              </w:rPr>
            </w:pPr>
            <w:r w:rsidRPr="00220FF6">
              <w:rPr>
                <w:rFonts w:eastAsia="標楷體"/>
              </w:rPr>
              <w:t>PI</w:t>
            </w:r>
          </w:p>
        </w:tc>
        <w:tc>
          <w:tcPr>
            <w:tcW w:w="2260" w:type="pct"/>
            <w:tcBorders>
              <w:top w:val="single" w:sz="8" w:space="0" w:color="auto"/>
              <w:left w:val="single" w:sz="8" w:space="0" w:color="auto"/>
              <w:bottom w:val="single" w:sz="8" w:space="0" w:color="auto"/>
              <w:right w:val="single" w:sz="8" w:space="0" w:color="auto"/>
            </w:tcBorders>
            <w:vAlign w:val="center"/>
          </w:tcPr>
          <w:p w:rsidR="008171FE" w:rsidRPr="00220FF6" w:rsidRDefault="008171FE" w:rsidP="00FD2178">
            <w:pPr>
              <w:tabs>
                <w:tab w:val="left" w:pos="336"/>
              </w:tabs>
              <w:spacing w:line="400" w:lineRule="exact"/>
              <w:ind w:leftChars="25" w:left="60" w:rightChars="25" w:right="60"/>
              <w:rPr>
                <w:rFonts w:eastAsia="標楷體"/>
              </w:rPr>
            </w:pPr>
            <w:r w:rsidRPr="00220FF6">
              <w:rPr>
                <w:rFonts w:eastAsia="標楷體"/>
              </w:rPr>
              <w:t>Cheng-Yu Long</w:t>
            </w:r>
          </w:p>
        </w:tc>
        <w:tc>
          <w:tcPr>
            <w:tcW w:w="1669" w:type="pct"/>
            <w:tcBorders>
              <w:top w:val="single" w:sz="8" w:space="0" w:color="auto"/>
              <w:left w:val="single" w:sz="8" w:space="0" w:color="auto"/>
              <w:bottom w:val="single" w:sz="8" w:space="0" w:color="auto"/>
              <w:right w:val="single" w:sz="8" w:space="0" w:color="auto"/>
            </w:tcBorders>
          </w:tcPr>
          <w:p w:rsidR="008171FE" w:rsidRPr="00220FF6" w:rsidRDefault="008171FE" w:rsidP="00FD2178">
            <w:pPr>
              <w:tabs>
                <w:tab w:val="left" w:pos="336"/>
              </w:tabs>
              <w:spacing w:line="400" w:lineRule="exact"/>
              <w:ind w:leftChars="25" w:left="60" w:rightChars="25" w:right="60"/>
              <w:rPr>
                <w:rFonts w:eastAsia="標楷體"/>
              </w:rPr>
            </w:pPr>
            <w:r>
              <w:rPr>
                <w:rFonts w:eastAsia="標楷體" w:hint="eastAsia"/>
              </w:rPr>
              <w:t>P</w:t>
            </w:r>
            <w:r>
              <w:rPr>
                <w:rFonts w:eastAsia="標楷體"/>
              </w:rPr>
              <w:t>rofessor</w:t>
            </w:r>
          </w:p>
        </w:tc>
      </w:tr>
      <w:tr w:rsidR="008171FE" w:rsidRPr="00220FF6" w:rsidTr="008171FE">
        <w:trPr>
          <w:trHeight w:val="567"/>
          <w:jc w:val="center"/>
        </w:trPr>
        <w:tc>
          <w:tcPr>
            <w:tcW w:w="1071" w:type="pct"/>
            <w:tcBorders>
              <w:top w:val="single" w:sz="8" w:space="0" w:color="auto"/>
              <w:left w:val="single" w:sz="8" w:space="0" w:color="auto"/>
              <w:bottom w:val="single" w:sz="8" w:space="0" w:color="auto"/>
              <w:right w:val="single" w:sz="8" w:space="0" w:color="auto"/>
            </w:tcBorders>
            <w:vAlign w:val="center"/>
          </w:tcPr>
          <w:p w:rsidR="008171FE" w:rsidRPr="00220FF6" w:rsidRDefault="008171FE" w:rsidP="00FD2178">
            <w:pPr>
              <w:tabs>
                <w:tab w:val="left" w:pos="336"/>
              </w:tabs>
              <w:spacing w:line="400" w:lineRule="exact"/>
              <w:ind w:leftChars="25" w:left="60" w:rightChars="25" w:right="60"/>
              <w:rPr>
                <w:rFonts w:eastAsia="標楷體"/>
              </w:rPr>
            </w:pPr>
            <w:r w:rsidRPr="00220FF6">
              <w:rPr>
                <w:rFonts w:eastAsia="標楷體"/>
              </w:rPr>
              <w:t>Co-PI</w:t>
            </w:r>
          </w:p>
        </w:tc>
        <w:tc>
          <w:tcPr>
            <w:tcW w:w="2260" w:type="pct"/>
            <w:tcBorders>
              <w:top w:val="single" w:sz="8" w:space="0" w:color="auto"/>
              <w:left w:val="single" w:sz="8" w:space="0" w:color="auto"/>
              <w:bottom w:val="single" w:sz="8" w:space="0" w:color="auto"/>
              <w:right w:val="single" w:sz="8" w:space="0" w:color="auto"/>
            </w:tcBorders>
            <w:vAlign w:val="center"/>
          </w:tcPr>
          <w:p w:rsidR="008171FE" w:rsidRPr="00220FF6" w:rsidRDefault="008171FE" w:rsidP="00FD2178">
            <w:pPr>
              <w:tabs>
                <w:tab w:val="left" w:pos="336"/>
              </w:tabs>
              <w:spacing w:line="400" w:lineRule="exact"/>
              <w:ind w:leftChars="25" w:left="60" w:rightChars="25" w:right="60"/>
              <w:rPr>
                <w:rFonts w:eastAsia="標楷體"/>
              </w:rPr>
            </w:pPr>
            <w:r w:rsidRPr="00220FF6">
              <w:rPr>
                <w:rFonts w:eastAsia="標楷體"/>
              </w:rPr>
              <w:t>Kun-Ling Lin</w:t>
            </w:r>
          </w:p>
        </w:tc>
        <w:tc>
          <w:tcPr>
            <w:tcW w:w="1669" w:type="pct"/>
            <w:tcBorders>
              <w:top w:val="single" w:sz="8" w:space="0" w:color="auto"/>
              <w:left w:val="single" w:sz="8" w:space="0" w:color="auto"/>
              <w:bottom w:val="single" w:sz="8" w:space="0" w:color="auto"/>
              <w:right w:val="single" w:sz="8" w:space="0" w:color="auto"/>
            </w:tcBorders>
          </w:tcPr>
          <w:p w:rsidR="008171FE" w:rsidRPr="00220FF6" w:rsidRDefault="008171FE" w:rsidP="008171FE">
            <w:pPr>
              <w:tabs>
                <w:tab w:val="left" w:pos="336"/>
              </w:tabs>
              <w:spacing w:line="400" w:lineRule="exact"/>
              <w:ind w:rightChars="25" w:right="60"/>
              <w:rPr>
                <w:rFonts w:eastAsia="標楷體"/>
              </w:rPr>
            </w:pPr>
            <w:r>
              <w:rPr>
                <w:rFonts w:eastAsia="標楷體" w:hint="eastAsia"/>
              </w:rPr>
              <w:t>A</w:t>
            </w:r>
            <w:r>
              <w:rPr>
                <w:rFonts w:eastAsia="標楷體"/>
              </w:rPr>
              <w:t>ssistant professor</w:t>
            </w:r>
          </w:p>
        </w:tc>
      </w:tr>
    </w:tbl>
    <w:p w:rsidR="00E36836" w:rsidRPr="00D41F2B" w:rsidRDefault="00EC5C54" w:rsidP="005C2B60">
      <w:pPr>
        <w:pStyle w:val="1"/>
        <w:snapToGrid/>
        <w:spacing w:before="25" w:line="500" w:lineRule="exact"/>
        <w:rPr>
          <w:rFonts w:ascii="Times New Roman" w:hAnsi="Times New Roman"/>
          <w:caps/>
          <w:sz w:val="28"/>
          <w:szCs w:val="28"/>
        </w:rPr>
      </w:pPr>
      <w:bookmarkStart w:id="15" w:name="_Toc262028820"/>
      <w:r w:rsidRPr="00D41F2B">
        <w:rPr>
          <w:rFonts w:ascii="Times New Roman" w:hAnsi="Times New Roman"/>
          <w:sz w:val="28"/>
          <w:szCs w:val="28"/>
        </w:rPr>
        <w:t>R</w:t>
      </w:r>
      <w:bookmarkEnd w:id="15"/>
      <w:r w:rsidR="00963BE2" w:rsidRPr="00D41F2B">
        <w:rPr>
          <w:rFonts w:ascii="Times New Roman" w:hAnsi="Times New Roman" w:hint="eastAsia"/>
          <w:sz w:val="28"/>
          <w:szCs w:val="28"/>
        </w:rPr>
        <w:t>EFERENCE</w:t>
      </w:r>
      <w:r w:rsidR="00D41F2B" w:rsidRPr="00D41F2B">
        <w:rPr>
          <w:rFonts w:ascii="Times New Roman" w:hAnsi="Times New Roman"/>
          <w:sz w:val="28"/>
          <w:szCs w:val="28"/>
        </w:rPr>
        <w:t>S</w:t>
      </w:r>
    </w:p>
    <w:p w:rsidR="00183112" w:rsidRDefault="00183112" w:rsidP="005C2B60">
      <w:pPr>
        <w:pStyle w:val="Default"/>
        <w:numPr>
          <w:ilvl w:val="0"/>
          <w:numId w:val="15"/>
        </w:numPr>
        <w:spacing w:line="500" w:lineRule="exact"/>
        <w:ind w:left="357" w:hanging="357"/>
      </w:pPr>
      <w:r>
        <w:t>Haylen BT, de Ridder D, Freeman RM, et al. An International Urogynecological Association (IUGA)/ International Continence Society (ICS) joint report on the terminology for female pelvic floor dysfunction. Int Urogynecol J 2010;21: 5–26</w:t>
      </w:r>
      <w:r w:rsidR="005C2B60">
        <w:rPr>
          <w:rFonts w:hint="eastAsia"/>
        </w:rPr>
        <w:t>.</w:t>
      </w:r>
    </w:p>
    <w:p w:rsidR="00213414" w:rsidRPr="000275DB" w:rsidRDefault="001B6F11" w:rsidP="005C2B60">
      <w:pPr>
        <w:pStyle w:val="Default"/>
        <w:numPr>
          <w:ilvl w:val="0"/>
          <w:numId w:val="15"/>
        </w:numPr>
        <w:spacing w:line="500" w:lineRule="exact"/>
        <w:ind w:left="357" w:hanging="357"/>
      </w:pPr>
      <w:r w:rsidRPr="000275DB">
        <w:t xml:space="preserve">Nygaard I, Barber MD, Burgio KL, et al. Prevalence of symptomatic pelvic floor disorders in US women. </w:t>
      </w:r>
      <w:r w:rsidR="00134E54">
        <w:t>JAMA</w:t>
      </w:r>
      <w:r w:rsidRPr="000275DB">
        <w:t xml:space="preserve"> 2008; 300(11):1311–6.</w:t>
      </w:r>
    </w:p>
    <w:p w:rsidR="00213414" w:rsidRPr="000275DB" w:rsidRDefault="00213414" w:rsidP="005C2B60">
      <w:pPr>
        <w:pStyle w:val="Default"/>
        <w:numPr>
          <w:ilvl w:val="0"/>
          <w:numId w:val="15"/>
        </w:numPr>
        <w:spacing w:line="500" w:lineRule="exact"/>
        <w:ind w:left="357" w:hanging="357"/>
      </w:pPr>
      <w:r w:rsidRPr="000275DB">
        <w:rPr>
          <w:color w:val="131313"/>
        </w:rPr>
        <w:t>Olsen AL, Smith VJ, Bergstrom JO, Colling JC, Clark AL</w:t>
      </w:r>
      <w:r w:rsidR="00134E54">
        <w:rPr>
          <w:color w:val="131313"/>
        </w:rPr>
        <w:t>.</w:t>
      </w:r>
      <w:r w:rsidRPr="000275DB">
        <w:rPr>
          <w:color w:val="131313"/>
        </w:rPr>
        <w:t xml:space="preserve"> Epidemiology of surgically managed pelvic organ prolapse and urinary incontinence. Obstet Gynecol 1997</w:t>
      </w:r>
      <w:r w:rsidR="00134E54">
        <w:rPr>
          <w:color w:val="131313"/>
        </w:rPr>
        <w:t>;</w:t>
      </w:r>
      <w:r w:rsidRPr="000275DB">
        <w:rPr>
          <w:color w:val="131313"/>
        </w:rPr>
        <w:t>89:501</w:t>
      </w:r>
      <w:r w:rsidR="00B16733">
        <w:rPr>
          <w:color w:val="131313"/>
        </w:rPr>
        <w:t>-6</w:t>
      </w:r>
      <w:r w:rsidR="00134E54">
        <w:rPr>
          <w:color w:val="131313"/>
        </w:rPr>
        <w:t>.</w:t>
      </w:r>
    </w:p>
    <w:sectPr w:rsidR="00213414" w:rsidRPr="000275DB" w:rsidSect="008658E9">
      <w:footerReference w:type="even" r:id="rId10"/>
      <w:type w:val="continuous"/>
      <w:pgSz w:w="11906" w:h="16838"/>
      <w:pgMar w:top="1440" w:right="1440" w:bottom="851" w:left="1440" w:header="851" w:footer="4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F70" w:rsidRDefault="00685F70" w:rsidP="0028214E">
      <w:r>
        <w:separator/>
      </w:r>
    </w:p>
  </w:endnote>
  <w:endnote w:type="continuationSeparator" w:id="0">
    <w:p w:rsidR="00685F70" w:rsidRDefault="00685F70" w:rsidP="00282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dvP41153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9786197"/>
      <w:docPartObj>
        <w:docPartGallery w:val="Page Numbers (Bottom of Page)"/>
        <w:docPartUnique/>
      </w:docPartObj>
    </w:sdtPr>
    <w:sdtEndPr/>
    <w:sdtContent>
      <w:p w:rsidR="008171FE" w:rsidRDefault="008171FE">
        <w:pPr>
          <w:pStyle w:val="aa"/>
          <w:jc w:val="center"/>
        </w:pPr>
        <w:r>
          <w:fldChar w:fldCharType="begin"/>
        </w:r>
        <w:r>
          <w:instrText>PAGE   \* MERGEFORMAT</w:instrText>
        </w:r>
        <w:r>
          <w:fldChar w:fldCharType="separate"/>
        </w:r>
        <w:r>
          <w:rPr>
            <w:lang w:val="zh-TW"/>
          </w:rPr>
          <w:t>2</w:t>
        </w:r>
        <w:r>
          <w:fldChar w:fldCharType="end"/>
        </w:r>
      </w:p>
    </w:sdtContent>
  </w:sdt>
  <w:p w:rsidR="008171FE" w:rsidRDefault="008171F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545" w:rsidRDefault="00CC6B70">
    <w:pPr>
      <w:pStyle w:val="aa"/>
      <w:framePr w:wrap="around" w:vAnchor="text" w:hAnchor="margin" w:xAlign="center" w:y="1"/>
      <w:rPr>
        <w:rStyle w:val="af7"/>
      </w:rPr>
    </w:pPr>
    <w:r>
      <w:rPr>
        <w:rStyle w:val="af7"/>
      </w:rPr>
      <w:fldChar w:fldCharType="begin"/>
    </w:r>
    <w:r w:rsidR="002C3545">
      <w:rPr>
        <w:rStyle w:val="af7"/>
      </w:rPr>
      <w:instrText xml:space="preserve">PAGE  </w:instrText>
    </w:r>
    <w:r>
      <w:rPr>
        <w:rStyle w:val="af7"/>
      </w:rPr>
      <w:fldChar w:fldCharType="end"/>
    </w:r>
  </w:p>
  <w:p w:rsidR="002C3545" w:rsidRDefault="002C3545">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F70" w:rsidRDefault="00685F70" w:rsidP="0028214E">
      <w:r>
        <w:separator/>
      </w:r>
    </w:p>
  </w:footnote>
  <w:footnote w:type="continuationSeparator" w:id="0">
    <w:p w:rsidR="00685F70" w:rsidRDefault="00685F70" w:rsidP="00282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545" w:rsidRDefault="00220FF6" w:rsidP="00220FF6">
    <w:pPr>
      <w:wordWrap w:val="0"/>
      <w:autoSpaceDE w:val="0"/>
      <w:autoSpaceDN w:val="0"/>
      <w:adjustRightInd w:val="0"/>
      <w:ind w:right="95"/>
      <w:jc w:val="right"/>
      <w:rPr>
        <w:rFonts w:ascii="Calibri" w:hAnsi="Calibri"/>
        <w:kern w:val="0"/>
        <w:sz w:val="20"/>
        <w:szCs w:val="20"/>
      </w:rPr>
    </w:pPr>
    <w:r w:rsidRPr="00220FF6">
      <w:rPr>
        <w:rFonts w:asciiTheme="majorHAnsi" w:eastAsia="標楷體" w:hAnsiTheme="majorHAnsi" w:cstheme="majorHAnsi"/>
        <w:b/>
        <w:szCs w:val="24"/>
      </w:rPr>
      <w:t>IRB number:</w:t>
    </w:r>
    <w:r w:rsidRPr="00220FF6">
      <w:rPr>
        <w:rFonts w:asciiTheme="majorHAnsi" w:hAnsiTheme="majorHAnsi" w:cstheme="majorHAnsi"/>
        <w:color w:val="000000"/>
        <w:shd w:val="clear" w:color="auto" w:fill="F9F9F9"/>
      </w:rPr>
      <w:t xml:space="preserve"> KMUHIRB-E(I)-20190015</w:t>
    </w:r>
    <w:r w:rsidR="00766039" w:rsidRPr="00220FF6">
      <w:rPr>
        <w:rFonts w:ascii="Calibri" w:hAnsi="Calibri" w:cs="Calibri"/>
        <w:szCs w:val="24"/>
      </w:rPr>
      <w:t xml:space="preserve">  </w:t>
    </w:r>
    <w:r w:rsidR="002C3545">
      <w:rPr>
        <w:rFonts w:hint="eastAsia"/>
      </w:rPr>
      <w:tab/>
    </w:r>
    <w:r w:rsidR="002C3545">
      <w:rPr>
        <w:rFonts w:hint="eastAsia"/>
      </w:rPr>
      <w:tab/>
      <w:t xml:space="preserve">    </w:t>
    </w:r>
    <w:r w:rsidR="00766039">
      <w:rPr>
        <w:rFonts w:hint="eastAsia"/>
      </w:rPr>
      <w:t xml:space="preserve">   </w:t>
    </w:r>
    <w:r>
      <w:t xml:space="preserve">  </w:t>
    </w:r>
    <w:r>
      <w:rPr>
        <w:rFonts w:ascii="Calibri" w:hAnsi="Calibri"/>
        <w:kern w:val="0"/>
        <w:sz w:val="20"/>
        <w:szCs w:val="20"/>
      </w:rPr>
      <w:t>The clinical and urodynamic effect</w:t>
    </w:r>
  </w:p>
  <w:p w:rsidR="00220FF6" w:rsidRDefault="00220FF6" w:rsidP="00220FF6">
    <w:pPr>
      <w:wordWrap w:val="0"/>
      <w:autoSpaceDE w:val="0"/>
      <w:autoSpaceDN w:val="0"/>
      <w:adjustRightInd w:val="0"/>
      <w:ind w:right="95"/>
      <w:jc w:val="right"/>
      <w:rPr>
        <w:rFonts w:ascii="Calibri" w:hAnsi="Calibri"/>
        <w:kern w:val="0"/>
        <w:sz w:val="20"/>
        <w:szCs w:val="20"/>
      </w:rPr>
    </w:pPr>
    <w:r>
      <w:rPr>
        <w:rFonts w:ascii="Calibri" w:hAnsi="Calibri"/>
        <w:kern w:val="0"/>
        <w:sz w:val="20"/>
        <w:szCs w:val="20"/>
      </w:rPr>
      <w:t>of transvaginal or laparoscopic mesh suspension</w:t>
    </w:r>
  </w:p>
  <w:p w:rsidR="00220FF6" w:rsidRPr="00220FF6" w:rsidRDefault="00220FF6" w:rsidP="00220FF6">
    <w:pPr>
      <w:wordWrap w:val="0"/>
      <w:autoSpaceDE w:val="0"/>
      <w:autoSpaceDN w:val="0"/>
      <w:adjustRightInd w:val="0"/>
      <w:ind w:right="95"/>
      <w:jc w:val="right"/>
      <w:rPr>
        <w:rFonts w:ascii="Calibri" w:hAnsi="Calibri"/>
        <w:kern w:val="0"/>
        <w:sz w:val="20"/>
        <w:szCs w:val="20"/>
      </w:rPr>
    </w:pPr>
    <w:r>
      <w:rPr>
        <w:rFonts w:ascii="Calibri" w:hAnsi="Calibri"/>
        <w:kern w:val="0"/>
        <w:sz w:val="20"/>
        <w:szCs w:val="20"/>
      </w:rPr>
      <w:t>for the treatment of pelvic organ prolapse</w:t>
    </w:r>
  </w:p>
  <w:p w:rsidR="002C3545" w:rsidRPr="00F21FA6" w:rsidRDefault="009C0F50" w:rsidP="00F21FA6">
    <w:pPr>
      <w:pStyle w:val="a8"/>
      <w:jc w:val="right"/>
    </w:pPr>
    <w:r>
      <w:rPr>
        <w:rFonts w:hint="eastAsia"/>
      </w:rPr>
      <w:t xml:space="preserve">Version </w:t>
    </w:r>
    <w:r w:rsidR="007D68AA">
      <w:rPr>
        <w:rFonts w:hint="eastAsia"/>
      </w:rPr>
      <w:t>1</w:t>
    </w:r>
    <w:r w:rsidR="002C3545">
      <w:rPr>
        <w:rFonts w:hint="eastAsia"/>
      </w:rPr>
      <w:t>.0/</w:t>
    </w:r>
    <w:r w:rsidR="008171FE">
      <w:t>0</w:t>
    </w:r>
    <w:r w:rsidR="00C233DE">
      <w:t>5</w:t>
    </w:r>
    <w:r w:rsidR="00220FF6">
      <w:t xml:space="preserve"> </w:t>
    </w:r>
    <w:r w:rsidR="00C233DE">
      <w:t>January</w:t>
    </w:r>
    <w:r w:rsidR="002C3545">
      <w:rPr>
        <w:rFonts w:hint="eastAsia"/>
      </w:rPr>
      <w:t xml:space="preserve"> 201</w:t>
    </w:r>
    <w:r w:rsidR="00C233DE">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406C6F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E86DF8"/>
    <w:multiLevelType w:val="hybridMultilevel"/>
    <w:tmpl w:val="FE4C3DC8"/>
    <w:lvl w:ilvl="0" w:tplc="EBE8EA6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32367F"/>
    <w:multiLevelType w:val="hybridMultilevel"/>
    <w:tmpl w:val="A9AE2636"/>
    <w:lvl w:ilvl="0" w:tplc="FFFFFFFF">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 w15:restartNumberingAfterBreak="0">
    <w:nsid w:val="0B5858B8"/>
    <w:multiLevelType w:val="hybridMultilevel"/>
    <w:tmpl w:val="EAB6D5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130ED0"/>
    <w:multiLevelType w:val="multilevel"/>
    <w:tmpl w:val="FA60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D6D43"/>
    <w:multiLevelType w:val="hybridMultilevel"/>
    <w:tmpl w:val="CF245836"/>
    <w:lvl w:ilvl="0" w:tplc="FFFFFFFF">
      <w:start w:val="1"/>
      <w:numFmt w:val="bullet"/>
      <w:lvlText w:val=""/>
      <w:lvlJc w:val="left"/>
      <w:pPr>
        <w:ind w:left="960" w:hanging="480"/>
      </w:pPr>
      <w:rPr>
        <w:rFonts w:ascii="Symbol" w:hAnsi="Symbol"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6" w15:restartNumberingAfterBreak="0">
    <w:nsid w:val="17997777"/>
    <w:multiLevelType w:val="hybridMultilevel"/>
    <w:tmpl w:val="E8E074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C1D3119"/>
    <w:multiLevelType w:val="hybridMultilevel"/>
    <w:tmpl w:val="B77A3B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38426E3"/>
    <w:multiLevelType w:val="hybridMultilevel"/>
    <w:tmpl w:val="F5A2D9B2"/>
    <w:lvl w:ilvl="0" w:tplc="41246FDE">
      <w:start w:val="1"/>
      <w:numFmt w:val="decimal"/>
      <w:lvlText w:val="%1."/>
      <w:lvlJc w:val="left"/>
      <w:pPr>
        <w:ind w:left="360" w:hanging="36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1A25CA2"/>
    <w:multiLevelType w:val="multilevel"/>
    <w:tmpl w:val="424A9A1A"/>
    <w:lvl w:ilvl="0">
      <w:start w:val="1"/>
      <w:numFmt w:val="decimal"/>
      <w:pStyle w:val="1"/>
      <w:lvlText w:val="%1."/>
      <w:lvlJc w:val="left"/>
      <w:pPr>
        <w:tabs>
          <w:tab w:val="num" w:pos="567"/>
        </w:tabs>
        <w:ind w:left="567" w:hanging="567"/>
      </w:pPr>
      <w:rPr>
        <w:rFonts w:hint="eastAsia"/>
      </w:rPr>
    </w:lvl>
    <w:lvl w:ilvl="1">
      <w:start w:val="1"/>
      <w:numFmt w:val="decimal"/>
      <w:pStyle w:val="2"/>
      <w:lvlText w:val="%1.%2"/>
      <w:lvlJc w:val="left"/>
      <w:pPr>
        <w:tabs>
          <w:tab w:val="num" w:pos="851"/>
        </w:tabs>
        <w:ind w:left="851" w:hanging="851"/>
      </w:pPr>
      <w:rPr>
        <w:rFonts w:hint="eastAsia"/>
      </w:rPr>
    </w:lvl>
    <w:lvl w:ilvl="2">
      <w:start w:val="1"/>
      <w:numFmt w:val="decimal"/>
      <w:pStyle w:val="3"/>
      <w:lvlText w:val="%1.%2.%3."/>
      <w:lvlJc w:val="left"/>
      <w:pPr>
        <w:tabs>
          <w:tab w:val="num" w:pos="1134"/>
        </w:tabs>
        <w:ind w:left="1134" w:hanging="1134"/>
      </w:pPr>
      <w:rPr>
        <w:rFonts w:ascii="Times New Roman" w:eastAsia="標楷體" w:hAnsi="Times New Roman" w:hint="default"/>
        <w:caps w:val="0"/>
        <w:strike w:val="0"/>
        <w:dstrike w:val="0"/>
        <w:vanish w:val="0"/>
        <w:color w:val="000000"/>
        <w:sz w:val="24"/>
        <w:szCs w:val="24"/>
        <w:vertAlign w:val="baseline"/>
      </w:rPr>
    </w:lvl>
    <w:lvl w:ilvl="3">
      <w:start w:val="1"/>
      <w:numFmt w:val="decimal"/>
      <w:pStyle w:val="4"/>
      <w:lvlText w:val="%1.%2.%3.%4."/>
      <w:lvlJc w:val="left"/>
      <w:pPr>
        <w:tabs>
          <w:tab w:val="num" w:pos="1134"/>
        </w:tabs>
        <w:ind w:left="1134" w:hanging="1134"/>
      </w:pPr>
      <w:rPr>
        <w:rFonts w:hint="eastAsia"/>
      </w:rPr>
    </w:lvl>
    <w:lvl w:ilvl="4">
      <w:start w:val="1"/>
      <w:numFmt w:val="decimal"/>
      <w:pStyle w:val="5"/>
      <w:lvlText w:val="%1.%2.%3.%4.%5."/>
      <w:lvlJc w:val="left"/>
      <w:pPr>
        <w:tabs>
          <w:tab w:val="num" w:pos="992"/>
        </w:tabs>
        <w:ind w:left="992" w:hanging="992"/>
      </w:pPr>
      <w:rPr>
        <w:rFonts w:ascii="Times New Roman" w:eastAsia="標楷體" w:hAnsi="Times New Roman" w:hint="default"/>
        <w:b/>
        <w:i w:val="0"/>
        <w:sz w:val="24"/>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3BBD0701"/>
    <w:multiLevelType w:val="hybridMultilevel"/>
    <w:tmpl w:val="5F825B0A"/>
    <w:lvl w:ilvl="0" w:tplc="941C745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4E487262"/>
    <w:multiLevelType w:val="hybridMultilevel"/>
    <w:tmpl w:val="0240947C"/>
    <w:lvl w:ilvl="0" w:tplc="CAA23E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00F28C1"/>
    <w:multiLevelType w:val="hybridMultilevel"/>
    <w:tmpl w:val="5AE44B86"/>
    <w:lvl w:ilvl="0" w:tplc="C3A8BC9A">
      <w:start w:val="1"/>
      <w:numFmt w:val="decimal"/>
      <w:lvlText w:val="%1."/>
      <w:lvlJc w:val="left"/>
      <w:pPr>
        <w:ind w:left="900" w:hanging="360"/>
      </w:pPr>
      <w:rPr>
        <w:rFonts w:ascii="Times New Roman" w:eastAsia="標楷體" w:hAnsi="Times New Roman" w:cs="Times New Roman"/>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3" w15:restartNumberingAfterBreak="0">
    <w:nsid w:val="51EF76B5"/>
    <w:multiLevelType w:val="multilevel"/>
    <w:tmpl w:val="2B6E6F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A9426E"/>
    <w:multiLevelType w:val="hybridMultilevel"/>
    <w:tmpl w:val="90A6A99A"/>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A771B9C"/>
    <w:multiLevelType w:val="hybridMultilevel"/>
    <w:tmpl w:val="C3CA98AA"/>
    <w:lvl w:ilvl="0" w:tplc="EDCEBD4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4"/>
  </w:num>
  <w:num w:numId="3">
    <w:abstractNumId w:val="7"/>
  </w:num>
  <w:num w:numId="4">
    <w:abstractNumId w:val="11"/>
  </w:num>
  <w:num w:numId="5">
    <w:abstractNumId w:val="9"/>
  </w:num>
  <w:num w:numId="6">
    <w:abstractNumId w:val="5"/>
  </w:num>
  <w:num w:numId="7">
    <w:abstractNumId w:val="2"/>
  </w:num>
  <w:num w:numId="8">
    <w:abstractNumId w:val="1"/>
  </w:num>
  <w:num w:numId="9">
    <w:abstractNumId w:val="15"/>
  </w:num>
  <w:num w:numId="10">
    <w:abstractNumId w:val="6"/>
  </w:num>
  <w:num w:numId="11">
    <w:abstractNumId w:val="9"/>
  </w:num>
  <w:num w:numId="12">
    <w:abstractNumId w:val="12"/>
  </w:num>
  <w:num w:numId="13">
    <w:abstractNumId w:val="10"/>
  </w:num>
  <w:num w:numId="14">
    <w:abstractNumId w:val="0"/>
  </w:num>
  <w:num w:numId="15">
    <w:abstractNumId w:val="8"/>
  </w:num>
  <w:num w:numId="16">
    <w:abstractNumId w:val="4"/>
  </w:num>
  <w:num w:numId="17">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v2pez0spfvaviee9advzfxvpftveezdtsef&quot;&gt;CRB&lt;record-ids&gt;&lt;item&gt;1&lt;/item&gt;&lt;item&gt;2&lt;/item&gt;&lt;item&gt;3&lt;/item&gt;&lt;item&gt;4&lt;/item&gt;&lt;item&gt;5&lt;/item&gt;&lt;item&gt;6&lt;/item&gt;&lt;item&gt;7&lt;/item&gt;&lt;item&gt;8&lt;/item&gt;&lt;item&gt;9&lt;/item&gt;&lt;item&gt;10&lt;/item&gt;&lt;item&gt;11&lt;/item&gt;&lt;item&gt;12&lt;/item&gt;&lt;/record-ids&gt;&lt;/item&gt;&lt;/Libraries&gt;"/>
  </w:docVars>
  <w:rsids>
    <w:rsidRoot w:val="00E36836"/>
    <w:rsid w:val="0000782E"/>
    <w:rsid w:val="000231FA"/>
    <w:rsid w:val="00025F50"/>
    <w:rsid w:val="000275DB"/>
    <w:rsid w:val="0002775A"/>
    <w:rsid w:val="0003161B"/>
    <w:rsid w:val="00040C4D"/>
    <w:rsid w:val="0004277F"/>
    <w:rsid w:val="00043DCF"/>
    <w:rsid w:val="000454CE"/>
    <w:rsid w:val="00051F60"/>
    <w:rsid w:val="00053F60"/>
    <w:rsid w:val="00057221"/>
    <w:rsid w:val="000631A7"/>
    <w:rsid w:val="00065880"/>
    <w:rsid w:val="00066514"/>
    <w:rsid w:val="00070207"/>
    <w:rsid w:val="00073234"/>
    <w:rsid w:val="00075676"/>
    <w:rsid w:val="0007657E"/>
    <w:rsid w:val="00076A8E"/>
    <w:rsid w:val="00081B72"/>
    <w:rsid w:val="000869C2"/>
    <w:rsid w:val="00086C77"/>
    <w:rsid w:val="00086F11"/>
    <w:rsid w:val="00087D43"/>
    <w:rsid w:val="000923F8"/>
    <w:rsid w:val="00096ABC"/>
    <w:rsid w:val="000A04C8"/>
    <w:rsid w:val="000A5CE7"/>
    <w:rsid w:val="000A71E1"/>
    <w:rsid w:val="000B131C"/>
    <w:rsid w:val="000B23F7"/>
    <w:rsid w:val="000B2ABF"/>
    <w:rsid w:val="000B5BC9"/>
    <w:rsid w:val="000C23FA"/>
    <w:rsid w:val="000C2BA9"/>
    <w:rsid w:val="000C43D5"/>
    <w:rsid w:val="000C4A56"/>
    <w:rsid w:val="000D2DE7"/>
    <w:rsid w:val="000E100B"/>
    <w:rsid w:val="000E63E6"/>
    <w:rsid w:val="000E7B19"/>
    <w:rsid w:val="000F2143"/>
    <w:rsid w:val="000F4D42"/>
    <w:rsid w:val="001054CA"/>
    <w:rsid w:val="00107327"/>
    <w:rsid w:val="0011691F"/>
    <w:rsid w:val="00121312"/>
    <w:rsid w:val="001247AE"/>
    <w:rsid w:val="00133298"/>
    <w:rsid w:val="00133C38"/>
    <w:rsid w:val="00134AA6"/>
    <w:rsid w:val="00134E54"/>
    <w:rsid w:val="00135EA7"/>
    <w:rsid w:val="0013650A"/>
    <w:rsid w:val="001415A0"/>
    <w:rsid w:val="00146555"/>
    <w:rsid w:val="00150447"/>
    <w:rsid w:val="00156163"/>
    <w:rsid w:val="00162429"/>
    <w:rsid w:val="0016277E"/>
    <w:rsid w:val="00162EE7"/>
    <w:rsid w:val="0016353D"/>
    <w:rsid w:val="00170928"/>
    <w:rsid w:val="001809A6"/>
    <w:rsid w:val="00181B9F"/>
    <w:rsid w:val="00183112"/>
    <w:rsid w:val="00186000"/>
    <w:rsid w:val="00190EEF"/>
    <w:rsid w:val="00191F39"/>
    <w:rsid w:val="00192682"/>
    <w:rsid w:val="00192ACF"/>
    <w:rsid w:val="00194059"/>
    <w:rsid w:val="001950CA"/>
    <w:rsid w:val="001964D3"/>
    <w:rsid w:val="001A0195"/>
    <w:rsid w:val="001A019D"/>
    <w:rsid w:val="001A1378"/>
    <w:rsid w:val="001A193A"/>
    <w:rsid w:val="001A2EBB"/>
    <w:rsid w:val="001A3ADF"/>
    <w:rsid w:val="001B11ED"/>
    <w:rsid w:val="001B1A60"/>
    <w:rsid w:val="001B59F8"/>
    <w:rsid w:val="001B6F11"/>
    <w:rsid w:val="001C0E18"/>
    <w:rsid w:val="001C60E8"/>
    <w:rsid w:val="001C699B"/>
    <w:rsid w:val="001D149B"/>
    <w:rsid w:val="001D2FA4"/>
    <w:rsid w:val="001D3E0E"/>
    <w:rsid w:val="001D7D36"/>
    <w:rsid w:val="001E013B"/>
    <w:rsid w:val="001E34E5"/>
    <w:rsid w:val="001F0A82"/>
    <w:rsid w:val="001F610B"/>
    <w:rsid w:val="001F6FD6"/>
    <w:rsid w:val="002011D8"/>
    <w:rsid w:val="00211632"/>
    <w:rsid w:val="00213414"/>
    <w:rsid w:val="0021657F"/>
    <w:rsid w:val="002168DE"/>
    <w:rsid w:val="00217E0E"/>
    <w:rsid w:val="002205AA"/>
    <w:rsid w:val="00220FF6"/>
    <w:rsid w:val="00221709"/>
    <w:rsid w:val="00221716"/>
    <w:rsid w:val="00222EEE"/>
    <w:rsid w:val="00222FEB"/>
    <w:rsid w:val="00224674"/>
    <w:rsid w:val="00243A8A"/>
    <w:rsid w:val="00246DF1"/>
    <w:rsid w:val="00247CC2"/>
    <w:rsid w:val="00250942"/>
    <w:rsid w:val="002529B4"/>
    <w:rsid w:val="0025729B"/>
    <w:rsid w:val="00260364"/>
    <w:rsid w:val="00262FF8"/>
    <w:rsid w:val="002635F9"/>
    <w:rsid w:val="002650F0"/>
    <w:rsid w:val="00266362"/>
    <w:rsid w:val="00267C6F"/>
    <w:rsid w:val="00273773"/>
    <w:rsid w:val="002772DC"/>
    <w:rsid w:val="00277A2D"/>
    <w:rsid w:val="002801C8"/>
    <w:rsid w:val="0028214E"/>
    <w:rsid w:val="00283B63"/>
    <w:rsid w:val="00286105"/>
    <w:rsid w:val="00292437"/>
    <w:rsid w:val="002A2676"/>
    <w:rsid w:val="002A279C"/>
    <w:rsid w:val="002A6037"/>
    <w:rsid w:val="002B083B"/>
    <w:rsid w:val="002C3545"/>
    <w:rsid w:val="002C4ACB"/>
    <w:rsid w:val="002C5CFD"/>
    <w:rsid w:val="002D180F"/>
    <w:rsid w:val="002D46A0"/>
    <w:rsid w:val="002D57A7"/>
    <w:rsid w:val="002D5EAD"/>
    <w:rsid w:val="002D7D02"/>
    <w:rsid w:val="002E1680"/>
    <w:rsid w:val="002E2379"/>
    <w:rsid w:val="002E266E"/>
    <w:rsid w:val="002F3718"/>
    <w:rsid w:val="002F5089"/>
    <w:rsid w:val="002F5762"/>
    <w:rsid w:val="002F7175"/>
    <w:rsid w:val="00302F94"/>
    <w:rsid w:val="003034C9"/>
    <w:rsid w:val="0030574A"/>
    <w:rsid w:val="00315F80"/>
    <w:rsid w:val="00320E87"/>
    <w:rsid w:val="003217E4"/>
    <w:rsid w:val="0032508B"/>
    <w:rsid w:val="00325C8A"/>
    <w:rsid w:val="003272FF"/>
    <w:rsid w:val="0033430C"/>
    <w:rsid w:val="00334D6B"/>
    <w:rsid w:val="0033709C"/>
    <w:rsid w:val="003404CB"/>
    <w:rsid w:val="003475FB"/>
    <w:rsid w:val="00357D95"/>
    <w:rsid w:val="00362E68"/>
    <w:rsid w:val="0036555C"/>
    <w:rsid w:val="00367076"/>
    <w:rsid w:val="00367E32"/>
    <w:rsid w:val="00375EFA"/>
    <w:rsid w:val="003772A4"/>
    <w:rsid w:val="00386C57"/>
    <w:rsid w:val="00390E7E"/>
    <w:rsid w:val="00392A50"/>
    <w:rsid w:val="00397AE8"/>
    <w:rsid w:val="003A0713"/>
    <w:rsid w:val="003A2036"/>
    <w:rsid w:val="003B02A0"/>
    <w:rsid w:val="003B1A2A"/>
    <w:rsid w:val="003B48CE"/>
    <w:rsid w:val="003C091F"/>
    <w:rsid w:val="003C2707"/>
    <w:rsid w:val="003C5B0E"/>
    <w:rsid w:val="003D0A6A"/>
    <w:rsid w:val="003D11D9"/>
    <w:rsid w:val="003D13CB"/>
    <w:rsid w:val="003D2A52"/>
    <w:rsid w:val="003D2B7F"/>
    <w:rsid w:val="003D7591"/>
    <w:rsid w:val="003D7A46"/>
    <w:rsid w:val="003E30EB"/>
    <w:rsid w:val="003E43EE"/>
    <w:rsid w:val="003F034F"/>
    <w:rsid w:val="003F61E5"/>
    <w:rsid w:val="003F687D"/>
    <w:rsid w:val="0040097B"/>
    <w:rsid w:val="00402E79"/>
    <w:rsid w:val="00405E25"/>
    <w:rsid w:val="004129E7"/>
    <w:rsid w:val="00415F7C"/>
    <w:rsid w:val="00417652"/>
    <w:rsid w:val="00417FDA"/>
    <w:rsid w:val="0043261F"/>
    <w:rsid w:val="00433E02"/>
    <w:rsid w:val="00436BE2"/>
    <w:rsid w:val="00441696"/>
    <w:rsid w:val="00442C09"/>
    <w:rsid w:val="004441EA"/>
    <w:rsid w:val="00444466"/>
    <w:rsid w:val="00450441"/>
    <w:rsid w:val="00451407"/>
    <w:rsid w:val="0045248B"/>
    <w:rsid w:val="0045316C"/>
    <w:rsid w:val="0046574E"/>
    <w:rsid w:val="00466D9A"/>
    <w:rsid w:val="00482D11"/>
    <w:rsid w:val="00483EE0"/>
    <w:rsid w:val="00485077"/>
    <w:rsid w:val="00491E7B"/>
    <w:rsid w:val="00492B67"/>
    <w:rsid w:val="00494317"/>
    <w:rsid w:val="00495A47"/>
    <w:rsid w:val="004C0909"/>
    <w:rsid w:val="004C19B9"/>
    <w:rsid w:val="004C3700"/>
    <w:rsid w:val="004C58F7"/>
    <w:rsid w:val="004C7B1B"/>
    <w:rsid w:val="004D0B3C"/>
    <w:rsid w:val="004D1366"/>
    <w:rsid w:val="004D2DF0"/>
    <w:rsid w:val="004D3164"/>
    <w:rsid w:val="004D4695"/>
    <w:rsid w:val="004D480A"/>
    <w:rsid w:val="004D63D9"/>
    <w:rsid w:val="004E11C2"/>
    <w:rsid w:val="004E47FB"/>
    <w:rsid w:val="004E7884"/>
    <w:rsid w:val="004F1222"/>
    <w:rsid w:val="004F16E4"/>
    <w:rsid w:val="004F34D0"/>
    <w:rsid w:val="004F54CD"/>
    <w:rsid w:val="004F7AB2"/>
    <w:rsid w:val="0050029D"/>
    <w:rsid w:val="00504CE2"/>
    <w:rsid w:val="00504D2B"/>
    <w:rsid w:val="0050651B"/>
    <w:rsid w:val="00506E38"/>
    <w:rsid w:val="005106B2"/>
    <w:rsid w:val="0051124B"/>
    <w:rsid w:val="00515DF9"/>
    <w:rsid w:val="00522165"/>
    <w:rsid w:val="00524DBD"/>
    <w:rsid w:val="005263B4"/>
    <w:rsid w:val="00527FEE"/>
    <w:rsid w:val="005360A7"/>
    <w:rsid w:val="0054133B"/>
    <w:rsid w:val="005417A9"/>
    <w:rsid w:val="00557729"/>
    <w:rsid w:val="00560660"/>
    <w:rsid w:val="0058777B"/>
    <w:rsid w:val="0059162B"/>
    <w:rsid w:val="0059389A"/>
    <w:rsid w:val="00593AE5"/>
    <w:rsid w:val="0059441C"/>
    <w:rsid w:val="00595D34"/>
    <w:rsid w:val="0059634B"/>
    <w:rsid w:val="005A2CB9"/>
    <w:rsid w:val="005A3749"/>
    <w:rsid w:val="005A455F"/>
    <w:rsid w:val="005A62F0"/>
    <w:rsid w:val="005A6506"/>
    <w:rsid w:val="005A7193"/>
    <w:rsid w:val="005B09F8"/>
    <w:rsid w:val="005B4129"/>
    <w:rsid w:val="005C2B60"/>
    <w:rsid w:val="005C3455"/>
    <w:rsid w:val="005C4205"/>
    <w:rsid w:val="005D2C74"/>
    <w:rsid w:val="005D348C"/>
    <w:rsid w:val="005D41EF"/>
    <w:rsid w:val="005E0491"/>
    <w:rsid w:val="005E284A"/>
    <w:rsid w:val="005E4A66"/>
    <w:rsid w:val="005E79A8"/>
    <w:rsid w:val="005F2086"/>
    <w:rsid w:val="005F5D1D"/>
    <w:rsid w:val="00600843"/>
    <w:rsid w:val="00600D3F"/>
    <w:rsid w:val="00611084"/>
    <w:rsid w:val="00612848"/>
    <w:rsid w:val="00620336"/>
    <w:rsid w:val="00623952"/>
    <w:rsid w:val="006301D0"/>
    <w:rsid w:val="00633110"/>
    <w:rsid w:val="006337C5"/>
    <w:rsid w:val="00636773"/>
    <w:rsid w:val="00636F6E"/>
    <w:rsid w:val="00641B22"/>
    <w:rsid w:val="006461D5"/>
    <w:rsid w:val="006544C2"/>
    <w:rsid w:val="00657A29"/>
    <w:rsid w:val="00665E83"/>
    <w:rsid w:val="00671299"/>
    <w:rsid w:val="00672ACA"/>
    <w:rsid w:val="00680E55"/>
    <w:rsid w:val="00681976"/>
    <w:rsid w:val="00684843"/>
    <w:rsid w:val="00685F70"/>
    <w:rsid w:val="00687709"/>
    <w:rsid w:val="0069300D"/>
    <w:rsid w:val="00695B19"/>
    <w:rsid w:val="006A1C10"/>
    <w:rsid w:val="006A34AA"/>
    <w:rsid w:val="006A67DD"/>
    <w:rsid w:val="006A77C7"/>
    <w:rsid w:val="006A7A85"/>
    <w:rsid w:val="006B01DF"/>
    <w:rsid w:val="006B0FD7"/>
    <w:rsid w:val="006B2EB9"/>
    <w:rsid w:val="006B468C"/>
    <w:rsid w:val="006B6EC6"/>
    <w:rsid w:val="006C56EE"/>
    <w:rsid w:val="006C64DB"/>
    <w:rsid w:val="006D4320"/>
    <w:rsid w:val="006E452E"/>
    <w:rsid w:val="006E5C32"/>
    <w:rsid w:val="006F19C0"/>
    <w:rsid w:val="006F1D1A"/>
    <w:rsid w:val="006F50F8"/>
    <w:rsid w:val="006F7801"/>
    <w:rsid w:val="00705585"/>
    <w:rsid w:val="00707E0F"/>
    <w:rsid w:val="00713CB1"/>
    <w:rsid w:val="00714233"/>
    <w:rsid w:val="00717698"/>
    <w:rsid w:val="007206CB"/>
    <w:rsid w:val="00721AF0"/>
    <w:rsid w:val="0072459F"/>
    <w:rsid w:val="00730C3B"/>
    <w:rsid w:val="007349C5"/>
    <w:rsid w:val="00747FF4"/>
    <w:rsid w:val="00750A86"/>
    <w:rsid w:val="007512F4"/>
    <w:rsid w:val="007535E6"/>
    <w:rsid w:val="00754CBD"/>
    <w:rsid w:val="00762D35"/>
    <w:rsid w:val="00766039"/>
    <w:rsid w:val="00771102"/>
    <w:rsid w:val="00782703"/>
    <w:rsid w:val="007851E9"/>
    <w:rsid w:val="00785382"/>
    <w:rsid w:val="007918C4"/>
    <w:rsid w:val="00791C59"/>
    <w:rsid w:val="00793E51"/>
    <w:rsid w:val="0079486E"/>
    <w:rsid w:val="007A2663"/>
    <w:rsid w:val="007A4C6B"/>
    <w:rsid w:val="007A5E59"/>
    <w:rsid w:val="007A5FC3"/>
    <w:rsid w:val="007B17BA"/>
    <w:rsid w:val="007B46D4"/>
    <w:rsid w:val="007B5E87"/>
    <w:rsid w:val="007B5FB7"/>
    <w:rsid w:val="007B79DC"/>
    <w:rsid w:val="007B7F3A"/>
    <w:rsid w:val="007C0D60"/>
    <w:rsid w:val="007C4EDD"/>
    <w:rsid w:val="007C5281"/>
    <w:rsid w:val="007D3746"/>
    <w:rsid w:val="007D4605"/>
    <w:rsid w:val="007D532C"/>
    <w:rsid w:val="007D68AA"/>
    <w:rsid w:val="007D7243"/>
    <w:rsid w:val="007E1F7D"/>
    <w:rsid w:val="007E53A4"/>
    <w:rsid w:val="007E700E"/>
    <w:rsid w:val="007F07A4"/>
    <w:rsid w:val="007F11CB"/>
    <w:rsid w:val="007F3C3A"/>
    <w:rsid w:val="007F66A3"/>
    <w:rsid w:val="007F6BE2"/>
    <w:rsid w:val="00800A03"/>
    <w:rsid w:val="0080205D"/>
    <w:rsid w:val="00803D56"/>
    <w:rsid w:val="0081077D"/>
    <w:rsid w:val="0081210E"/>
    <w:rsid w:val="008171FE"/>
    <w:rsid w:val="0081727B"/>
    <w:rsid w:val="00820B03"/>
    <w:rsid w:val="008252EB"/>
    <w:rsid w:val="0083299A"/>
    <w:rsid w:val="0083531B"/>
    <w:rsid w:val="008400CE"/>
    <w:rsid w:val="00842B16"/>
    <w:rsid w:val="00843AF0"/>
    <w:rsid w:val="00844027"/>
    <w:rsid w:val="008462CA"/>
    <w:rsid w:val="00850250"/>
    <w:rsid w:val="00851C45"/>
    <w:rsid w:val="00860014"/>
    <w:rsid w:val="00862E53"/>
    <w:rsid w:val="008658E9"/>
    <w:rsid w:val="00866757"/>
    <w:rsid w:val="00871311"/>
    <w:rsid w:val="00871328"/>
    <w:rsid w:val="0087529F"/>
    <w:rsid w:val="00875B49"/>
    <w:rsid w:val="00876493"/>
    <w:rsid w:val="0088384F"/>
    <w:rsid w:val="00887A8C"/>
    <w:rsid w:val="00892C87"/>
    <w:rsid w:val="00893FA8"/>
    <w:rsid w:val="0089528F"/>
    <w:rsid w:val="008A2A4B"/>
    <w:rsid w:val="008A36D7"/>
    <w:rsid w:val="008A42F8"/>
    <w:rsid w:val="008A72AC"/>
    <w:rsid w:val="008B1042"/>
    <w:rsid w:val="008B5919"/>
    <w:rsid w:val="008C11C2"/>
    <w:rsid w:val="008C3C6E"/>
    <w:rsid w:val="008C3CDA"/>
    <w:rsid w:val="008D3A16"/>
    <w:rsid w:val="008D5EB6"/>
    <w:rsid w:val="008E15FC"/>
    <w:rsid w:val="008E250D"/>
    <w:rsid w:val="008E2B18"/>
    <w:rsid w:val="008E33FC"/>
    <w:rsid w:val="008F0418"/>
    <w:rsid w:val="008F1067"/>
    <w:rsid w:val="008F486E"/>
    <w:rsid w:val="00900209"/>
    <w:rsid w:val="00902253"/>
    <w:rsid w:val="00902F94"/>
    <w:rsid w:val="00905392"/>
    <w:rsid w:val="00905CE3"/>
    <w:rsid w:val="009060EA"/>
    <w:rsid w:val="00906B50"/>
    <w:rsid w:val="00911370"/>
    <w:rsid w:val="0091168C"/>
    <w:rsid w:val="0091346D"/>
    <w:rsid w:val="00913EFD"/>
    <w:rsid w:val="00916545"/>
    <w:rsid w:val="00916AD3"/>
    <w:rsid w:val="00924B73"/>
    <w:rsid w:val="009258AD"/>
    <w:rsid w:val="009425FC"/>
    <w:rsid w:val="009434E5"/>
    <w:rsid w:val="00945DC8"/>
    <w:rsid w:val="00945F6E"/>
    <w:rsid w:val="00946E07"/>
    <w:rsid w:val="00950C32"/>
    <w:rsid w:val="009554CD"/>
    <w:rsid w:val="00956A0E"/>
    <w:rsid w:val="009575F2"/>
    <w:rsid w:val="00960E0A"/>
    <w:rsid w:val="00963BE2"/>
    <w:rsid w:val="00971532"/>
    <w:rsid w:val="0097217D"/>
    <w:rsid w:val="00972A7A"/>
    <w:rsid w:val="00974B04"/>
    <w:rsid w:val="00974DB5"/>
    <w:rsid w:val="00975ECD"/>
    <w:rsid w:val="00977DF1"/>
    <w:rsid w:val="00983506"/>
    <w:rsid w:val="00990384"/>
    <w:rsid w:val="009A6CBF"/>
    <w:rsid w:val="009B2A1D"/>
    <w:rsid w:val="009B4A41"/>
    <w:rsid w:val="009B4DF4"/>
    <w:rsid w:val="009B5C9C"/>
    <w:rsid w:val="009B7385"/>
    <w:rsid w:val="009C0F50"/>
    <w:rsid w:val="009C29A1"/>
    <w:rsid w:val="009C2FD7"/>
    <w:rsid w:val="009C5C8F"/>
    <w:rsid w:val="009D02C7"/>
    <w:rsid w:val="009D2373"/>
    <w:rsid w:val="009D2F2B"/>
    <w:rsid w:val="009E3C3C"/>
    <w:rsid w:val="009F11B9"/>
    <w:rsid w:val="009F28F0"/>
    <w:rsid w:val="009F36B4"/>
    <w:rsid w:val="009F5400"/>
    <w:rsid w:val="009F5976"/>
    <w:rsid w:val="009F6607"/>
    <w:rsid w:val="009F7D65"/>
    <w:rsid w:val="00A002AC"/>
    <w:rsid w:val="00A07F0F"/>
    <w:rsid w:val="00A13FB9"/>
    <w:rsid w:val="00A1585B"/>
    <w:rsid w:val="00A24223"/>
    <w:rsid w:val="00A25509"/>
    <w:rsid w:val="00A264D7"/>
    <w:rsid w:val="00A2655E"/>
    <w:rsid w:val="00A33E8B"/>
    <w:rsid w:val="00A34B19"/>
    <w:rsid w:val="00A456E2"/>
    <w:rsid w:val="00A4773D"/>
    <w:rsid w:val="00A5090A"/>
    <w:rsid w:val="00A620EB"/>
    <w:rsid w:val="00A70CB4"/>
    <w:rsid w:val="00A73701"/>
    <w:rsid w:val="00A74C00"/>
    <w:rsid w:val="00A76C8B"/>
    <w:rsid w:val="00A76FCC"/>
    <w:rsid w:val="00A850A6"/>
    <w:rsid w:val="00A930A5"/>
    <w:rsid w:val="00A9597F"/>
    <w:rsid w:val="00A97A79"/>
    <w:rsid w:val="00AA178D"/>
    <w:rsid w:val="00AA7A7C"/>
    <w:rsid w:val="00AB1CBB"/>
    <w:rsid w:val="00AB3049"/>
    <w:rsid w:val="00AB5285"/>
    <w:rsid w:val="00AB67F6"/>
    <w:rsid w:val="00AC23B9"/>
    <w:rsid w:val="00AC4077"/>
    <w:rsid w:val="00AC50D3"/>
    <w:rsid w:val="00AC5C7F"/>
    <w:rsid w:val="00AD2080"/>
    <w:rsid w:val="00AE0D07"/>
    <w:rsid w:val="00AE4FCB"/>
    <w:rsid w:val="00AE63CC"/>
    <w:rsid w:val="00AE64BE"/>
    <w:rsid w:val="00AF1D9E"/>
    <w:rsid w:val="00B022E3"/>
    <w:rsid w:val="00B0587E"/>
    <w:rsid w:val="00B10BBC"/>
    <w:rsid w:val="00B129AB"/>
    <w:rsid w:val="00B16733"/>
    <w:rsid w:val="00B2001A"/>
    <w:rsid w:val="00B21510"/>
    <w:rsid w:val="00B36BE0"/>
    <w:rsid w:val="00B401D6"/>
    <w:rsid w:val="00B40BA4"/>
    <w:rsid w:val="00B45112"/>
    <w:rsid w:val="00B507EF"/>
    <w:rsid w:val="00B50855"/>
    <w:rsid w:val="00B5675E"/>
    <w:rsid w:val="00B613C1"/>
    <w:rsid w:val="00B71B1E"/>
    <w:rsid w:val="00B73CAE"/>
    <w:rsid w:val="00B73DAD"/>
    <w:rsid w:val="00B73F8C"/>
    <w:rsid w:val="00B75574"/>
    <w:rsid w:val="00B759BF"/>
    <w:rsid w:val="00B7747B"/>
    <w:rsid w:val="00B91B43"/>
    <w:rsid w:val="00B960CF"/>
    <w:rsid w:val="00B969AB"/>
    <w:rsid w:val="00B97C5E"/>
    <w:rsid w:val="00BA1D4C"/>
    <w:rsid w:val="00BA6E1E"/>
    <w:rsid w:val="00BA7267"/>
    <w:rsid w:val="00BB44C4"/>
    <w:rsid w:val="00BB57F7"/>
    <w:rsid w:val="00BC0513"/>
    <w:rsid w:val="00BC2130"/>
    <w:rsid w:val="00BC4284"/>
    <w:rsid w:val="00BD3315"/>
    <w:rsid w:val="00BE5D52"/>
    <w:rsid w:val="00BE668D"/>
    <w:rsid w:val="00BF0384"/>
    <w:rsid w:val="00BF74C9"/>
    <w:rsid w:val="00BF77A9"/>
    <w:rsid w:val="00C0175C"/>
    <w:rsid w:val="00C064D9"/>
    <w:rsid w:val="00C113E2"/>
    <w:rsid w:val="00C13309"/>
    <w:rsid w:val="00C1589E"/>
    <w:rsid w:val="00C16F25"/>
    <w:rsid w:val="00C233DE"/>
    <w:rsid w:val="00C32B75"/>
    <w:rsid w:val="00C37F78"/>
    <w:rsid w:val="00C4004F"/>
    <w:rsid w:val="00C4131A"/>
    <w:rsid w:val="00C4291B"/>
    <w:rsid w:val="00C4439C"/>
    <w:rsid w:val="00C50A1F"/>
    <w:rsid w:val="00C529BD"/>
    <w:rsid w:val="00C56504"/>
    <w:rsid w:val="00C57AB1"/>
    <w:rsid w:val="00C57F89"/>
    <w:rsid w:val="00C61058"/>
    <w:rsid w:val="00C6329A"/>
    <w:rsid w:val="00C63FC4"/>
    <w:rsid w:val="00C6492A"/>
    <w:rsid w:val="00C66BFC"/>
    <w:rsid w:val="00C71983"/>
    <w:rsid w:val="00C71992"/>
    <w:rsid w:val="00C74036"/>
    <w:rsid w:val="00C7410D"/>
    <w:rsid w:val="00C82932"/>
    <w:rsid w:val="00C86A9C"/>
    <w:rsid w:val="00C8745C"/>
    <w:rsid w:val="00C874E2"/>
    <w:rsid w:val="00C919D3"/>
    <w:rsid w:val="00C92C71"/>
    <w:rsid w:val="00C955D2"/>
    <w:rsid w:val="00C9797E"/>
    <w:rsid w:val="00C97A3C"/>
    <w:rsid w:val="00CA1691"/>
    <w:rsid w:val="00CA3B8C"/>
    <w:rsid w:val="00CA619F"/>
    <w:rsid w:val="00CB05AC"/>
    <w:rsid w:val="00CB150D"/>
    <w:rsid w:val="00CB6A89"/>
    <w:rsid w:val="00CC291A"/>
    <w:rsid w:val="00CC6B70"/>
    <w:rsid w:val="00CC727B"/>
    <w:rsid w:val="00CC77BB"/>
    <w:rsid w:val="00CD3302"/>
    <w:rsid w:val="00CD459C"/>
    <w:rsid w:val="00CD794F"/>
    <w:rsid w:val="00CF38E7"/>
    <w:rsid w:val="00D06611"/>
    <w:rsid w:val="00D1048C"/>
    <w:rsid w:val="00D11291"/>
    <w:rsid w:val="00D113A0"/>
    <w:rsid w:val="00D14743"/>
    <w:rsid w:val="00D14A3B"/>
    <w:rsid w:val="00D15AC9"/>
    <w:rsid w:val="00D15B27"/>
    <w:rsid w:val="00D178FA"/>
    <w:rsid w:val="00D22CF8"/>
    <w:rsid w:val="00D23D4B"/>
    <w:rsid w:val="00D24611"/>
    <w:rsid w:val="00D41582"/>
    <w:rsid w:val="00D41F2B"/>
    <w:rsid w:val="00D43A40"/>
    <w:rsid w:val="00D47C41"/>
    <w:rsid w:val="00D51BE3"/>
    <w:rsid w:val="00D52228"/>
    <w:rsid w:val="00D526E4"/>
    <w:rsid w:val="00D60D84"/>
    <w:rsid w:val="00D71A1D"/>
    <w:rsid w:val="00D74D12"/>
    <w:rsid w:val="00D756D0"/>
    <w:rsid w:val="00D80AA0"/>
    <w:rsid w:val="00D80ACF"/>
    <w:rsid w:val="00D82468"/>
    <w:rsid w:val="00D8405C"/>
    <w:rsid w:val="00D8501D"/>
    <w:rsid w:val="00D85D53"/>
    <w:rsid w:val="00D865CA"/>
    <w:rsid w:val="00D86B98"/>
    <w:rsid w:val="00D87AAF"/>
    <w:rsid w:val="00D957E1"/>
    <w:rsid w:val="00DA002F"/>
    <w:rsid w:val="00DA23AB"/>
    <w:rsid w:val="00DA7FFE"/>
    <w:rsid w:val="00DB0801"/>
    <w:rsid w:val="00DB2328"/>
    <w:rsid w:val="00DB2B45"/>
    <w:rsid w:val="00DB3647"/>
    <w:rsid w:val="00DC33D6"/>
    <w:rsid w:val="00DC363B"/>
    <w:rsid w:val="00DC37A0"/>
    <w:rsid w:val="00DC4881"/>
    <w:rsid w:val="00DC7501"/>
    <w:rsid w:val="00DC79DD"/>
    <w:rsid w:val="00DD0B47"/>
    <w:rsid w:val="00DE00D3"/>
    <w:rsid w:val="00DE1644"/>
    <w:rsid w:val="00DE2A8A"/>
    <w:rsid w:val="00DE565C"/>
    <w:rsid w:val="00DE6478"/>
    <w:rsid w:val="00DF0D92"/>
    <w:rsid w:val="00DF1D51"/>
    <w:rsid w:val="00DF5F71"/>
    <w:rsid w:val="00E010BA"/>
    <w:rsid w:val="00E018DD"/>
    <w:rsid w:val="00E02AD0"/>
    <w:rsid w:val="00E02E79"/>
    <w:rsid w:val="00E0480B"/>
    <w:rsid w:val="00E1075B"/>
    <w:rsid w:val="00E1689E"/>
    <w:rsid w:val="00E202DC"/>
    <w:rsid w:val="00E2405D"/>
    <w:rsid w:val="00E30BC4"/>
    <w:rsid w:val="00E3137C"/>
    <w:rsid w:val="00E35F8E"/>
    <w:rsid w:val="00E363F3"/>
    <w:rsid w:val="00E36836"/>
    <w:rsid w:val="00E37FC6"/>
    <w:rsid w:val="00E40929"/>
    <w:rsid w:val="00E41E14"/>
    <w:rsid w:val="00E443E4"/>
    <w:rsid w:val="00E444F3"/>
    <w:rsid w:val="00E4458B"/>
    <w:rsid w:val="00E47C92"/>
    <w:rsid w:val="00E57A6D"/>
    <w:rsid w:val="00E63325"/>
    <w:rsid w:val="00E81A78"/>
    <w:rsid w:val="00E81F2F"/>
    <w:rsid w:val="00E833CC"/>
    <w:rsid w:val="00E83C84"/>
    <w:rsid w:val="00E85F78"/>
    <w:rsid w:val="00E960A1"/>
    <w:rsid w:val="00E961E1"/>
    <w:rsid w:val="00EA2918"/>
    <w:rsid w:val="00EA4FD5"/>
    <w:rsid w:val="00EA5C08"/>
    <w:rsid w:val="00EB7025"/>
    <w:rsid w:val="00EB7A2F"/>
    <w:rsid w:val="00EC2B59"/>
    <w:rsid w:val="00EC50EC"/>
    <w:rsid w:val="00EC5C54"/>
    <w:rsid w:val="00EC5E1B"/>
    <w:rsid w:val="00ED3128"/>
    <w:rsid w:val="00ED5D10"/>
    <w:rsid w:val="00EE0145"/>
    <w:rsid w:val="00EE05FF"/>
    <w:rsid w:val="00EE0952"/>
    <w:rsid w:val="00EE5414"/>
    <w:rsid w:val="00EF1A0F"/>
    <w:rsid w:val="00EF3CA6"/>
    <w:rsid w:val="00EF6E14"/>
    <w:rsid w:val="00EF72A9"/>
    <w:rsid w:val="00F00C40"/>
    <w:rsid w:val="00F1485B"/>
    <w:rsid w:val="00F15B3D"/>
    <w:rsid w:val="00F21FA6"/>
    <w:rsid w:val="00F26A2A"/>
    <w:rsid w:val="00F3341A"/>
    <w:rsid w:val="00F34C8D"/>
    <w:rsid w:val="00F47142"/>
    <w:rsid w:val="00F50072"/>
    <w:rsid w:val="00F5009B"/>
    <w:rsid w:val="00F55FBD"/>
    <w:rsid w:val="00F56B7D"/>
    <w:rsid w:val="00F628E1"/>
    <w:rsid w:val="00F653F3"/>
    <w:rsid w:val="00F65B2A"/>
    <w:rsid w:val="00F6705B"/>
    <w:rsid w:val="00F6721A"/>
    <w:rsid w:val="00F7021F"/>
    <w:rsid w:val="00F735D8"/>
    <w:rsid w:val="00F764F4"/>
    <w:rsid w:val="00F823BF"/>
    <w:rsid w:val="00F83DF2"/>
    <w:rsid w:val="00F857F8"/>
    <w:rsid w:val="00F940C5"/>
    <w:rsid w:val="00F959A6"/>
    <w:rsid w:val="00FA1627"/>
    <w:rsid w:val="00FA1EB2"/>
    <w:rsid w:val="00FA7F57"/>
    <w:rsid w:val="00FB0747"/>
    <w:rsid w:val="00FB1A51"/>
    <w:rsid w:val="00FB40C2"/>
    <w:rsid w:val="00FB5815"/>
    <w:rsid w:val="00FB7405"/>
    <w:rsid w:val="00FB75B1"/>
    <w:rsid w:val="00FC1CF9"/>
    <w:rsid w:val="00FC1EF2"/>
    <w:rsid w:val="00FC384D"/>
    <w:rsid w:val="00FC432B"/>
    <w:rsid w:val="00FC661B"/>
    <w:rsid w:val="00FC7D1E"/>
    <w:rsid w:val="00FD0585"/>
    <w:rsid w:val="00FD6405"/>
    <w:rsid w:val="00FE4ADB"/>
    <w:rsid w:val="00FE51B5"/>
    <w:rsid w:val="00FF3225"/>
    <w:rsid w:val="00FF6D77"/>
    <w:rsid w:val="00FF77A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CF6BD4"/>
  <w15:docId w15:val="{C1136302-AD31-452D-AC09-0D6CA97F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425FC"/>
    <w:pPr>
      <w:widowControl w:val="0"/>
      <w:spacing w:line="300" w:lineRule="auto"/>
      <w:jc w:val="both"/>
    </w:pPr>
    <w:rPr>
      <w:rFonts w:ascii="Times New Roman" w:hAnsi="Times New Roman"/>
      <w:kern w:val="2"/>
      <w:sz w:val="24"/>
      <w:szCs w:val="22"/>
    </w:rPr>
  </w:style>
  <w:style w:type="paragraph" w:styleId="1">
    <w:name w:val="heading 1"/>
    <w:basedOn w:val="a"/>
    <w:next w:val="a"/>
    <w:link w:val="10"/>
    <w:uiPriority w:val="9"/>
    <w:qFormat/>
    <w:rsid w:val="00040C4D"/>
    <w:pPr>
      <w:keepNext/>
      <w:numPr>
        <w:numId w:val="5"/>
      </w:numPr>
      <w:snapToGrid w:val="0"/>
      <w:spacing w:before="180" w:after="120" w:line="240" w:lineRule="auto"/>
      <w:jc w:val="left"/>
      <w:outlineLvl w:val="0"/>
    </w:pPr>
    <w:rPr>
      <w:rFonts w:ascii="Cambria" w:hAnsi="Cambria"/>
      <w:b/>
      <w:bCs/>
      <w:kern w:val="52"/>
      <w:sz w:val="44"/>
      <w:szCs w:val="52"/>
    </w:rPr>
  </w:style>
  <w:style w:type="paragraph" w:styleId="2">
    <w:name w:val="heading 2"/>
    <w:basedOn w:val="a"/>
    <w:next w:val="a"/>
    <w:link w:val="20"/>
    <w:uiPriority w:val="9"/>
    <w:qFormat/>
    <w:rsid w:val="00E2405D"/>
    <w:pPr>
      <w:keepNext/>
      <w:numPr>
        <w:ilvl w:val="1"/>
        <w:numId w:val="5"/>
      </w:numPr>
      <w:spacing w:line="360" w:lineRule="auto"/>
      <w:outlineLvl w:val="1"/>
    </w:pPr>
    <w:rPr>
      <w:rFonts w:ascii="Cambria" w:hAnsi="Cambria"/>
      <w:b/>
      <w:bCs/>
      <w:sz w:val="36"/>
      <w:szCs w:val="48"/>
    </w:rPr>
  </w:style>
  <w:style w:type="paragraph" w:styleId="3">
    <w:name w:val="heading 3"/>
    <w:basedOn w:val="a"/>
    <w:next w:val="a"/>
    <w:link w:val="30"/>
    <w:uiPriority w:val="9"/>
    <w:qFormat/>
    <w:rsid w:val="00E2405D"/>
    <w:pPr>
      <w:keepNext/>
      <w:numPr>
        <w:ilvl w:val="2"/>
        <w:numId w:val="5"/>
      </w:numPr>
      <w:spacing w:line="360" w:lineRule="auto"/>
      <w:outlineLvl w:val="2"/>
    </w:pPr>
    <w:rPr>
      <w:rFonts w:ascii="Cambria" w:hAnsi="Cambria"/>
      <w:b/>
      <w:bCs/>
      <w:sz w:val="32"/>
      <w:szCs w:val="36"/>
    </w:rPr>
  </w:style>
  <w:style w:type="paragraph" w:styleId="4">
    <w:name w:val="heading 4"/>
    <w:basedOn w:val="a"/>
    <w:next w:val="a"/>
    <w:link w:val="40"/>
    <w:qFormat/>
    <w:rsid w:val="00E2405D"/>
    <w:pPr>
      <w:keepNext/>
      <w:numPr>
        <w:ilvl w:val="3"/>
        <w:numId w:val="5"/>
      </w:numPr>
      <w:spacing w:line="720" w:lineRule="auto"/>
      <w:outlineLvl w:val="3"/>
    </w:pPr>
    <w:rPr>
      <w:rFonts w:ascii="Cambria" w:hAnsi="Cambria"/>
      <w:sz w:val="36"/>
      <w:szCs w:val="36"/>
    </w:rPr>
  </w:style>
  <w:style w:type="paragraph" w:styleId="5">
    <w:name w:val="heading 5"/>
    <w:basedOn w:val="a"/>
    <w:next w:val="a"/>
    <w:link w:val="50"/>
    <w:uiPriority w:val="9"/>
    <w:qFormat/>
    <w:rsid w:val="000B23F7"/>
    <w:pPr>
      <w:keepNext/>
      <w:numPr>
        <w:ilvl w:val="4"/>
        <w:numId w:val="5"/>
      </w:numPr>
      <w:spacing w:line="720" w:lineRule="auto"/>
      <w:ind w:leftChars="200" w:left="200"/>
      <w:outlineLvl w:val="4"/>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
    <w:name w:val="Table"/>
    <w:basedOn w:val="a"/>
    <w:link w:val="Table0"/>
    <w:rsid w:val="0003161B"/>
    <w:pPr>
      <w:widowControl/>
      <w:overflowPunct w:val="0"/>
      <w:autoSpaceDE w:val="0"/>
      <w:autoSpaceDN w:val="0"/>
      <w:adjustRightInd w:val="0"/>
    </w:pPr>
    <w:rPr>
      <w:kern w:val="0"/>
      <w:sz w:val="20"/>
      <w:szCs w:val="24"/>
    </w:rPr>
  </w:style>
  <w:style w:type="paragraph" w:styleId="Web">
    <w:name w:val="Normal (Web)"/>
    <w:basedOn w:val="a"/>
    <w:link w:val="Web0"/>
    <w:rsid w:val="0003161B"/>
    <w:pPr>
      <w:widowControl/>
      <w:spacing w:before="100" w:beforeAutospacing="1" w:after="100" w:afterAutospacing="1"/>
    </w:pPr>
    <w:rPr>
      <w:rFonts w:ascii="新細明體" w:hAnsi="新細明體"/>
      <w:kern w:val="0"/>
      <w:sz w:val="20"/>
      <w:szCs w:val="24"/>
    </w:rPr>
  </w:style>
  <w:style w:type="character" w:customStyle="1" w:styleId="Web0">
    <w:name w:val="內文 (Web) 字元"/>
    <w:link w:val="Web"/>
    <w:rsid w:val="0003161B"/>
    <w:rPr>
      <w:rFonts w:ascii="新細明體" w:eastAsia="新細明體" w:hAnsi="新細明體" w:cs="新細明體"/>
      <w:kern w:val="0"/>
      <w:szCs w:val="24"/>
    </w:rPr>
  </w:style>
  <w:style w:type="paragraph" w:customStyle="1" w:styleId="Heading11">
    <w:name w:val="Heading 11"/>
    <w:next w:val="a"/>
    <w:rsid w:val="0003161B"/>
    <w:pPr>
      <w:keepNext/>
      <w:pageBreakBefore/>
      <w:tabs>
        <w:tab w:val="num" w:pos="851"/>
        <w:tab w:val="left" w:pos="1152"/>
      </w:tabs>
      <w:spacing w:line="360" w:lineRule="auto"/>
      <w:outlineLvl w:val="0"/>
    </w:pPr>
    <w:rPr>
      <w:rFonts w:ascii="Times New Roman" w:hAnsi="Times New Roman"/>
      <w:b/>
      <w:caps/>
      <w:sz w:val="32"/>
    </w:rPr>
  </w:style>
  <w:style w:type="paragraph" w:customStyle="1" w:styleId="TableTitle">
    <w:name w:val="Table Title"/>
    <w:basedOn w:val="Table"/>
    <w:next w:val="Table"/>
    <w:rsid w:val="0003161B"/>
    <w:rPr>
      <w:b/>
    </w:rPr>
  </w:style>
  <w:style w:type="character" w:customStyle="1" w:styleId="Table0">
    <w:name w:val="Table 字元"/>
    <w:link w:val="Table"/>
    <w:rsid w:val="0003161B"/>
    <w:rPr>
      <w:rFonts w:ascii="Times New Roman" w:eastAsia="新細明體" w:hAnsi="Times New Roman" w:cs="Times New Roman"/>
      <w:kern w:val="0"/>
      <w:szCs w:val="24"/>
    </w:rPr>
  </w:style>
  <w:style w:type="character" w:customStyle="1" w:styleId="style1">
    <w:name w:val="style1"/>
    <w:basedOn w:val="a0"/>
    <w:rsid w:val="0003161B"/>
  </w:style>
  <w:style w:type="character" w:customStyle="1" w:styleId="10">
    <w:name w:val="標題 1 字元"/>
    <w:link w:val="1"/>
    <w:uiPriority w:val="9"/>
    <w:rsid w:val="00040C4D"/>
    <w:rPr>
      <w:rFonts w:ascii="Cambria" w:hAnsi="Cambria"/>
      <w:b/>
      <w:bCs/>
      <w:kern w:val="52"/>
      <w:sz w:val="44"/>
      <w:szCs w:val="52"/>
    </w:rPr>
  </w:style>
  <w:style w:type="paragraph" w:styleId="11">
    <w:name w:val="toc 1"/>
    <w:basedOn w:val="a"/>
    <w:next w:val="a"/>
    <w:autoRedefine/>
    <w:uiPriority w:val="39"/>
    <w:qFormat/>
    <w:rsid w:val="00260364"/>
    <w:pPr>
      <w:widowControl/>
      <w:tabs>
        <w:tab w:val="left" w:pos="480"/>
        <w:tab w:val="right" w:leader="dot" w:pos="9072"/>
      </w:tabs>
      <w:overflowPunct w:val="0"/>
      <w:autoSpaceDE w:val="0"/>
      <w:autoSpaceDN w:val="0"/>
      <w:adjustRightInd w:val="0"/>
      <w:spacing w:line="360" w:lineRule="auto"/>
      <w:textAlignment w:val="baseline"/>
    </w:pPr>
    <w:rPr>
      <w:kern w:val="0"/>
      <w:szCs w:val="20"/>
    </w:rPr>
  </w:style>
  <w:style w:type="paragraph" w:styleId="21">
    <w:name w:val="toc 2"/>
    <w:basedOn w:val="a"/>
    <w:next w:val="a"/>
    <w:autoRedefine/>
    <w:uiPriority w:val="39"/>
    <w:qFormat/>
    <w:rsid w:val="00260364"/>
    <w:pPr>
      <w:widowControl/>
      <w:tabs>
        <w:tab w:val="left" w:pos="1080"/>
        <w:tab w:val="right" w:leader="dot" w:pos="9072"/>
      </w:tabs>
      <w:overflowPunct w:val="0"/>
      <w:autoSpaceDE w:val="0"/>
      <w:autoSpaceDN w:val="0"/>
      <w:adjustRightInd w:val="0"/>
      <w:spacing w:line="360" w:lineRule="auto"/>
      <w:ind w:left="482"/>
      <w:textAlignment w:val="baseline"/>
    </w:pPr>
    <w:rPr>
      <w:kern w:val="0"/>
      <w:szCs w:val="20"/>
    </w:rPr>
  </w:style>
  <w:style w:type="character" w:styleId="a3">
    <w:name w:val="Hyperlink"/>
    <w:uiPriority w:val="99"/>
    <w:rsid w:val="0003161B"/>
    <w:rPr>
      <w:rFonts w:cs="Times New Roman"/>
      <w:color w:val="0000FF"/>
      <w:u w:val="single"/>
    </w:rPr>
  </w:style>
  <w:style w:type="character" w:customStyle="1" w:styleId="20">
    <w:name w:val="標題 2 字元"/>
    <w:link w:val="2"/>
    <w:uiPriority w:val="9"/>
    <w:rsid w:val="00E2405D"/>
    <w:rPr>
      <w:rFonts w:ascii="Cambria" w:hAnsi="Cambria"/>
      <w:b/>
      <w:bCs/>
      <w:kern w:val="2"/>
      <w:sz w:val="36"/>
      <w:szCs w:val="48"/>
    </w:rPr>
  </w:style>
  <w:style w:type="paragraph" w:styleId="a4">
    <w:name w:val="Body Text"/>
    <w:basedOn w:val="a"/>
    <w:link w:val="a5"/>
    <w:rsid w:val="0003161B"/>
    <w:pPr>
      <w:overflowPunct w:val="0"/>
      <w:autoSpaceDE w:val="0"/>
      <w:autoSpaceDN w:val="0"/>
      <w:adjustRightInd w:val="0"/>
      <w:spacing w:line="360" w:lineRule="auto"/>
      <w:textAlignment w:val="baseline"/>
    </w:pPr>
    <w:rPr>
      <w:kern w:val="0"/>
      <w:sz w:val="20"/>
      <w:szCs w:val="20"/>
    </w:rPr>
  </w:style>
  <w:style w:type="character" w:customStyle="1" w:styleId="a5">
    <w:name w:val="本文 字元"/>
    <w:link w:val="a4"/>
    <w:rsid w:val="0003161B"/>
    <w:rPr>
      <w:rFonts w:ascii="Times New Roman" w:eastAsia="新細明體" w:hAnsi="Times New Roman" w:cs="Times New Roman"/>
      <w:kern w:val="0"/>
      <w:szCs w:val="20"/>
    </w:rPr>
  </w:style>
  <w:style w:type="paragraph" w:styleId="a6">
    <w:name w:val="Body Text Indent"/>
    <w:basedOn w:val="a"/>
    <w:link w:val="a7"/>
    <w:rsid w:val="0003161B"/>
    <w:pPr>
      <w:widowControl/>
      <w:overflowPunct w:val="0"/>
      <w:autoSpaceDE w:val="0"/>
      <w:autoSpaceDN w:val="0"/>
      <w:adjustRightInd w:val="0"/>
      <w:spacing w:after="120"/>
      <w:ind w:leftChars="200" w:left="480"/>
      <w:textAlignment w:val="baseline"/>
    </w:pPr>
    <w:rPr>
      <w:kern w:val="0"/>
      <w:sz w:val="20"/>
      <w:szCs w:val="20"/>
    </w:rPr>
  </w:style>
  <w:style w:type="character" w:customStyle="1" w:styleId="a7">
    <w:name w:val="本文縮排 字元"/>
    <w:link w:val="a6"/>
    <w:rsid w:val="0003161B"/>
    <w:rPr>
      <w:rFonts w:ascii="Times New Roman" w:eastAsia="新細明體" w:hAnsi="Times New Roman" w:cs="Times New Roman"/>
      <w:kern w:val="0"/>
      <w:szCs w:val="20"/>
    </w:rPr>
  </w:style>
  <w:style w:type="paragraph" w:customStyle="1" w:styleId="-11">
    <w:name w:val="彩色清單 - 輔色 11"/>
    <w:basedOn w:val="a"/>
    <w:uiPriority w:val="34"/>
    <w:qFormat/>
    <w:rsid w:val="00375EFA"/>
    <w:pPr>
      <w:ind w:leftChars="200" w:left="480"/>
    </w:pPr>
  </w:style>
  <w:style w:type="paragraph" w:styleId="a8">
    <w:name w:val="header"/>
    <w:basedOn w:val="a"/>
    <w:link w:val="a9"/>
    <w:uiPriority w:val="99"/>
    <w:unhideWhenUsed/>
    <w:rsid w:val="0028214E"/>
    <w:pPr>
      <w:tabs>
        <w:tab w:val="center" w:pos="4153"/>
        <w:tab w:val="right" w:pos="8306"/>
      </w:tabs>
      <w:snapToGrid w:val="0"/>
    </w:pPr>
    <w:rPr>
      <w:rFonts w:ascii="Calibri" w:hAnsi="Calibri"/>
      <w:kern w:val="0"/>
      <w:sz w:val="20"/>
      <w:szCs w:val="20"/>
    </w:rPr>
  </w:style>
  <w:style w:type="character" w:customStyle="1" w:styleId="a9">
    <w:name w:val="頁首 字元"/>
    <w:link w:val="a8"/>
    <w:uiPriority w:val="99"/>
    <w:rsid w:val="0028214E"/>
    <w:rPr>
      <w:sz w:val="20"/>
      <w:szCs w:val="20"/>
    </w:rPr>
  </w:style>
  <w:style w:type="paragraph" w:styleId="aa">
    <w:name w:val="footer"/>
    <w:basedOn w:val="a"/>
    <w:link w:val="ab"/>
    <w:uiPriority w:val="99"/>
    <w:unhideWhenUsed/>
    <w:rsid w:val="0028214E"/>
    <w:pPr>
      <w:tabs>
        <w:tab w:val="center" w:pos="4153"/>
        <w:tab w:val="right" w:pos="8306"/>
      </w:tabs>
      <w:snapToGrid w:val="0"/>
    </w:pPr>
    <w:rPr>
      <w:rFonts w:ascii="Calibri" w:hAnsi="Calibri"/>
      <w:kern w:val="0"/>
      <w:sz w:val="20"/>
      <w:szCs w:val="20"/>
    </w:rPr>
  </w:style>
  <w:style w:type="character" w:customStyle="1" w:styleId="ab">
    <w:name w:val="頁尾 字元"/>
    <w:link w:val="aa"/>
    <w:uiPriority w:val="99"/>
    <w:rsid w:val="0028214E"/>
    <w:rPr>
      <w:sz w:val="20"/>
      <w:szCs w:val="20"/>
    </w:rPr>
  </w:style>
  <w:style w:type="character" w:customStyle="1" w:styleId="apple-style-span">
    <w:name w:val="apple-style-span"/>
    <w:basedOn w:val="a0"/>
    <w:rsid w:val="0028214E"/>
  </w:style>
  <w:style w:type="character" w:customStyle="1" w:styleId="30">
    <w:name w:val="標題 3 字元"/>
    <w:link w:val="3"/>
    <w:uiPriority w:val="9"/>
    <w:rsid w:val="00E2405D"/>
    <w:rPr>
      <w:rFonts w:ascii="Cambria" w:hAnsi="Cambria"/>
      <w:b/>
      <w:bCs/>
      <w:kern w:val="2"/>
      <w:sz w:val="32"/>
      <w:szCs w:val="36"/>
    </w:rPr>
  </w:style>
  <w:style w:type="paragraph" w:styleId="ac">
    <w:name w:val="Title"/>
    <w:basedOn w:val="a"/>
    <w:next w:val="a"/>
    <w:link w:val="ad"/>
    <w:uiPriority w:val="10"/>
    <w:qFormat/>
    <w:rsid w:val="00E2405D"/>
    <w:pPr>
      <w:spacing w:before="240" w:after="60"/>
      <w:outlineLvl w:val="0"/>
    </w:pPr>
    <w:rPr>
      <w:rFonts w:ascii="Cambria" w:hAnsi="Cambria"/>
      <w:b/>
      <w:bCs/>
      <w:kern w:val="0"/>
      <w:sz w:val="28"/>
      <w:szCs w:val="32"/>
    </w:rPr>
  </w:style>
  <w:style w:type="character" w:customStyle="1" w:styleId="ad">
    <w:name w:val="標題 字元"/>
    <w:link w:val="ac"/>
    <w:uiPriority w:val="10"/>
    <w:rsid w:val="00E2405D"/>
    <w:rPr>
      <w:rFonts w:ascii="Cambria" w:eastAsia="新細明體" w:hAnsi="Cambria" w:cs="Times New Roman"/>
      <w:b/>
      <w:bCs/>
      <w:sz w:val="28"/>
      <w:szCs w:val="32"/>
    </w:rPr>
  </w:style>
  <w:style w:type="character" w:customStyle="1" w:styleId="40">
    <w:name w:val="標題 4 字元"/>
    <w:link w:val="4"/>
    <w:rsid w:val="00E2405D"/>
    <w:rPr>
      <w:rFonts w:ascii="Cambria" w:hAnsi="Cambria"/>
      <w:kern w:val="2"/>
      <w:sz w:val="36"/>
      <w:szCs w:val="36"/>
    </w:rPr>
  </w:style>
  <w:style w:type="table" w:styleId="ae">
    <w:name w:val="Table Grid"/>
    <w:basedOn w:val="a1"/>
    <w:uiPriority w:val="59"/>
    <w:rsid w:val="00C649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暗色格線 21"/>
    <w:link w:val="2Char"/>
    <w:uiPriority w:val="1"/>
    <w:qFormat/>
    <w:rsid w:val="001A1378"/>
    <w:rPr>
      <w:sz w:val="22"/>
      <w:szCs w:val="22"/>
    </w:rPr>
  </w:style>
  <w:style w:type="character" w:customStyle="1" w:styleId="2Char">
    <w:name w:val="暗色格線 2 Char"/>
    <w:link w:val="210"/>
    <w:uiPriority w:val="1"/>
    <w:rsid w:val="001A1378"/>
    <w:rPr>
      <w:sz w:val="22"/>
      <w:szCs w:val="22"/>
      <w:lang w:val="en-US" w:eastAsia="zh-TW" w:bidi="ar-SA"/>
    </w:rPr>
  </w:style>
  <w:style w:type="paragraph" w:styleId="af">
    <w:name w:val="Balloon Text"/>
    <w:basedOn w:val="a"/>
    <w:link w:val="af0"/>
    <w:uiPriority w:val="99"/>
    <w:semiHidden/>
    <w:unhideWhenUsed/>
    <w:rsid w:val="001A1378"/>
    <w:rPr>
      <w:rFonts w:ascii="Cambria" w:hAnsi="Cambria"/>
      <w:kern w:val="0"/>
      <w:sz w:val="18"/>
      <w:szCs w:val="18"/>
    </w:rPr>
  </w:style>
  <w:style w:type="character" w:customStyle="1" w:styleId="af0">
    <w:name w:val="註解方塊文字 字元"/>
    <w:link w:val="af"/>
    <w:uiPriority w:val="99"/>
    <w:semiHidden/>
    <w:rsid w:val="001A1378"/>
    <w:rPr>
      <w:rFonts w:ascii="Cambria" w:eastAsia="新細明體" w:hAnsi="Cambria" w:cs="Times New Roman"/>
      <w:sz w:val="18"/>
      <w:szCs w:val="18"/>
    </w:rPr>
  </w:style>
  <w:style w:type="paragraph" w:customStyle="1" w:styleId="31">
    <w:name w:val="格線表格 31"/>
    <w:basedOn w:val="1"/>
    <w:next w:val="a"/>
    <w:uiPriority w:val="39"/>
    <w:qFormat/>
    <w:rsid w:val="001A1378"/>
    <w:pPr>
      <w:keepLines/>
      <w:widowControl/>
      <w:spacing w:before="480" w:after="0" w:line="276" w:lineRule="auto"/>
      <w:outlineLvl w:val="9"/>
    </w:pPr>
    <w:rPr>
      <w:color w:val="365F91"/>
      <w:kern w:val="0"/>
      <w:sz w:val="28"/>
      <w:szCs w:val="28"/>
    </w:rPr>
  </w:style>
  <w:style w:type="paragraph" w:styleId="32">
    <w:name w:val="toc 3"/>
    <w:basedOn w:val="a"/>
    <w:next w:val="a"/>
    <w:autoRedefine/>
    <w:uiPriority w:val="39"/>
    <w:unhideWhenUsed/>
    <w:qFormat/>
    <w:rsid w:val="001A1378"/>
    <w:pPr>
      <w:widowControl/>
      <w:spacing w:after="100" w:line="276" w:lineRule="auto"/>
      <w:ind w:left="440"/>
    </w:pPr>
    <w:rPr>
      <w:kern w:val="0"/>
      <w:sz w:val="22"/>
    </w:rPr>
  </w:style>
  <w:style w:type="paragraph" w:customStyle="1" w:styleId="Para">
    <w:name w:val="Para"/>
    <w:rsid w:val="00081B72"/>
    <w:pPr>
      <w:suppressAutoHyphens/>
      <w:spacing w:before="240"/>
    </w:pPr>
    <w:rPr>
      <w:rFonts w:ascii="Times New Roman" w:hAnsi="Times New Roman"/>
      <w:sz w:val="22"/>
      <w:lang w:eastAsia="en-US"/>
    </w:rPr>
  </w:style>
  <w:style w:type="character" w:customStyle="1" w:styleId="50">
    <w:name w:val="標題 5 字元"/>
    <w:link w:val="5"/>
    <w:uiPriority w:val="9"/>
    <w:semiHidden/>
    <w:rsid w:val="000B23F7"/>
    <w:rPr>
      <w:rFonts w:ascii="Cambria" w:hAnsi="Cambria"/>
      <w:b/>
      <w:bCs/>
      <w:kern w:val="2"/>
      <w:sz w:val="36"/>
      <w:szCs w:val="36"/>
    </w:rPr>
  </w:style>
  <w:style w:type="character" w:styleId="af1">
    <w:name w:val="Emphasis"/>
    <w:qFormat/>
    <w:rsid w:val="00F7021F"/>
    <w:rPr>
      <w:i/>
      <w:iCs/>
    </w:rPr>
  </w:style>
  <w:style w:type="paragraph" w:customStyle="1" w:styleId="TableText">
    <w:name w:val="Table Text"/>
    <w:basedOn w:val="a"/>
    <w:rsid w:val="00F7021F"/>
    <w:pPr>
      <w:widowControl/>
      <w:overflowPunct w:val="0"/>
      <w:autoSpaceDE w:val="0"/>
      <w:autoSpaceDN w:val="0"/>
      <w:adjustRightInd w:val="0"/>
      <w:snapToGrid w:val="0"/>
      <w:spacing w:line="240" w:lineRule="auto"/>
    </w:pPr>
    <w:rPr>
      <w:kern w:val="0"/>
      <w:szCs w:val="24"/>
    </w:rPr>
  </w:style>
  <w:style w:type="character" w:styleId="af2">
    <w:name w:val="annotation reference"/>
    <w:uiPriority w:val="99"/>
    <w:semiHidden/>
    <w:unhideWhenUsed/>
    <w:rsid w:val="00B759BF"/>
    <w:rPr>
      <w:sz w:val="18"/>
      <w:szCs w:val="18"/>
    </w:rPr>
  </w:style>
  <w:style w:type="paragraph" w:styleId="af3">
    <w:name w:val="annotation text"/>
    <w:basedOn w:val="a"/>
    <w:link w:val="af4"/>
    <w:uiPriority w:val="99"/>
    <w:semiHidden/>
    <w:unhideWhenUsed/>
    <w:rsid w:val="00B759BF"/>
    <w:pPr>
      <w:jc w:val="left"/>
    </w:pPr>
    <w:rPr>
      <w:kern w:val="0"/>
      <w:sz w:val="20"/>
      <w:szCs w:val="20"/>
    </w:rPr>
  </w:style>
  <w:style w:type="character" w:customStyle="1" w:styleId="af4">
    <w:name w:val="註解文字 字元"/>
    <w:link w:val="af3"/>
    <w:uiPriority w:val="99"/>
    <w:semiHidden/>
    <w:rsid w:val="00B759BF"/>
    <w:rPr>
      <w:rFonts w:ascii="Times New Roman" w:hAnsi="Times New Roman"/>
    </w:rPr>
  </w:style>
  <w:style w:type="paragraph" w:styleId="af5">
    <w:name w:val="annotation subject"/>
    <w:basedOn w:val="af3"/>
    <w:next w:val="af3"/>
    <w:link w:val="af6"/>
    <w:uiPriority w:val="99"/>
    <w:semiHidden/>
    <w:unhideWhenUsed/>
    <w:rsid w:val="00B759BF"/>
    <w:rPr>
      <w:b/>
      <w:bCs/>
    </w:rPr>
  </w:style>
  <w:style w:type="character" w:customStyle="1" w:styleId="af6">
    <w:name w:val="註解主旨 字元"/>
    <w:link w:val="af5"/>
    <w:uiPriority w:val="99"/>
    <w:semiHidden/>
    <w:rsid w:val="00B759BF"/>
    <w:rPr>
      <w:rFonts w:ascii="Times New Roman" w:hAnsi="Times New Roman"/>
      <w:b/>
      <w:bCs/>
    </w:rPr>
  </w:style>
  <w:style w:type="paragraph" w:styleId="22">
    <w:name w:val="Body Text Indent 2"/>
    <w:basedOn w:val="a"/>
    <w:link w:val="23"/>
    <w:uiPriority w:val="99"/>
    <w:semiHidden/>
    <w:unhideWhenUsed/>
    <w:rsid w:val="00AB67F6"/>
    <w:pPr>
      <w:spacing w:after="120" w:line="480" w:lineRule="auto"/>
      <w:ind w:leftChars="200" w:left="480"/>
    </w:pPr>
    <w:rPr>
      <w:kern w:val="0"/>
      <w:sz w:val="20"/>
      <w:szCs w:val="20"/>
    </w:rPr>
  </w:style>
  <w:style w:type="character" w:customStyle="1" w:styleId="23">
    <w:name w:val="本文縮排 2 字元"/>
    <w:link w:val="22"/>
    <w:uiPriority w:val="99"/>
    <w:semiHidden/>
    <w:rsid w:val="00AB67F6"/>
    <w:rPr>
      <w:rFonts w:ascii="Times New Roman" w:hAnsi="Times New Roman"/>
    </w:rPr>
  </w:style>
  <w:style w:type="character" w:styleId="af7">
    <w:name w:val="page number"/>
    <w:basedOn w:val="a0"/>
    <w:rsid w:val="0083299A"/>
  </w:style>
  <w:style w:type="character" w:customStyle="1" w:styleId="apple-converted-space">
    <w:name w:val="apple-converted-space"/>
    <w:basedOn w:val="a0"/>
    <w:rsid w:val="007B5E87"/>
  </w:style>
  <w:style w:type="character" w:styleId="af8">
    <w:name w:val="Strong"/>
    <w:uiPriority w:val="22"/>
    <w:qFormat/>
    <w:rsid w:val="00600D3F"/>
    <w:rPr>
      <w:b/>
      <w:bCs/>
    </w:rPr>
  </w:style>
  <w:style w:type="character" w:customStyle="1" w:styleId="nbapihighlight1">
    <w:name w:val="nbapihighlight1"/>
    <w:rsid w:val="00600D3F"/>
  </w:style>
  <w:style w:type="character" w:customStyle="1" w:styleId="refpreview1">
    <w:name w:val="refpreview1"/>
    <w:rsid w:val="00600D3F"/>
    <w:rPr>
      <w:vanish/>
      <w:webHidden w:val="0"/>
      <w:shd w:val="clear" w:color="auto" w:fill="EEEEEE"/>
      <w:specVanish w:val="0"/>
    </w:rPr>
  </w:style>
  <w:style w:type="character" w:customStyle="1" w:styleId="refplaceholder">
    <w:name w:val="refplaceholder"/>
    <w:rsid w:val="00600D3F"/>
  </w:style>
  <w:style w:type="character" w:customStyle="1" w:styleId="citedby">
    <w:name w:val="citedby_"/>
    <w:rsid w:val="00600D3F"/>
  </w:style>
  <w:style w:type="paragraph" w:customStyle="1" w:styleId="EndNoteBibliography">
    <w:name w:val="EndNote Bibliography"/>
    <w:basedOn w:val="a"/>
    <w:link w:val="EndNoteBibliography0"/>
    <w:rsid w:val="00D74D12"/>
    <w:pPr>
      <w:snapToGrid w:val="0"/>
      <w:spacing w:line="240" w:lineRule="auto"/>
      <w:jc w:val="left"/>
    </w:pPr>
    <w:rPr>
      <w:rFonts w:ascii="Courier" w:hAnsi="Courier"/>
      <w:noProof/>
      <w:kern w:val="0"/>
      <w:sz w:val="20"/>
      <w:szCs w:val="20"/>
      <w:lang w:eastAsia="en-US"/>
    </w:rPr>
  </w:style>
  <w:style w:type="character" w:customStyle="1" w:styleId="EndNoteBibliography0">
    <w:name w:val="EndNote Bibliography 字元"/>
    <w:link w:val="EndNoteBibliography"/>
    <w:rsid w:val="00D74D12"/>
    <w:rPr>
      <w:rFonts w:ascii="Courier" w:hAnsi="Courier"/>
      <w:noProof/>
      <w:lang w:eastAsia="en-US"/>
    </w:rPr>
  </w:style>
  <w:style w:type="paragraph" w:customStyle="1" w:styleId="Default">
    <w:name w:val="Default"/>
    <w:rsid w:val="001B6F11"/>
    <w:pPr>
      <w:widowControl w:val="0"/>
      <w:autoSpaceDE w:val="0"/>
      <w:autoSpaceDN w:val="0"/>
      <w:adjustRightInd w:val="0"/>
    </w:pPr>
    <w:rPr>
      <w:rFonts w:ascii="Times New Roman" w:hAnsi="Times New Roman"/>
      <w:color w:val="000000"/>
      <w:sz w:val="24"/>
      <w:szCs w:val="24"/>
    </w:rPr>
  </w:style>
  <w:style w:type="character" w:customStyle="1" w:styleId="highlight2">
    <w:name w:val="highlight2"/>
    <w:rsid w:val="004D4695"/>
  </w:style>
  <w:style w:type="character" w:customStyle="1" w:styleId="jrnl">
    <w:name w:val="jrnl"/>
    <w:rsid w:val="00D865CA"/>
  </w:style>
  <w:style w:type="paragraph" w:styleId="af9">
    <w:name w:val="List Paragraph"/>
    <w:basedOn w:val="a"/>
    <w:uiPriority w:val="72"/>
    <w:rsid w:val="008171F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87318">
      <w:bodyDiv w:val="1"/>
      <w:marLeft w:val="0"/>
      <w:marRight w:val="0"/>
      <w:marTop w:val="0"/>
      <w:marBottom w:val="0"/>
      <w:divBdr>
        <w:top w:val="none" w:sz="0" w:space="0" w:color="auto"/>
        <w:left w:val="none" w:sz="0" w:space="0" w:color="auto"/>
        <w:bottom w:val="none" w:sz="0" w:space="0" w:color="auto"/>
        <w:right w:val="none" w:sz="0" w:space="0" w:color="auto"/>
      </w:divBdr>
    </w:div>
    <w:div w:id="537202022">
      <w:bodyDiv w:val="1"/>
      <w:marLeft w:val="0"/>
      <w:marRight w:val="0"/>
      <w:marTop w:val="0"/>
      <w:marBottom w:val="0"/>
      <w:divBdr>
        <w:top w:val="none" w:sz="0" w:space="0" w:color="auto"/>
        <w:left w:val="none" w:sz="0" w:space="0" w:color="auto"/>
        <w:bottom w:val="none" w:sz="0" w:space="0" w:color="auto"/>
        <w:right w:val="none" w:sz="0" w:space="0" w:color="auto"/>
      </w:divBdr>
    </w:div>
    <w:div w:id="1019283482">
      <w:bodyDiv w:val="1"/>
      <w:marLeft w:val="0"/>
      <w:marRight w:val="0"/>
      <w:marTop w:val="0"/>
      <w:marBottom w:val="0"/>
      <w:divBdr>
        <w:top w:val="none" w:sz="0" w:space="0" w:color="auto"/>
        <w:left w:val="none" w:sz="0" w:space="0" w:color="auto"/>
        <w:bottom w:val="none" w:sz="0" w:space="0" w:color="auto"/>
        <w:right w:val="none" w:sz="0" w:space="0" w:color="auto"/>
      </w:divBdr>
    </w:div>
    <w:div w:id="1566641411">
      <w:bodyDiv w:val="1"/>
      <w:marLeft w:val="0"/>
      <w:marRight w:val="0"/>
      <w:marTop w:val="0"/>
      <w:marBottom w:val="0"/>
      <w:divBdr>
        <w:top w:val="none" w:sz="0" w:space="0" w:color="auto"/>
        <w:left w:val="none" w:sz="0" w:space="0" w:color="auto"/>
        <w:bottom w:val="none" w:sz="0" w:space="0" w:color="auto"/>
        <w:right w:val="none" w:sz="0" w:space="0" w:color="auto"/>
      </w:divBdr>
      <w:divsChild>
        <w:div w:id="1730379610">
          <w:marLeft w:val="0"/>
          <w:marRight w:val="0"/>
          <w:marTop w:val="0"/>
          <w:marBottom w:val="0"/>
          <w:divBdr>
            <w:top w:val="none" w:sz="0" w:space="0" w:color="auto"/>
            <w:left w:val="none" w:sz="0" w:space="0" w:color="auto"/>
            <w:bottom w:val="none" w:sz="0" w:space="0" w:color="auto"/>
            <w:right w:val="none" w:sz="0" w:space="0" w:color="auto"/>
          </w:divBdr>
          <w:divsChild>
            <w:div w:id="1613438797">
              <w:marLeft w:val="0"/>
              <w:marRight w:val="0"/>
              <w:marTop w:val="0"/>
              <w:marBottom w:val="0"/>
              <w:divBdr>
                <w:top w:val="none" w:sz="0" w:space="0" w:color="auto"/>
                <w:left w:val="none" w:sz="0" w:space="0" w:color="auto"/>
                <w:bottom w:val="none" w:sz="0" w:space="0" w:color="auto"/>
                <w:right w:val="none" w:sz="0" w:space="0" w:color="auto"/>
              </w:divBdr>
              <w:divsChild>
                <w:div w:id="851186665">
                  <w:marLeft w:val="0"/>
                  <w:marRight w:val="0"/>
                  <w:marTop w:val="0"/>
                  <w:marBottom w:val="0"/>
                  <w:divBdr>
                    <w:top w:val="none" w:sz="0" w:space="0" w:color="auto"/>
                    <w:left w:val="none" w:sz="0" w:space="0" w:color="auto"/>
                    <w:bottom w:val="none" w:sz="0" w:space="0" w:color="auto"/>
                    <w:right w:val="none" w:sz="0" w:space="0" w:color="auto"/>
                  </w:divBdr>
                  <w:divsChild>
                    <w:div w:id="1484614842">
                      <w:marLeft w:val="0"/>
                      <w:marRight w:val="0"/>
                      <w:marTop w:val="0"/>
                      <w:marBottom w:val="0"/>
                      <w:divBdr>
                        <w:top w:val="single" w:sz="24" w:space="0" w:color="E8E8E8"/>
                        <w:left w:val="none" w:sz="0" w:space="0" w:color="auto"/>
                        <w:bottom w:val="none" w:sz="0" w:space="0" w:color="auto"/>
                        <w:right w:val="none" w:sz="0" w:space="0" w:color="auto"/>
                      </w:divBdr>
                      <w:divsChild>
                        <w:div w:id="439494160">
                          <w:marLeft w:val="0"/>
                          <w:marRight w:val="5415"/>
                          <w:marTop w:val="0"/>
                          <w:marBottom w:val="0"/>
                          <w:divBdr>
                            <w:top w:val="none" w:sz="0" w:space="0" w:color="auto"/>
                            <w:left w:val="none" w:sz="0" w:space="0" w:color="auto"/>
                            <w:bottom w:val="none" w:sz="0" w:space="0" w:color="auto"/>
                            <w:right w:val="none" w:sz="0" w:space="0" w:color="auto"/>
                          </w:divBdr>
                          <w:divsChild>
                            <w:div w:id="1781609142">
                              <w:marLeft w:val="0"/>
                              <w:marRight w:val="0"/>
                              <w:marTop w:val="0"/>
                              <w:marBottom w:val="0"/>
                              <w:divBdr>
                                <w:top w:val="none" w:sz="0" w:space="0" w:color="auto"/>
                                <w:left w:val="none" w:sz="0" w:space="0" w:color="auto"/>
                                <w:bottom w:val="none" w:sz="0" w:space="0" w:color="auto"/>
                                <w:right w:val="none" w:sz="0" w:space="0" w:color="auto"/>
                              </w:divBdr>
                              <w:divsChild>
                                <w:div w:id="1101336980">
                                  <w:marLeft w:val="0"/>
                                  <w:marRight w:val="0"/>
                                  <w:marTop w:val="0"/>
                                  <w:marBottom w:val="0"/>
                                  <w:divBdr>
                                    <w:top w:val="single" w:sz="6" w:space="0" w:color="FFFFFF"/>
                                    <w:left w:val="none" w:sz="0" w:space="0" w:color="auto"/>
                                    <w:bottom w:val="none" w:sz="0" w:space="0" w:color="auto"/>
                                    <w:right w:val="none" w:sz="0" w:space="0" w:color="auto"/>
                                  </w:divBdr>
                                  <w:divsChild>
                                    <w:div w:id="1240402473">
                                      <w:marLeft w:val="0"/>
                                      <w:marRight w:val="0"/>
                                      <w:marTop w:val="0"/>
                                      <w:marBottom w:val="0"/>
                                      <w:divBdr>
                                        <w:top w:val="none" w:sz="0" w:space="0" w:color="auto"/>
                                        <w:left w:val="none" w:sz="0" w:space="0" w:color="auto"/>
                                        <w:bottom w:val="none" w:sz="0" w:space="0" w:color="auto"/>
                                        <w:right w:val="none" w:sz="0" w:space="0" w:color="auto"/>
                                      </w:divBdr>
                                      <w:divsChild>
                                        <w:div w:id="2066954663">
                                          <w:marLeft w:val="0"/>
                                          <w:marRight w:val="0"/>
                                          <w:marTop w:val="0"/>
                                          <w:marBottom w:val="0"/>
                                          <w:divBdr>
                                            <w:top w:val="none" w:sz="0" w:space="0" w:color="auto"/>
                                            <w:left w:val="none" w:sz="0" w:space="0" w:color="auto"/>
                                            <w:bottom w:val="none" w:sz="0" w:space="0" w:color="auto"/>
                                            <w:right w:val="none" w:sz="0" w:space="0" w:color="auto"/>
                                          </w:divBdr>
                                          <w:divsChild>
                                            <w:div w:id="262225594">
                                              <w:marLeft w:val="0"/>
                                              <w:marRight w:val="0"/>
                                              <w:marTop w:val="0"/>
                                              <w:marBottom w:val="0"/>
                                              <w:divBdr>
                                                <w:top w:val="none" w:sz="0" w:space="0" w:color="auto"/>
                                                <w:left w:val="none" w:sz="0" w:space="0" w:color="auto"/>
                                                <w:bottom w:val="none" w:sz="0" w:space="0" w:color="auto"/>
                                                <w:right w:val="none" w:sz="0" w:space="0" w:color="auto"/>
                                              </w:divBdr>
                                              <w:divsChild>
                                                <w:div w:id="1222252613">
                                                  <w:marLeft w:val="45"/>
                                                  <w:marRight w:val="75"/>
                                                  <w:marTop w:val="0"/>
                                                  <w:marBottom w:val="0"/>
                                                  <w:divBdr>
                                                    <w:top w:val="none" w:sz="0" w:space="0" w:color="auto"/>
                                                    <w:left w:val="none" w:sz="0" w:space="0" w:color="auto"/>
                                                    <w:bottom w:val="none" w:sz="0" w:space="0" w:color="auto"/>
                                                    <w:right w:val="none" w:sz="0" w:space="0" w:color="auto"/>
                                                  </w:divBdr>
                                                  <w:divsChild>
                                                    <w:div w:id="1954940253">
                                                      <w:marLeft w:val="0"/>
                                                      <w:marRight w:val="0"/>
                                                      <w:marTop w:val="0"/>
                                                      <w:marBottom w:val="0"/>
                                                      <w:divBdr>
                                                        <w:top w:val="none" w:sz="0" w:space="0" w:color="auto"/>
                                                        <w:left w:val="none" w:sz="0" w:space="0" w:color="auto"/>
                                                        <w:bottom w:val="none" w:sz="0" w:space="0" w:color="auto"/>
                                                        <w:right w:val="none" w:sz="0" w:space="0" w:color="auto"/>
                                                      </w:divBdr>
                                                      <w:divsChild>
                                                        <w:div w:id="405225096">
                                                          <w:marLeft w:val="0"/>
                                                          <w:marRight w:val="0"/>
                                                          <w:marTop w:val="0"/>
                                                          <w:marBottom w:val="0"/>
                                                          <w:divBdr>
                                                            <w:top w:val="none" w:sz="0" w:space="0" w:color="auto"/>
                                                            <w:left w:val="none" w:sz="0" w:space="0" w:color="auto"/>
                                                            <w:bottom w:val="none" w:sz="0" w:space="0" w:color="auto"/>
                                                            <w:right w:val="none" w:sz="0" w:space="0" w:color="auto"/>
                                                          </w:divBdr>
                                                          <w:divsChild>
                                                            <w:div w:id="2093164724">
                                                              <w:marLeft w:val="0"/>
                                                              <w:marRight w:val="0"/>
                                                              <w:marTop w:val="0"/>
                                                              <w:marBottom w:val="0"/>
                                                              <w:divBdr>
                                                                <w:top w:val="none" w:sz="0" w:space="0" w:color="auto"/>
                                                                <w:left w:val="none" w:sz="0" w:space="0" w:color="auto"/>
                                                                <w:bottom w:val="none" w:sz="0" w:space="0" w:color="auto"/>
                                                                <w:right w:val="none" w:sz="0" w:space="0" w:color="auto"/>
                                                              </w:divBdr>
                                                              <w:divsChild>
                                                                <w:div w:id="1230724336">
                                                                  <w:marLeft w:val="0"/>
                                                                  <w:marRight w:val="0"/>
                                                                  <w:marTop w:val="0"/>
                                                                  <w:marBottom w:val="0"/>
                                                                  <w:divBdr>
                                                                    <w:top w:val="none" w:sz="0" w:space="0" w:color="auto"/>
                                                                    <w:left w:val="none" w:sz="0" w:space="0" w:color="auto"/>
                                                                    <w:bottom w:val="none" w:sz="0" w:space="0" w:color="auto"/>
                                                                    <w:right w:val="none" w:sz="0" w:space="0" w:color="auto"/>
                                                                  </w:divBdr>
                                                                  <w:divsChild>
                                                                    <w:div w:id="1369912869">
                                                                      <w:marLeft w:val="0"/>
                                                                      <w:marRight w:val="0"/>
                                                                      <w:marTop w:val="0"/>
                                                                      <w:marBottom w:val="0"/>
                                                                      <w:divBdr>
                                                                        <w:top w:val="none" w:sz="0" w:space="0" w:color="auto"/>
                                                                        <w:left w:val="none" w:sz="0" w:space="0" w:color="auto"/>
                                                                        <w:bottom w:val="none" w:sz="0" w:space="0" w:color="auto"/>
                                                                        <w:right w:val="none" w:sz="0" w:space="0" w:color="auto"/>
                                                                      </w:divBdr>
                                                                      <w:divsChild>
                                                                        <w:div w:id="38260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091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ED8BD-FA05-406B-AEF9-E387A1A2C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646</Words>
  <Characters>3685</Characters>
  <Application>Microsoft Office Word</Application>
  <DocSecurity>0</DocSecurity>
  <Lines>30</Lines>
  <Paragraphs>8</Paragraphs>
  <ScaleCrop>false</ScaleCrop>
  <Company>Adimmune Corp.</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Chang</dc:creator>
  <cp:lastModifiedBy>珮琪 吳</cp:lastModifiedBy>
  <cp:revision>4</cp:revision>
  <cp:lastPrinted>2017-11-13T06:13:00Z</cp:lastPrinted>
  <dcterms:created xsi:type="dcterms:W3CDTF">2019-10-22T00:46:00Z</dcterms:created>
  <dcterms:modified xsi:type="dcterms:W3CDTF">2019-10-25T03:07:00Z</dcterms:modified>
</cp:coreProperties>
</file>