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02ABE" w14:textId="77777777" w:rsidR="00693B7D" w:rsidRPr="00A14B67" w:rsidRDefault="00693B7D" w:rsidP="00693B7D">
      <w:pPr>
        <w:spacing w:line="420" w:lineRule="auto"/>
        <w:jc w:val="both"/>
        <w:outlineLvl w:val="0"/>
        <w:rPr>
          <w:rFonts w:ascii="Arial" w:hAnsi="Arial" w:cs="Arial"/>
          <w:b/>
          <w:bCs/>
          <w:color w:val="000000"/>
          <w:sz w:val="20"/>
          <w:szCs w:val="20"/>
          <w:shd w:val="clear" w:color="auto" w:fill="FFFFFF"/>
        </w:rPr>
      </w:pPr>
      <w:r w:rsidRPr="00A14B67">
        <w:rPr>
          <w:rFonts w:ascii="Arial" w:hAnsi="Arial" w:cs="Arial"/>
          <w:b/>
          <w:bCs/>
          <w:color w:val="000000"/>
          <w:sz w:val="20"/>
          <w:szCs w:val="20"/>
          <w:shd w:val="clear" w:color="auto" w:fill="FFFFFF"/>
        </w:rPr>
        <w:t xml:space="preserve">TITLE: </w:t>
      </w:r>
    </w:p>
    <w:p w14:paraId="2CD2336E" w14:textId="77777777" w:rsidR="009215DF" w:rsidRPr="007712FF" w:rsidRDefault="009215DF" w:rsidP="009215DF">
      <w:pPr>
        <w:autoSpaceDE w:val="0"/>
        <w:autoSpaceDN w:val="0"/>
        <w:adjustRightInd w:val="0"/>
        <w:spacing w:line="420" w:lineRule="auto"/>
        <w:jc w:val="both"/>
        <w:outlineLvl w:val="0"/>
        <w:rPr>
          <w:rFonts w:ascii="Arial" w:hAnsi="Arial" w:cs="Arial"/>
          <w:b/>
          <w:color w:val="000000" w:themeColor="text1"/>
          <w:sz w:val="20"/>
          <w:szCs w:val="20"/>
        </w:rPr>
      </w:pPr>
      <w:r w:rsidRPr="00D94FD1">
        <w:rPr>
          <w:rFonts w:ascii="Arial" w:hAnsi="Arial" w:cs="Arial"/>
          <w:sz w:val="20"/>
          <w:szCs w:val="20"/>
        </w:rPr>
        <w:t>Spatial Characterization of Tumor Perfusion Properties from 3D DCE-US Perfusion Maps are Early Predictors of Cancer Treatment Response</w:t>
      </w:r>
    </w:p>
    <w:p w14:paraId="7CEC113D" w14:textId="77777777" w:rsidR="00693B7D" w:rsidRPr="00A14B67" w:rsidRDefault="00693B7D" w:rsidP="00693B7D">
      <w:pPr>
        <w:autoSpaceDE w:val="0"/>
        <w:autoSpaceDN w:val="0"/>
        <w:adjustRightInd w:val="0"/>
        <w:spacing w:line="420" w:lineRule="auto"/>
        <w:jc w:val="both"/>
        <w:outlineLvl w:val="0"/>
        <w:rPr>
          <w:rFonts w:ascii="Arial" w:hAnsi="Arial" w:cs="Arial"/>
          <w:b/>
          <w:color w:val="000000" w:themeColor="text1"/>
          <w:sz w:val="20"/>
          <w:szCs w:val="20"/>
        </w:rPr>
      </w:pPr>
      <w:r w:rsidRPr="00A14B67">
        <w:rPr>
          <w:rFonts w:ascii="Arial" w:hAnsi="Arial" w:cs="Arial"/>
          <w:b/>
          <w:color w:val="000000" w:themeColor="text1"/>
          <w:sz w:val="20"/>
          <w:szCs w:val="20"/>
        </w:rPr>
        <w:t>ON</w:t>
      </w:r>
      <w:bookmarkStart w:id="0" w:name="_GoBack"/>
      <w:bookmarkEnd w:id="0"/>
      <w:r w:rsidRPr="00A14B67">
        <w:rPr>
          <w:rFonts w:ascii="Arial" w:hAnsi="Arial" w:cs="Arial"/>
          <w:b/>
          <w:color w:val="000000" w:themeColor="text1"/>
          <w:sz w:val="20"/>
          <w:szCs w:val="20"/>
        </w:rPr>
        <w:t>E SENTENCE SUMMARY:</w:t>
      </w:r>
    </w:p>
    <w:p w14:paraId="075E471A" w14:textId="77777777" w:rsidR="00693B7D" w:rsidRPr="00A14B67" w:rsidRDefault="00693B7D" w:rsidP="00693B7D">
      <w:pPr>
        <w:autoSpaceDE w:val="0"/>
        <w:autoSpaceDN w:val="0"/>
        <w:adjustRightInd w:val="0"/>
        <w:spacing w:line="420" w:lineRule="auto"/>
        <w:jc w:val="both"/>
        <w:rPr>
          <w:rFonts w:ascii="Arial" w:hAnsi="Arial" w:cs="Arial"/>
          <w:sz w:val="20"/>
          <w:szCs w:val="20"/>
        </w:rPr>
      </w:pPr>
      <w:r w:rsidRPr="00A14B67">
        <w:rPr>
          <w:rFonts w:ascii="Arial" w:hAnsi="Arial" w:cs="Arial"/>
          <w:sz w:val="20"/>
          <w:szCs w:val="20"/>
        </w:rPr>
        <w:t xml:space="preserve">3D contrast ultrasound perfusion maps yield multi-parametric machine learning models that can longitudinally discriminate between responder and non-responder tumors. </w:t>
      </w:r>
    </w:p>
    <w:p w14:paraId="77F544CE" w14:textId="77777777" w:rsidR="00A06A7D" w:rsidRPr="00A14B67" w:rsidRDefault="00A06A7D" w:rsidP="00A06A7D">
      <w:pPr>
        <w:widowControl w:val="0"/>
        <w:autoSpaceDE w:val="0"/>
        <w:autoSpaceDN w:val="0"/>
        <w:adjustRightInd w:val="0"/>
        <w:spacing w:line="420" w:lineRule="auto"/>
        <w:jc w:val="both"/>
        <w:outlineLvl w:val="0"/>
        <w:rPr>
          <w:rFonts w:ascii="Arial" w:hAnsi="Arial" w:cs="Arial"/>
          <w:color w:val="000000" w:themeColor="text1"/>
          <w:sz w:val="20"/>
          <w:szCs w:val="20"/>
        </w:rPr>
      </w:pPr>
      <w:r w:rsidRPr="00A14B67">
        <w:rPr>
          <w:rFonts w:ascii="Arial" w:hAnsi="Arial" w:cs="Arial"/>
          <w:b/>
          <w:color w:val="000000" w:themeColor="text1"/>
          <w:sz w:val="20"/>
          <w:szCs w:val="20"/>
        </w:rPr>
        <w:t>AUTHORS:</w:t>
      </w:r>
      <w:r w:rsidRPr="00A14B67">
        <w:rPr>
          <w:rFonts w:ascii="Arial" w:hAnsi="Arial" w:cs="Arial"/>
          <w:color w:val="000000" w:themeColor="text1"/>
          <w:sz w:val="20"/>
          <w:szCs w:val="20"/>
        </w:rPr>
        <w:t xml:space="preserve"> </w:t>
      </w:r>
    </w:p>
    <w:p w14:paraId="175D972A" w14:textId="77777777" w:rsidR="00A06A7D" w:rsidRPr="00A14B67" w:rsidRDefault="00A06A7D" w:rsidP="00A06A7D">
      <w:pPr>
        <w:widowControl w:val="0"/>
        <w:autoSpaceDE w:val="0"/>
        <w:autoSpaceDN w:val="0"/>
        <w:adjustRightInd w:val="0"/>
        <w:spacing w:line="420" w:lineRule="auto"/>
        <w:jc w:val="both"/>
        <w:rPr>
          <w:rFonts w:ascii="Arial" w:hAnsi="Arial" w:cs="Arial"/>
          <w:sz w:val="20"/>
          <w:szCs w:val="20"/>
        </w:rPr>
      </w:pPr>
      <w:r w:rsidRPr="00A14B67">
        <w:rPr>
          <w:rFonts w:ascii="Arial" w:hAnsi="Arial" w:cs="Arial"/>
          <w:color w:val="000000" w:themeColor="text1"/>
          <w:sz w:val="20"/>
          <w:szCs w:val="20"/>
        </w:rPr>
        <w:t>Ahmed El Kaffas, PhD</w:t>
      </w:r>
      <w:r w:rsidRPr="00A14B67">
        <w:rPr>
          <w:rFonts w:ascii="Arial" w:hAnsi="Arial" w:cs="Arial"/>
          <w:color w:val="000000" w:themeColor="text1"/>
          <w:sz w:val="20"/>
          <w:szCs w:val="20"/>
          <w:vertAlign w:val="superscript"/>
        </w:rPr>
        <w:t>1,2</w:t>
      </w:r>
      <w:r w:rsidRPr="00A14B67">
        <w:rPr>
          <w:rFonts w:ascii="Arial" w:hAnsi="Arial" w:cs="Arial"/>
          <w:color w:val="000000" w:themeColor="text1"/>
          <w:sz w:val="20"/>
          <w:szCs w:val="20"/>
        </w:rPr>
        <w:t xml:space="preserve">, </w:t>
      </w:r>
      <w:r w:rsidRPr="00A14B67">
        <w:rPr>
          <w:rFonts w:ascii="Arial" w:hAnsi="Arial" w:cs="Arial"/>
          <w:sz w:val="20"/>
          <w:szCs w:val="20"/>
        </w:rPr>
        <w:t>Assaf Hoogi, PhD</w:t>
      </w:r>
      <w:r w:rsidRPr="00A14B67">
        <w:rPr>
          <w:rFonts w:ascii="Arial" w:hAnsi="Arial" w:cs="Arial"/>
          <w:sz w:val="20"/>
          <w:szCs w:val="20"/>
          <w:vertAlign w:val="superscript"/>
        </w:rPr>
        <w:t>2</w:t>
      </w:r>
      <w:r w:rsidRPr="00A14B67">
        <w:rPr>
          <w:rFonts w:ascii="Arial" w:hAnsi="Arial" w:cs="Arial"/>
          <w:sz w:val="20"/>
          <w:szCs w:val="20"/>
        </w:rPr>
        <w:t>, Jianhua Zhou, MD</w:t>
      </w:r>
      <w:r w:rsidRPr="00A14B67">
        <w:rPr>
          <w:rFonts w:ascii="Arial" w:hAnsi="Arial" w:cs="Arial"/>
          <w:sz w:val="20"/>
          <w:szCs w:val="20"/>
          <w:vertAlign w:val="superscript"/>
        </w:rPr>
        <w:t>1</w:t>
      </w:r>
      <w:r w:rsidRPr="00A14B67">
        <w:rPr>
          <w:rFonts w:ascii="Arial" w:hAnsi="Arial" w:cs="Arial"/>
          <w:sz w:val="20"/>
          <w:szCs w:val="20"/>
        </w:rPr>
        <w:t>, Isabelle Durot, MD</w:t>
      </w:r>
      <w:r w:rsidRPr="00A14B67">
        <w:rPr>
          <w:rFonts w:ascii="Arial" w:hAnsi="Arial" w:cs="Arial"/>
          <w:sz w:val="20"/>
          <w:szCs w:val="20"/>
          <w:vertAlign w:val="superscript"/>
        </w:rPr>
        <w:t>1</w:t>
      </w:r>
      <w:r w:rsidRPr="00A14B67">
        <w:rPr>
          <w:rFonts w:ascii="Arial" w:hAnsi="Arial" w:cs="Arial"/>
          <w:sz w:val="20"/>
          <w:szCs w:val="20"/>
        </w:rPr>
        <w:t>, Huaijun Wang, MD PhD</w:t>
      </w:r>
      <w:r w:rsidRPr="00A14B67">
        <w:rPr>
          <w:rFonts w:ascii="Arial" w:hAnsi="Arial" w:cs="Arial"/>
          <w:sz w:val="20"/>
          <w:szCs w:val="20"/>
          <w:vertAlign w:val="superscript"/>
        </w:rPr>
        <w:t>1</w:t>
      </w:r>
      <w:r w:rsidRPr="00A14B67">
        <w:rPr>
          <w:rFonts w:ascii="Arial" w:hAnsi="Arial" w:cs="Arial"/>
          <w:sz w:val="20"/>
          <w:szCs w:val="20"/>
        </w:rPr>
        <w:t>, Jarrett Rosenberg, PhD</w:t>
      </w:r>
      <w:r w:rsidRPr="00A14B67">
        <w:rPr>
          <w:rFonts w:ascii="Arial" w:hAnsi="Arial" w:cs="Arial"/>
          <w:sz w:val="20"/>
          <w:szCs w:val="20"/>
          <w:vertAlign w:val="superscript"/>
        </w:rPr>
        <w:t>1</w:t>
      </w:r>
      <w:r w:rsidRPr="00A14B67">
        <w:rPr>
          <w:rFonts w:ascii="Arial" w:hAnsi="Arial" w:cs="Arial"/>
          <w:sz w:val="20"/>
          <w:szCs w:val="20"/>
        </w:rPr>
        <w:t>, Albert Tseng</w:t>
      </w:r>
      <w:r w:rsidRPr="00A14B67">
        <w:rPr>
          <w:rFonts w:ascii="Arial" w:hAnsi="Arial" w:cs="Arial"/>
          <w:sz w:val="20"/>
          <w:szCs w:val="20"/>
          <w:vertAlign w:val="superscript"/>
        </w:rPr>
        <w:t>1</w:t>
      </w:r>
      <w:r w:rsidRPr="00A14B67">
        <w:rPr>
          <w:rFonts w:ascii="Arial" w:hAnsi="Arial" w:cs="Arial"/>
          <w:sz w:val="20"/>
          <w:szCs w:val="20"/>
        </w:rPr>
        <w:t>, Hersh Sagreiya, MD</w:t>
      </w:r>
      <w:r w:rsidRPr="00A14B67">
        <w:rPr>
          <w:rFonts w:ascii="Arial" w:hAnsi="Arial" w:cs="Arial"/>
          <w:sz w:val="20"/>
          <w:szCs w:val="20"/>
          <w:vertAlign w:val="superscript"/>
        </w:rPr>
        <w:t>2</w:t>
      </w:r>
      <w:r w:rsidRPr="00A14B67">
        <w:rPr>
          <w:rFonts w:ascii="Arial" w:hAnsi="Arial" w:cs="Arial"/>
          <w:sz w:val="20"/>
          <w:szCs w:val="20"/>
        </w:rPr>
        <w:t>, Alireza Akhbardeh, PhD</w:t>
      </w:r>
      <w:r w:rsidRPr="00A14B67">
        <w:rPr>
          <w:rFonts w:ascii="Arial" w:hAnsi="Arial" w:cs="Arial"/>
          <w:sz w:val="20"/>
          <w:szCs w:val="20"/>
          <w:vertAlign w:val="superscript"/>
        </w:rPr>
        <w:t>1</w:t>
      </w:r>
      <w:r w:rsidRPr="00A14B67">
        <w:rPr>
          <w:rFonts w:ascii="Arial" w:hAnsi="Arial" w:cs="Arial"/>
          <w:sz w:val="20"/>
          <w:szCs w:val="20"/>
        </w:rPr>
        <w:t>, Daniel L. Rubin, MD</w:t>
      </w:r>
      <w:r w:rsidRPr="00A14B67">
        <w:rPr>
          <w:rFonts w:ascii="Arial" w:hAnsi="Arial" w:cs="Arial"/>
          <w:sz w:val="20"/>
          <w:szCs w:val="20"/>
          <w:vertAlign w:val="superscript"/>
        </w:rPr>
        <w:t>2</w:t>
      </w:r>
      <w:r w:rsidRPr="00A14B67">
        <w:rPr>
          <w:rFonts w:ascii="Arial" w:hAnsi="Arial" w:cs="Arial"/>
          <w:sz w:val="20"/>
          <w:szCs w:val="20"/>
        </w:rPr>
        <w:t>, Aya Kamaya, MD</w:t>
      </w:r>
      <w:r w:rsidRPr="00A14B67">
        <w:rPr>
          <w:rFonts w:ascii="Arial" w:hAnsi="Arial" w:cs="Arial"/>
          <w:sz w:val="20"/>
          <w:szCs w:val="20"/>
          <w:vertAlign w:val="superscript"/>
        </w:rPr>
        <w:t>1</w:t>
      </w:r>
      <w:r w:rsidRPr="00A14B67">
        <w:rPr>
          <w:rFonts w:ascii="Arial" w:hAnsi="Arial" w:cs="Arial"/>
          <w:sz w:val="20"/>
          <w:szCs w:val="20"/>
        </w:rPr>
        <w:t>, Dimitre Hristov, PhD</w:t>
      </w:r>
      <w:r w:rsidRPr="00A14B67">
        <w:rPr>
          <w:rFonts w:ascii="Arial" w:hAnsi="Arial" w:cs="Arial"/>
          <w:sz w:val="20"/>
          <w:szCs w:val="20"/>
          <w:vertAlign w:val="superscript"/>
        </w:rPr>
        <w:t>3</w:t>
      </w:r>
      <w:r w:rsidRPr="00A14B67">
        <w:rPr>
          <w:rFonts w:ascii="Arial" w:hAnsi="Arial" w:cs="Arial"/>
          <w:sz w:val="20"/>
          <w:szCs w:val="20"/>
        </w:rPr>
        <w:t>, Jürgen K. Willmann, MD</w:t>
      </w:r>
      <w:r w:rsidRPr="00A14B67">
        <w:rPr>
          <w:rFonts w:ascii="Arial" w:hAnsi="Arial" w:cs="Arial"/>
          <w:sz w:val="20"/>
          <w:szCs w:val="20"/>
          <w:vertAlign w:val="superscript"/>
        </w:rPr>
        <w:t>1</w:t>
      </w:r>
    </w:p>
    <w:p w14:paraId="7C7CDCBA" w14:textId="77777777" w:rsidR="00A06A7D" w:rsidRPr="00A14B67" w:rsidRDefault="00A06A7D" w:rsidP="00A06A7D">
      <w:pPr>
        <w:widowControl w:val="0"/>
        <w:autoSpaceDE w:val="0"/>
        <w:autoSpaceDN w:val="0"/>
        <w:adjustRightInd w:val="0"/>
        <w:spacing w:line="420" w:lineRule="auto"/>
        <w:jc w:val="both"/>
        <w:outlineLvl w:val="0"/>
        <w:rPr>
          <w:rFonts w:ascii="Arial" w:hAnsi="Arial" w:cs="Arial"/>
          <w:b/>
          <w:sz w:val="20"/>
          <w:szCs w:val="20"/>
        </w:rPr>
      </w:pPr>
      <w:r w:rsidRPr="00A14B67">
        <w:rPr>
          <w:rFonts w:ascii="Arial" w:hAnsi="Arial" w:cs="Arial"/>
          <w:b/>
          <w:sz w:val="20"/>
          <w:szCs w:val="20"/>
        </w:rPr>
        <w:t>AFFILIATIONS:</w:t>
      </w:r>
    </w:p>
    <w:p w14:paraId="5D2CCDCB" w14:textId="77777777" w:rsidR="00A06A7D" w:rsidRPr="00A14B67" w:rsidRDefault="00A06A7D" w:rsidP="00A06A7D">
      <w:pPr>
        <w:spacing w:line="420" w:lineRule="auto"/>
        <w:jc w:val="both"/>
        <w:rPr>
          <w:rFonts w:ascii="Arial" w:hAnsi="Arial" w:cs="Arial"/>
          <w:sz w:val="20"/>
          <w:szCs w:val="20"/>
        </w:rPr>
      </w:pPr>
      <w:r w:rsidRPr="00A14B67">
        <w:rPr>
          <w:rFonts w:ascii="Arial" w:hAnsi="Arial" w:cs="Arial"/>
          <w:sz w:val="20"/>
          <w:szCs w:val="20"/>
          <w:vertAlign w:val="superscript"/>
        </w:rPr>
        <w:t>1</w:t>
      </w:r>
      <w:r w:rsidRPr="00A14B67">
        <w:rPr>
          <w:rFonts w:ascii="Arial" w:hAnsi="Arial" w:cs="Arial"/>
          <w:sz w:val="20"/>
          <w:szCs w:val="20"/>
        </w:rPr>
        <w:t>Department of Radiology, Molecular Imaging Program at Stanford, School of Medicine, Stanford University, Stanford, CA</w:t>
      </w:r>
    </w:p>
    <w:p w14:paraId="1ADFD943" w14:textId="77777777" w:rsidR="00A06A7D" w:rsidRPr="00A14B67" w:rsidRDefault="00A06A7D" w:rsidP="00A06A7D">
      <w:pPr>
        <w:widowControl w:val="0"/>
        <w:autoSpaceDE w:val="0"/>
        <w:autoSpaceDN w:val="0"/>
        <w:adjustRightInd w:val="0"/>
        <w:spacing w:line="420" w:lineRule="auto"/>
        <w:jc w:val="both"/>
        <w:rPr>
          <w:rFonts w:ascii="Arial" w:hAnsi="Arial" w:cs="Arial"/>
          <w:sz w:val="20"/>
          <w:szCs w:val="20"/>
        </w:rPr>
      </w:pPr>
      <w:r w:rsidRPr="00A14B67">
        <w:rPr>
          <w:rFonts w:ascii="Arial" w:hAnsi="Arial" w:cs="Arial"/>
          <w:sz w:val="20"/>
          <w:szCs w:val="20"/>
          <w:vertAlign w:val="superscript"/>
        </w:rPr>
        <w:t>2</w:t>
      </w:r>
      <w:r w:rsidRPr="00A14B67">
        <w:rPr>
          <w:rFonts w:ascii="Arial" w:hAnsi="Arial" w:cs="Arial"/>
          <w:sz w:val="20"/>
          <w:szCs w:val="20"/>
        </w:rPr>
        <w:t>Department of Radiology, Integrative Biomedical Imaging Informatics at Stanford, School of Medicine, Stanford University, Stanford, California</w:t>
      </w:r>
    </w:p>
    <w:p w14:paraId="189EA420" w14:textId="77777777" w:rsidR="00A06A7D" w:rsidRPr="00A14B67" w:rsidRDefault="00A06A7D" w:rsidP="00A06A7D">
      <w:pPr>
        <w:widowControl w:val="0"/>
        <w:autoSpaceDE w:val="0"/>
        <w:autoSpaceDN w:val="0"/>
        <w:adjustRightInd w:val="0"/>
        <w:spacing w:line="420" w:lineRule="auto"/>
        <w:jc w:val="both"/>
        <w:rPr>
          <w:rFonts w:ascii="Arial" w:hAnsi="Arial" w:cs="Arial"/>
          <w:b/>
          <w:color w:val="000000" w:themeColor="text1"/>
          <w:sz w:val="20"/>
          <w:szCs w:val="20"/>
        </w:rPr>
      </w:pPr>
      <w:r w:rsidRPr="00A14B67">
        <w:rPr>
          <w:rFonts w:ascii="Arial" w:hAnsi="Arial" w:cs="Arial"/>
          <w:sz w:val="20"/>
          <w:szCs w:val="20"/>
          <w:vertAlign w:val="superscript"/>
        </w:rPr>
        <w:t>3</w:t>
      </w:r>
      <w:r w:rsidRPr="00A14B67">
        <w:rPr>
          <w:rFonts w:ascii="Arial" w:hAnsi="Arial" w:cs="Arial"/>
          <w:sz w:val="20"/>
          <w:szCs w:val="20"/>
        </w:rPr>
        <w:t>Department of Radiation Oncology, School of Medicine, Stanford University, Stanford, CA</w:t>
      </w:r>
    </w:p>
    <w:p w14:paraId="190B2FBA" w14:textId="77777777" w:rsidR="00A06A7D" w:rsidRPr="00A14B67" w:rsidRDefault="00A06A7D" w:rsidP="00A06A7D">
      <w:pPr>
        <w:autoSpaceDE w:val="0"/>
        <w:autoSpaceDN w:val="0"/>
        <w:adjustRightInd w:val="0"/>
        <w:spacing w:line="420" w:lineRule="auto"/>
        <w:outlineLvl w:val="0"/>
        <w:rPr>
          <w:rFonts w:ascii="Arial" w:hAnsi="Arial" w:cs="Arial"/>
          <w:b/>
          <w:bCs/>
          <w:color w:val="000000"/>
          <w:sz w:val="20"/>
          <w:szCs w:val="20"/>
        </w:rPr>
      </w:pPr>
      <w:r w:rsidRPr="00A14B67">
        <w:rPr>
          <w:rFonts w:ascii="Arial" w:hAnsi="Arial" w:cs="Arial"/>
          <w:b/>
          <w:bCs/>
          <w:color w:val="000000"/>
          <w:sz w:val="20"/>
          <w:szCs w:val="20"/>
        </w:rPr>
        <w:t>CORRESPONDING AUTHOR:</w:t>
      </w:r>
    </w:p>
    <w:p w14:paraId="5D32ACB7" w14:textId="77777777" w:rsidR="00A06A7D" w:rsidRPr="00A14B67" w:rsidRDefault="00A06A7D" w:rsidP="00A06A7D">
      <w:pPr>
        <w:autoSpaceDE w:val="0"/>
        <w:autoSpaceDN w:val="0"/>
        <w:adjustRightInd w:val="0"/>
        <w:spacing w:line="420" w:lineRule="auto"/>
        <w:rPr>
          <w:rFonts w:ascii="Arial" w:eastAsia="ArialMT" w:hAnsi="Arial" w:cs="Arial"/>
          <w:color w:val="000000"/>
          <w:sz w:val="20"/>
          <w:szCs w:val="20"/>
        </w:rPr>
      </w:pPr>
      <w:r w:rsidRPr="00A14B67">
        <w:rPr>
          <w:rFonts w:ascii="Arial" w:eastAsia="ArialMT" w:hAnsi="Arial" w:cs="Arial"/>
          <w:color w:val="000000"/>
          <w:sz w:val="20"/>
          <w:szCs w:val="20"/>
        </w:rPr>
        <w:t>Ahmed El Kaffas, Ph.D.</w:t>
      </w:r>
    </w:p>
    <w:p w14:paraId="7C18C085" w14:textId="77777777" w:rsidR="00A06A7D" w:rsidRPr="00A14B67" w:rsidRDefault="00A06A7D" w:rsidP="00A06A7D">
      <w:pPr>
        <w:autoSpaceDE w:val="0"/>
        <w:autoSpaceDN w:val="0"/>
        <w:adjustRightInd w:val="0"/>
        <w:spacing w:line="420" w:lineRule="auto"/>
        <w:rPr>
          <w:rFonts w:ascii="Arial" w:eastAsia="ArialMT" w:hAnsi="Arial" w:cs="Arial"/>
          <w:color w:val="000000"/>
          <w:sz w:val="20"/>
          <w:szCs w:val="20"/>
        </w:rPr>
      </w:pPr>
      <w:r w:rsidRPr="00A14B67">
        <w:rPr>
          <w:rFonts w:ascii="Arial" w:eastAsia="ArialMT" w:hAnsi="Arial" w:cs="Arial"/>
          <w:color w:val="000000"/>
          <w:sz w:val="20"/>
          <w:szCs w:val="20"/>
        </w:rPr>
        <w:t>Department of Radiology</w:t>
      </w:r>
    </w:p>
    <w:p w14:paraId="5C9E9890" w14:textId="77777777" w:rsidR="00A06A7D" w:rsidRPr="00A14B67" w:rsidRDefault="00A06A7D" w:rsidP="00A06A7D">
      <w:pPr>
        <w:autoSpaceDE w:val="0"/>
        <w:autoSpaceDN w:val="0"/>
        <w:adjustRightInd w:val="0"/>
        <w:spacing w:line="420" w:lineRule="auto"/>
        <w:rPr>
          <w:rFonts w:ascii="Arial" w:eastAsia="ArialMT" w:hAnsi="Arial" w:cs="Arial"/>
          <w:color w:val="000000"/>
          <w:sz w:val="20"/>
          <w:szCs w:val="20"/>
        </w:rPr>
      </w:pPr>
      <w:r w:rsidRPr="00A14B67">
        <w:rPr>
          <w:rFonts w:ascii="Arial" w:eastAsia="ArialMT" w:hAnsi="Arial" w:cs="Arial"/>
          <w:color w:val="000000"/>
          <w:sz w:val="20"/>
          <w:szCs w:val="20"/>
        </w:rPr>
        <w:t>School of Medicine, Stanford University</w:t>
      </w:r>
    </w:p>
    <w:p w14:paraId="4B4FBC08" w14:textId="77777777" w:rsidR="00A06A7D" w:rsidRPr="00A14B67" w:rsidRDefault="00A06A7D" w:rsidP="00A06A7D">
      <w:pPr>
        <w:autoSpaceDE w:val="0"/>
        <w:autoSpaceDN w:val="0"/>
        <w:adjustRightInd w:val="0"/>
        <w:spacing w:line="420" w:lineRule="auto"/>
        <w:rPr>
          <w:rFonts w:ascii="Arial" w:eastAsia="ArialMT" w:hAnsi="Arial" w:cs="Arial"/>
          <w:color w:val="000000"/>
          <w:sz w:val="20"/>
          <w:szCs w:val="20"/>
        </w:rPr>
      </w:pPr>
      <w:r w:rsidRPr="00A14B67">
        <w:rPr>
          <w:rFonts w:ascii="Arial" w:eastAsia="ArialMT" w:hAnsi="Arial" w:cs="Arial"/>
          <w:color w:val="000000"/>
          <w:sz w:val="20"/>
          <w:szCs w:val="20"/>
        </w:rPr>
        <w:t>1201 Welch Road, Rm P097, Stanford, CA 94305</w:t>
      </w:r>
    </w:p>
    <w:p w14:paraId="4CED5214" w14:textId="77777777" w:rsidR="00A06A7D" w:rsidRPr="00A14B67" w:rsidRDefault="00A06A7D" w:rsidP="00A06A7D">
      <w:pPr>
        <w:autoSpaceDE w:val="0"/>
        <w:autoSpaceDN w:val="0"/>
        <w:adjustRightInd w:val="0"/>
        <w:spacing w:line="420" w:lineRule="auto"/>
        <w:rPr>
          <w:rFonts w:ascii="Arial" w:eastAsia="ArialMT" w:hAnsi="Arial" w:cs="Arial"/>
          <w:color w:val="000000"/>
          <w:sz w:val="20"/>
          <w:szCs w:val="20"/>
        </w:rPr>
      </w:pPr>
      <w:r w:rsidRPr="00A14B67">
        <w:rPr>
          <w:rFonts w:ascii="Arial" w:eastAsia="ArialMT" w:hAnsi="Arial" w:cs="Arial"/>
          <w:color w:val="000000"/>
          <w:sz w:val="20"/>
          <w:szCs w:val="20"/>
        </w:rPr>
        <w:t>P: 650-353-6495; Fax: 650-723-1909</w:t>
      </w:r>
    </w:p>
    <w:p w14:paraId="47729492" w14:textId="77777777" w:rsidR="00A06A7D" w:rsidRPr="00A14B67" w:rsidRDefault="00A06A7D" w:rsidP="00A06A7D">
      <w:pPr>
        <w:spacing w:line="420" w:lineRule="auto"/>
        <w:jc w:val="both"/>
        <w:rPr>
          <w:rStyle w:val="Hyperlink"/>
          <w:rFonts w:ascii="Arial" w:eastAsia="ArialMT" w:hAnsi="Arial" w:cs="Arial"/>
          <w:color w:val="000000" w:themeColor="text1"/>
          <w:sz w:val="20"/>
          <w:szCs w:val="20"/>
        </w:rPr>
      </w:pPr>
      <w:r w:rsidRPr="00A14B67">
        <w:rPr>
          <w:rFonts w:ascii="Arial" w:eastAsia="ArialMT" w:hAnsi="Arial" w:cs="Arial"/>
          <w:color w:val="000000" w:themeColor="text1"/>
          <w:sz w:val="20"/>
          <w:szCs w:val="20"/>
        </w:rPr>
        <w:t>Email: elkaffas@stanford.edu</w:t>
      </w:r>
    </w:p>
    <w:p w14:paraId="1327A370" w14:textId="77777777" w:rsidR="006D21CB" w:rsidRPr="00A14B67" w:rsidRDefault="006D21CB" w:rsidP="00A06A7D">
      <w:pPr>
        <w:spacing w:line="420" w:lineRule="auto"/>
        <w:jc w:val="both"/>
        <w:rPr>
          <w:rFonts w:ascii="Arial" w:hAnsi="Arial" w:cs="Arial"/>
          <w:b/>
          <w:bCs/>
          <w:sz w:val="20"/>
          <w:szCs w:val="20"/>
        </w:rPr>
      </w:pPr>
    </w:p>
    <w:p w14:paraId="75521500" w14:textId="77777777" w:rsidR="006D21CB" w:rsidRPr="00A14B67" w:rsidRDefault="006D21CB" w:rsidP="00A06A7D">
      <w:pPr>
        <w:spacing w:line="420" w:lineRule="auto"/>
        <w:jc w:val="both"/>
        <w:rPr>
          <w:rFonts w:ascii="Arial" w:hAnsi="Arial" w:cs="Arial"/>
          <w:b/>
          <w:bCs/>
          <w:sz w:val="20"/>
          <w:szCs w:val="20"/>
        </w:rPr>
      </w:pPr>
    </w:p>
    <w:p w14:paraId="68FC9F41" w14:textId="77777777" w:rsidR="006D21CB" w:rsidRPr="00A14B67" w:rsidRDefault="006D21CB" w:rsidP="00A06A7D">
      <w:pPr>
        <w:spacing w:line="420" w:lineRule="auto"/>
        <w:jc w:val="both"/>
        <w:rPr>
          <w:rFonts w:ascii="Arial" w:hAnsi="Arial" w:cs="Arial"/>
          <w:b/>
          <w:bCs/>
          <w:sz w:val="20"/>
          <w:szCs w:val="20"/>
        </w:rPr>
      </w:pPr>
    </w:p>
    <w:p w14:paraId="3E765D00" w14:textId="77777777" w:rsidR="006D21CB" w:rsidRPr="00A14B67" w:rsidRDefault="006D21CB" w:rsidP="00A06A7D">
      <w:pPr>
        <w:spacing w:line="420" w:lineRule="auto"/>
        <w:jc w:val="both"/>
        <w:rPr>
          <w:rFonts w:ascii="Arial" w:hAnsi="Arial" w:cs="Arial"/>
          <w:b/>
          <w:bCs/>
          <w:sz w:val="20"/>
          <w:szCs w:val="20"/>
        </w:rPr>
      </w:pPr>
    </w:p>
    <w:p w14:paraId="5DDAA16A" w14:textId="77777777" w:rsidR="006D21CB" w:rsidRPr="00A14B67" w:rsidRDefault="006D21CB" w:rsidP="00A06A7D">
      <w:pPr>
        <w:spacing w:line="420" w:lineRule="auto"/>
        <w:jc w:val="both"/>
        <w:rPr>
          <w:rFonts w:ascii="Arial" w:hAnsi="Arial" w:cs="Arial"/>
          <w:b/>
          <w:bCs/>
          <w:sz w:val="20"/>
          <w:szCs w:val="20"/>
        </w:rPr>
      </w:pPr>
    </w:p>
    <w:p w14:paraId="276F463C" w14:textId="45DB27CA" w:rsidR="006D21CB" w:rsidRPr="00A14B67" w:rsidRDefault="006D21CB" w:rsidP="00A06A7D">
      <w:pPr>
        <w:spacing w:line="420" w:lineRule="auto"/>
        <w:jc w:val="both"/>
        <w:rPr>
          <w:rFonts w:ascii="Arial" w:hAnsi="Arial" w:cs="Arial"/>
          <w:b/>
          <w:bCs/>
          <w:sz w:val="20"/>
          <w:szCs w:val="20"/>
        </w:rPr>
      </w:pPr>
    </w:p>
    <w:p w14:paraId="0392426F" w14:textId="1D0B4BD5" w:rsidR="00A06A7D" w:rsidRPr="00A14B67" w:rsidRDefault="00A06A7D" w:rsidP="00A06A7D">
      <w:pPr>
        <w:spacing w:line="420" w:lineRule="auto"/>
        <w:jc w:val="both"/>
        <w:rPr>
          <w:rFonts w:ascii="Arial" w:hAnsi="Arial" w:cs="Arial"/>
          <w:b/>
          <w:bCs/>
          <w:sz w:val="20"/>
          <w:szCs w:val="20"/>
        </w:rPr>
      </w:pPr>
    </w:p>
    <w:p w14:paraId="5568E3FF" w14:textId="33FFA1A0" w:rsidR="00A06A7D" w:rsidRPr="00A14B67" w:rsidRDefault="00A06A7D" w:rsidP="00A06A7D">
      <w:pPr>
        <w:spacing w:line="420" w:lineRule="auto"/>
        <w:jc w:val="both"/>
        <w:rPr>
          <w:rFonts w:ascii="Arial" w:hAnsi="Arial" w:cs="Arial"/>
          <w:b/>
          <w:bCs/>
          <w:sz w:val="20"/>
          <w:szCs w:val="20"/>
        </w:rPr>
      </w:pPr>
    </w:p>
    <w:p w14:paraId="70E857DB" w14:textId="1C7F5982" w:rsidR="00A06A7D" w:rsidRPr="00A14B67" w:rsidRDefault="00A06A7D" w:rsidP="00A06A7D">
      <w:pPr>
        <w:spacing w:line="420" w:lineRule="auto"/>
        <w:jc w:val="both"/>
        <w:rPr>
          <w:rFonts w:ascii="Arial" w:hAnsi="Arial" w:cs="Arial"/>
          <w:b/>
          <w:bCs/>
          <w:sz w:val="20"/>
          <w:szCs w:val="20"/>
        </w:rPr>
      </w:pPr>
    </w:p>
    <w:p w14:paraId="5C9987E6" w14:textId="77777777" w:rsidR="00A06A7D" w:rsidRPr="00A14B67" w:rsidRDefault="00A06A7D" w:rsidP="00A06A7D">
      <w:pPr>
        <w:spacing w:line="420" w:lineRule="auto"/>
        <w:jc w:val="both"/>
        <w:rPr>
          <w:rFonts w:ascii="Arial" w:hAnsi="Arial" w:cs="Arial"/>
          <w:b/>
          <w:bCs/>
          <w:sz w:val="20"/>
          <w:szCs w:val="20"/>
        </w:rPr>
      </w:pPr>
    </w:p>
    <w:p w14:paraId="72E646C2" w14:textId="228724E2" w:rsidR="006D21CB" w:rsidRPr="00A14B67" w:rsidRDefault="006D21CB" w:rsidP="00A06A7D">
      <w:pPr>
        <w:spacing w:line="420" w:lineRule="auto"/>
        <w:jc w:val="both"/>
        <w:rPr>
          <w:rFonts w:ascii="Arial" w:hAnsi="Arial" w:cs="Arial"/>
          <w:b/>
          <w:bCs/>
          <w:sz w:val="20"/>
          <w:szCs w:val="20"/>
        </w:rPr>
      </w:pPr>
    </w:p>
    <w:p w14:paraId="359EC3B3" w14:textId="77777777" w:rsidR="00B17A28" w:rsidRPr="00A14B67" w:rsidRDefault="00B17A28" w:rsidP="00A06A7D">
      <w:pPr>
        <w:spacing w:line="420" w:lineRule="auto"/>
        <w:jc w:val="both"/>
        <w:rPr>
          <w:rFonts w:ascii="Arial" w:hAnsi="Arial" w:cs="Arial"/>
          <w:b/>
          <w:bCs/>
          <w:sz w:val="20"/>
          <w:szCs w:val="20"/>
        </w:rPr>
      </w:pPr>
    </w:p>
    <w:p w14:paraId="07356DF3" w14:textId="77777777" w:rsidR="006D21CB" w:rsidRPr="00A14B67" w:rsidRDefault="006D21CB" w:rsidP="00A06A7D">
      <w:pPr>
        <w:spacing w:line="420" w:lineRule="auto"/>
        <w:jc w:val="both"/>
        <w:rPr>
          <w:rFonts w:ascii="Arial" w:hAnsi="Arial" w:cs="Arial"/>
          <w:b/>
          <w:bCs/>
          <w:sz w:val="20"/>
          <w:szCs w:val="20"/>
        </w:rPr>
      </w:pPr>
    </w:p>
    <w:p w14:paraId="72B5CB10" w14:textId="77777777" w:rsidR="006D21CB" w:rsidRPr="00A14B67" w:rsidRDefault="006D21CB" w:rsidP="00A06A7D">
      <w:pPr>
        <w:spacing w:line="420" w:lineRule="auto"/>
        <w:jc w:val="both"/>
        <w:rPr>
          <w:rFonts w:ascii="Arial" w:hAnsi="Arial" w:cs="Arial"/>
          <w:b/>
          <w:bCs/>
          <w:sz w:val="20"/>
          <w:szCs w:val="20"/>
        </w:rPr>
      </w:pPr>
    </w:p>
    <w:p w14:paraId="35E882B2" w14:textId="4CBEC4BB" w:rsidR="006D21CB" w:rsidRPr="00A14B67" w:rsidRDefault="006D21CB" w:rsidP="00A06A7D">
      <w:pPr>
        <w:spacing w:line="420" w:lineRule="auto"/>
        <w:jc w:val="both"/>
        <w:rPr>
          <w:rFonts w:ascii="Arial" w:hAnsi="Arial" w:cs="Arial"/>
          <w:b/>
          <w:bCs/>
          <w:sz w:val="20"/>
          <w:szCs w:val="20"/>
        </w:rPr>
      </w:pPr>
      <w:r w:rsidRPr="00A14B67">
        <w:rPr>
          <w:rFonts w:ascii="Arial" w:hAnsi="Arial" w:cs="Arial"/>
          <w:b/>
          <w:bCs/>
          <w:sz w:val="20"/>
          <w:szCs w:val="20"/>
        </w:rPr>
        <w:lastRenderedPageBreak/>
        <w:t>SUPPLEMENTARY METHODS</w:t>
      </w:r>
    </w:p>
    <w:p w14:paraId="247550F5" w14:textId="78395888" w:rsidR="00D50882" w:rsidRPr="00A14B67" w:rsidRDefault="00D50882" w:rsidP="00A06A7D">
      <w:pPr>
        <w:spacing w:line="420" w:lineRule="auto"/>
        <w:jc w:val="both"/>
        <w:rPr>
          <w:rFonts w:ascii="Arial" w:hAnsi="Arial" w:cs="Arial"/>
          <w:b/>
          <w:sz w:val="20"/>
          <w:szCs w:val="20"/>
        </w:rPr>
      </w:pPr>
      <w:r w:rsidRPr="00A14B67">
        <w:rPr>
          <w:rFonts w:ascii="Arial" w:hAnsi="Arial" w:cs="Arial"/>
          <w:b/>
          <w:bCs/>
          <w:sz w:val="20"/>
          <w:szCs w:val="20"/>
        </w:rPr>
        <w:t>Colon Cancer Xenograft Model of Responder and Non-Responder</w:t>
      </w:r>
      <w:r w:rsidR="006A2B58" w:rsidRPr="00A14B67">
        <w:rPr>
          <w:rFonts w:ascii="Arial" w:hAnsi="Arial" w:cs="Arial"/>
          <w:b/>
          <w:bCs/>
          <w:sz w:val="20"/>
          <w:szCs w:val="20"/>
        </w:rPr>
        <w:t xml:space="preserve">: Description, </w:t>
      </w:r>
      <w:r w:rsidR="00C70877" w:rsidRPr="00A14B67">
        <w:rPr>
          <w:rFonts w:ascii="Arial" w:hAnsi="Arial" w:cs="Arial"/>
          <w:b/>
          <w:bCs/>
          <w:sz w:val="20"/>
          <w:szCs w:val="20"/>
        </w:rPr>
        <w:t>Experimentation</w:t>
      </w:r>
      <w:r w:rsidR="006A2B58" w:rsidRPr="00A14B67">
        <w:rPr>
          <w:rFonts w:ascii="Arial" w:hAnsi="Arial" w:cs="Arial"/>
          <w:b/>
          <w:bCs/>
          <w:sz w:val="20"/>
          <w:szCs w:val="20"/>
        </w:rPr>
        <w:t xml:space="preserve"> and Validation</w:t>
      </w:r>
    </w:p>
    <w:p w14:paraId="6290A5A8" w14:textId="23467911" w:rsidR="007D254A" w:rsidRPr="00A14B67" w:rsidRDefault="00D50882" w:rsidP="00A06A7D">
      <w:pPr>
        <w:widowControl w:val="0"/>
        <w:autoSpaceDE w:val="0"/>
        <w:autoSpaceDN w:val="0"/>
        <w:spacing w:line="420" w:lineRule="auto"/>
        <w:jc w:val="both"/>
        <w:rPr>
          <w:rFonts w:ascii="Arial" w:eastAsia="AdvP8C43" w:hAnsi="Arial" w:cs="Arial"/>
          <w:sz w:val="20"/>
          <w:szCs w:val="20"/>
        </w:rPr>
      </w:pPr>
      <w:r w:rsidRPr="00A14B67">
        <w:rPr>
          <w:rFonts w:ascii="Arial" w:hAnsi="Arial" w:cs="Arial"/>
          <w:sz w:val="20"/>
          <w:szCs w:val="20"/>
        </w:rPr>
        <w:t>All experimental procedures involving laboratory animals were approved by the Institutional Administrative Panel on Laboratory Animal Care. A total of 7</w:t>
      </w:r>
      <w:r w:rsidR="009828E3" w:rsidRPr="00A14B67">
        <w:rPr>
          <w:rFonts w:ascii="Arial" w:hAnsi="Arial" w:cs="Arial"/>
          <w:sz w:val="20"/>
          <w:szCs w:val="20"/>
        </w:rPr>
        <w:t>8</w:t>
      </w:r>
      <w:r w:rsidRPr="00A14B67">
        <w:rPr>
          <w:rFonts w:ascii="Arial" w:hAnsi="Arial" w:cs="Arial"/>
          <w:sz w:val="20"/>
          <w:szCs w:val="20"/>
        </w:rPr>
        <w:t xml:space="preserve"> female nude mice (Charles River, Wilmington, MA; 6-8 weeks old; 20-25 g) were induced with human (LS174T; ATCC, Manassas, VA; n=5</w:t>
      </w:r>
      <w:r w:rsidR="00E2609F" w:rsidRPr="00A14B67">
        <w:rPr>
          <w:rFonts w:ascii="Arial" w:hAnsi="Arial" w:cs="Arial"/>
          <w:sz w:val="20"/>
          <w:szCs w:val="20"/>
        </w:rPr>
        <w:t>8</w:t>
      </w:r>
      <w:r w:rsidRPr="00A14B67">
        <w:rPr>
          <w:rFonts w:ascii="Arial" w:hAnsi="Arial" w:cs="Arial"/>
          <w:sz w:val="20"/>
          <w:szCs w:val="20"/>
        </w:rPr>
        <w:t>) or murine (CT26; ATCC, Manassas, VA; n=20) colon cancer. The human colon tumor line actively responds to clinical (humanized) VEGF-targeting therapy</w:t>
      </w:r>
      <w:r w:rsidR="0097128E" w:rsidRPr="00A14B67">
        <w:rPr>
          <w:rFonts w:ascii="Arial" w:hAnsi="Arial" w:cs="Arial"/>
          <w:sz w:val="20"/>
          <w:szCs w:val="20"/>
        </w:rPr>
        <w:t xml:space="preserve"> such as Bevacizumab,</w:t>
      </w:r>
      <w:r w:rsidRPr="00A14B67">
        <w:rPr>
          <w:rFonts w:ascii="Arial" w:hAnsi="Arial" w:cs="Arial"/>
          <w:sz w:val="20"/>
          <w:szCs w:val="20"/>
        </w:rPr>
        <w:t xml:space="preserve"> while the murine line is resistant to such treatments. Together, these two cell lines can be used to simulate clinical responders and non-responders to anti-angiogenic therapy</w:t>
      </w:r>
      <w:r w:rsidR="0021590B" w:rsidRPr="00A14B67">
        <w:rPr>
          <w:rFonts w:ascii="Arial" w:hAnsi="Arial" w:cs="Arial"/>
          <w:sz w:val="20"/>
          <w:szCs w:val="20"/>
        </w:rPr>
        <w:t>, with the CT26 cell line acting as a negative control</w:t>
      </w:r>
      <w:r w:rsidR="00433451"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{"citationItems":[{"id":"ITEM-1","itemData":{"DOI":"10.1158/0008-5472.CAN-15-3271","ISSN":"1538-7445","PMID":"27206846","abstract":"Three-dimensional (3D) imaging capabilities to assess responses to anticancer therapies are needed to minimize sampling errors common to two-dimensional approaches as a result of spatial heterogeneity in tumors. Recently, the feasibility and reproducibility of 3D ultrasound molecular imaging (3D USMI) using contrast agents, which target molecular markers, have greatly improved, due to the development of clinical 3D matrix array transducers. Here we report preclinical proof-of-concept studies showing that 3D USMI of VEGFR2/KDR expression accurately gauges longitudinal treatment responses to antiangiogenesis therapy in responding versus nonresponding mouse models of colon cancer. Tumors in these models exhibited differential patterns of VEGFR2-targeted 3D USMI signals during the course of antiangiogenic treatment with bevacizumab. In responding tumors, the VEGFR2 signal decreased as soon as 24 hours after therapy was started, whereas in nonresponding tumors there was no change in signal at any time point. The early decrease in VEGFR2 signal was highly predictive of treatment outcome at the end of therapy. Our results offer preclinical proof that 3D USMI can predict responses to antiangiogenic therapy, warranting further investigation of its clinical translatability to predicting treatment outcomes in patients. Cancer Res; 76(14); 4081-9. ©2016 AACR.","author":[{"dropping-particle":"","family":"Zhou","given":"Jianhua","non-dropping-particle":"","parse-names":false,"suffix":""},{"dropping-particle":"","family":"Wang","given":"Huaijun","non-dropping-particle":"","parse-names":false,"suffix":""},{"dropping-particle":"","family":"Zhang","given":"Huiping","non-dropping-particle":"","parse-names":false,"suffix":""},{"dropping-particle":"","family":"Lutz","given":"Amelie M.","non-dropping-particle":"","parse-names":false,"suffix":""},{"dropping-particle":"","family":"Tian","given":"Lu","non-dropping-particle":"","parse-names":false,"suffix":""},{"dropping-particle":"","family":"Hristov","given":"Dimitre","non-dropping-particle":"","parse-names":false,"suffix":""},{"dropping-particle":"","family":"Willmann","given":"Jürgen K.","non-dropping-particle":"","parse-names":false,"suffix":""}],"container-title":"Cancer research","id":"ITEM-1","issue":"14","issued":{"date-parts":[["2016","7","15"]]},"note":"{:PMCID:PMC5033689}","page":"4081-9","title":"VEGFR2-Targeted Three-Dimensional Ultrasound Imaging Can Predict Responses to Antiangiogenic Therapy in Preclinical Models of Colon Cancer.","type":"article-journal","volume":"76"},"uris":["http://www.mendeley.com/documents/?uuid=d65224dd-ab21-4f10-9303-3777f485ef71"]},{"id":"ITEM-2","itemData":{"DOI":"10.1007/s10456-017-9566-5","ISSN":"1573-7209","PMID":"28721500","abstract":"Due to spatial tumor heterogeneity and consecutive sampling errors, it is critically important to assess treatment response following antiangiogenic therapy in three dimensions as two-dimensional assessment has been shown to substantially over- and underestimate treatment response. In this study, we evaluated whether three-dimensional (3D) dynamic contrast-enhanced ultrasound (DCE-US) imaging allows assessing early changes in tumor perfusion following antiangiogenic treatment (bevacizumab administered at a dose of 10 mg/kg b.w.), and whether these changes could predict treatment response in colon cancer tumors that either are responsive (LS174T tumors) or none responsive (CT26) to the proposed treatment. Our results showed that the perfusion parameters of 3D DCE-US including peak enhancement (PE) and area under curve (AUC) significantly decreased by up to 69 and 77%, respectively, in LS174T tumors within 1 day after antiangiogenic treatment (P = 0.005), but not in CT26 tumors (P &gt; 0.05). Similarly, the percentage area of neovasculature significantly decreased in treated versus control LS174T tumors (P &lt; 0.001), but not in treated versus control CT26 tumors (P = 0.796). Early decrease in both PE and AUC by 45-50% was predictive of treatment response in 100% (95% CI 69.2, 100%) of responding tumors, and in 100% (95% CI 88.4, 100%) and 86.7% (95% CI 69.3, 96.2%), respectively, of nonresponding tumors. In conclusion, 3D DCE-US provides clinically relevant information on the variability of tumor response to antiangiogenic therapy and may be further developed as biomarker for predicting treatment outcomes.","author":[{"dropping-particle":"","family":"Zhou","given":"Jianhua","non-dropping-particle":"","parse-names":false,"suffix":""},{"dropping-particle":"","family":"Zhang","given":"Huiping","non-dropping-particle":"","parse-names":false,"suffix":""},{"dropping-particle":"","family":"Wang","given":"Huaijun","non-dropping-particle":"","parse-names":false,"suffix":""},{"dropping-particle":"","family":"Lutz","given":"Amelie M","non-dropping-particle":"","parse-names":false,"suffix":""},{"dropping-particle":"","family":"Kaffas","given":"Ahmed","non-dropping-particle":"El","parse-names":false,"suffix":""},{"dropping-particle":"","family":"Tian","given":"Lu","non-dropping-particle":"","parse-names":false,"suffix":""},{"dropping-particle":"","family":"Hristov","given":"Dimitre","non-dropping-particle":"","parse-names":false,"suffix":""},{"dropping-particle":"","family":"Willmann","given":"Jürgen K.","non-dropping-particle":"","parse-names":false,"suffix":""}],"container-title":"Angiogenesis","id":"ITEM-2","issue":"4","issued":{"date-parts":[["2017","11","18"]]},"note":"{:PMCID: PMC5660665}","page":"547-555","title":"Early prediction of tumor response to bevacizumab treatment in murine colon cancer models using three-dimensional dynamic contrast-enhanced ultrasound imaging.","type":"article-journal","volume":"20"},"uris":["http://www.mendeley.com/documents/?uuid=f043ca49-d6ba-4646-a2f8-1c5786e7fedd"]}],"mendeley":{"formattedCitation":"&lt;sup&gt;1,2&lt;/sup&gt;","plainTextFormattedCitation":"1,2","previouslyFormattedCitation":"&lt;i&gt;(1, 2)&lt;/i&gt;"},"properties":{"noteIndex":0},"schema":"https://github.com/citation-style-language/schema/raw/master/csl-citation.json"}</w:instrText>
      </w:r>
      <w:r w:rsidR="00433451" w:rsidRPr="00A14B67">
        <w:rPr>
          <w:rFonts w:ascii="Arial" w:hAnsi="Arial" w:cs="Arial"/>
          <w:sz w:val="20"/>
          <w:szCs w:val="20"/>
        </w:rPr>
        <w:fldChar w:fldCharType="separate"/>
      </w:r>
      <w:r w:rsidR="003F04EF" w:rsidRPr="00A14B67">
        <w:rPr>
          <w:rFonts w:ascii="Arial" w:hAnsi="Arial" w:cs="Arial"/>
          <w:noProof/>
          <w:sz w:val="20"/>
          <w:szCs w:val="20"/>
          <w:vertAlign w:val="superscript"/>
        </w:rPr>
        <w:t>1,2</w:t>
      </w:r>
      <w:r w:rsidR="00433451" w:rsidRPr="00A14B67">
        <w:rPr>
          <w:rFonts w:ascii="Arial" w:hAnsi="Arial" w:cs="Arial"/>
          <w:sz w:val="20"/>
          <w:szCs w:val="20"/>
        </w:rPr>
        <w:fldChar w:fldCharType="end"/>
      </w:r>
      <w:r w:rsidRPr="00A14B67">
        <w:rPr>
          <w:rFonts w:ascii="Arial" w:hAnsi="Arial" w:cs="Arial"/>
          <w:sz w:val="20"/>
          <w:szCs w:val="20"/>
        </w:rPr>
        <w:t>.  From the n=5</w:t>
      </w:r>
      <w:r w:rsidR="00180ABC" w:rsidRPr="00A14B67">
        <w:rPr>
          <w:rFonts w:ascii="Arial" w:hAnsi="Arial" w:cs="Arial"/>
          <w:sz w:val="20"/>
          <w:szCs w:val="20"/>
        </w:rPr>
        <w:t>8</w:t>
      </w:r>
      <w:r w:rsidRPr="00A14B67">
        <w:rPr>
          <w:rFonts w:ascii="Arial" w:hAnsi="Arial" w:cs="Arial"/>
          <w:sz w:val="20"/>
          <w:szCs w:val="20"/>
        </w:rPr>
        <w:t xml:space="preserve"> mice bearing LS174T tumors, 20 were used for control (n=10) and treatment (n=10), 20 were used for repeatability assessment and </w:t>
      </w:r>
      <w:r w:rsidR="00805263" w:rsidRPr="00A14B67">
        <w:rPr>
          <w:rFonts w:ascii="Arial" w:hAnsi="Arial" w:cs="Arial"/>
          <w:sz w:val="20"/>
          <w:szCs w:val="20"/>
        </w:rPr>
        <w:t>18 were used as a separate test data set</w:t>
      </w:r>
      <w:r w:rsidR="00786BF4" w:rsidRPr="00A14B67">
        <w:rPr>
          <w:rFonts w:ascii="Arial" w:hAnsi="Arial" w:cs="Arial"/>
          <w:sz w:val="20"/>
          <w:szCs w:val="20"/>
        </w:rPr>
        <w:t xml:space="preserve"> imaged only at baseline and 24 hours</w:t>
      </w:r>
      <w:r w:rsidR="00805263" w:rsidRPr="00A14B67">
        <w:rPr>
          <w:rFonts w:ascii="Arial" w:hAnsi="Arial" w:cs="Arial"/>
          <w:sz w:val="20"/>
          <w:szCs w:val="20"/>
        </w:rPr>
        <w:t>. Of the 18</w:t>
      </w:r>
      <w:r w:rsidR="00EB261A" w:rsidRPr="00A14B67">
        <w:rPr>
          <w:rFonts w:ascii="Arial" w:hAnsi="Arial" w:cs="Arial"/>
          <w:sz w:val="20"/>
          <w:szCs w:val="20"/>
        </w:rPr>
        <w:t xml:space="preserve"> animals used as test data</w:t>
      </w:r>
      <w:r w:rsidR="00805263" w:rsidRPr="00A14B67">
        <w:rPr>
          <w:rFonts w:ascii="Arial" w:hAnsi="Arial" w:cs="Arial"/>
          <w:sz w:val="20"/>
          <w:szCs w:val="20"/>
        </w:rPr>
        <w:t xml:space="preserve">, </w:t>
      </w:r>
      <w:r w:rsidRPr="00A14B67">
        <w:rPr>
          <w:rFonts w:ascii="Arial" w:hAnsi="Arial" w:cs="Arial"/>
          <w:sz w:val="20"/>
          <w:szCs w:val="20"/>
        </w:rPr>
        <w:t xml:space="preserve">11 </w:t>
      </w:r>
      <w:r w:rsidR="0010333A" w:rsidRPr="00A14B67">
        <w:rPr>
          <w:rFonts w:ascii="Arial" w:hAnsi="Arial" w:cs="Arial"/>
          <w:sz w:val="20"/>
          <w:szCs w:val="20"/>
        </w:rPr>
        <w:t xml:space="preserve">had histology at </w:t>
      </w:r>
      <w:r w:rsidRPr="00A14B67">
        <w:rPr>
          <w:rFonts w:ascii="Arial" w:hAnsi="Arial" w:cs="Arial"/>
          <w:sz w:val="20"/>
          <w:szCs w:val="20"/>
        </w:rPr>
        <w:t>24 hour</w:t>
      </w:r>
      <w:r w:rsidR="00357409" w:rsidRPr="00A14B67">
        <w:rPr>
          <w:rFonts w:ascii="Arial" w:hAnsi="Arial" w:cs="Arial"/>
          <w:sz w:val="20"/>
          <w:szCs w:val="20"/>
        </w:rPr>
        <w:t xml:space="preserve">s for </w:t>
      </w:r>
      <w:r w:rsidRPr="00A14B67">
        <w:rPr>
          <w:rFonts w:ascii="Arial" w:hAnsi="Arial" w:cs="Arial"/>
          <w:sz w:val="20"/>
          <w:szCs w:val="20"/>
        </w:rPr>
        <w:t>correlation</w:t>
      </w:r>
      <w:r w:rsidR="00BD2CD9" w:rsidRPr="00A14B67">
        <w:rPr>
          <w:rFonts w:ascii="Arial" w:hAnsi="Arial" w:cs="Arial"/>
          <w:sz w:val="20"/>
          <w:szCs w:val="20"/>
        </w:rPr>
        <w:t xml:space="preserve"> of perfusion features</w:t>
      </w:r>
      <w:r w:rsidRPr="00A14B67">
        <w:rPr>
          <w:rFonts w:ascii="Arial" w:hAnsi="Arial" w:cs="Arial"/>
          <w:sz w:val="20"/>
          <w:szCs w:val="20"/>
        </w:rPr>
        <w:t xml:space="preserve"> with CD31. Animals bearing CT26 were used as control (n=10) and treatment (n=10) non-responders</w:t>
      </w:r>
      <w:r w:rsidR="0021590B" w:rsidRPr="00A14B67">
        <w:rPr>
          <w:rFonts w:ascii="Arial" w:hAnsi="Arial" w:cs="Arial"/>
          <w:sz w:val="20"/>
          <w:szCs w:val="20"/>
        </w:rPr>
        <w:t xml:space="preserve"> (negative-control)</w:t>
      </w:r>
      <w:r w:rsidRPr="00A14B67">
        <w:rPr>
          <w:rFonts w:ascii="Arial" w:hAnsi="Arial" w:cs="Arial"/>
          <w:sz w:val="20"/>
          <w:szCs w:val="20"/>
        </w:rPr>
        <w:t xml:space="preserve"> to Bevacizumab. A complete schematic of the experimental design and animal genotypes is presented in </w:t>
      </w:r>
      <w:r w:rsidRPr="00A14B67">
        <w:rPr>
          <w:rFonts w:ascii="Arial" w:hAnsi="Arial" w:cs="Arial"/>
          <w:b/>
          <w:sz w:val="20"/>
          <w:szCs w:val="20"/>
        </w:rPr>
        <w:t>Figure 1A</w:t>
      </w:r>
      <w:r w:rsidRPr="00A14B67">
        <w:rPr>
          <w:rFonts w:ascii="Arial" w:hAnsi="Arial" w:cs="Arial"/>
          <w:sz w:val="20"/>
          <w:szCs w:val="20"/>
        </w:rPr>
        <w:t>.</w:t>
      </w:r>
      <w:r w:rsidR="00A42217" w:rsidRPr="00A14B67">
        <w:rPr>
          <w:rFonts w:ascii="Arial" w:hAnsi="Arial" w:cs="Arial"/>
          <w:sz w:val="20"/>
          <w:szCs w:val="20"/>
        </w:rPr>
        <w:t xml:space="preserve"> </w:t>
      </w:r>
      <w:r w:rsidRPr="00A14B67">
        <w:rPr>
          <w:rFonts w:ascii="Arial" w:hAnsi="Arial" w:cs="Arial"/>
          <w:sz w:val="20"/>
          <w:szCs w:val="20"/>
        </w:rPr>
        <w:t xml:space="preserve">Both cell lines were grown in Dulbecco’s Modified Eagle Medium (DMEM; Gibco, Grand Island, NY), supplemented with 10% fetal bovine serum (Gibco), </w:t>
      </w:r>
      <w:bookmarkStart w:id="1" w:name="OLE_LINK25"/>
      <w:bookmarkStart w:id="2" w:name="OLE_LINK26"/>
      <w:r w:rsidRPr="00A14B67">
        <w:rPr>
          <w:rFonts w:ascii="Arial" w:hAnsi="Arial" w:cs="Arial"/>
          <w:sz w:val="20"/>
          <w:szCs w:val="20"/>
        </w:rPr>
        <w:t>penicillin (50 U/ml), and streptomycin (50 µg/ml)</w:t>
      </w:r>
      <w:bookmarkEnd w:id="1"/>
      <w:bookmarkEnd w:id="2"/>
      <w:r w:rsidRPr="00A14B67">
        <w:rPr>
          <w:rFonts w:ascii="Arial" w:hAnsi="Arial" w:cs="Arial"/>
          <w:sz w:val="20"/>
          <w:szCs w:val="20"/>
        </w:rPr>
        <w:t xml:space="preserve"> at 37°C in a humidified 5% CO2 atmosphere. At 70%-80% confluence, the tumor cells were collected following trypsinization, and</w:t>
      </w:r>
      <w:bookmarkStart w:id="3" w:name="OLE_LINK27"/>
      <w:bookmarkStart w:id="4" w:name="OLE_LINK28"/>
      <w:r w:rsidRPr="00A14B67">
        <w:rPr>
          <w:rFonts w:ascii="Arial" w:hAnsi="Arial" w:cs="Arial"/>
          <w:sz w:val="20"/>
          <w:szCs w:val="20"/>
        </w:rPr>
        <w:t xml:space="preserve"> 4×10</w:t>
      </w:r>
      <w:r w:rsidRPr="00A14B67">
        <w:rPr>
          <w:rFonts w:ascii="Arial" w:hAnsi="Arial" w:cs="Arial"/>
          <w:sz w:val="20"/>
          <w:szCs w:val="20"/>
          <w:vertAlign w:val="superscript"/>
        </w:rPr>
        <w:t>6</w:t>
      </w:r>
      <w:r w:rsidRPr="00A14B67">
        <w:rPr>
          <w:rFonts w:ascii="Arial" w:hAnsi="Arial" w:cs="Arial"/>
          <w:sz w:val="20"/>
          <w:szCs w:val="20"/>
        </w:rPr>
        <w:t xml:space="preserve"> LS174T </w:t>
      </w:r>
      <w:bookmarkEnd w:id="3"/>
      <w:bookmarkEnd w:id="4"/>
      <w:r w:rsidRPr="00A14B67">
        <w:rPr>
          <w:rFonts w:ascii="Arial" w:hAnsi="Arial" w:cs="Arial"/>
          <w:sz w:val="20"/>
          <w:szCs w:val="20"/>
        </w:rPr>
        <w:t>cells or 1×10</w:t>
      </w:r>
      <w:r w:rsidRPr="00A14B67">
        <w:rPr>
          <w:rFonts w:ascii="Arial" w:hAnsi="Arial" w:cs="Arial"/>
          <w:sz w:val="20"/>
          <w:szCs w:val="20"/>
          <w:vertAlign w:val="superscript"/>
        </w:rPr>
        <w:t>6</w:t>
      </w:r>
      <w:r w:rsidRPr="00A14B67">
        <w:rPr>
          <w:rFonts w:ascii="Arial" w:hAnsi="Arial" w:cs="Arial"/>
          <w:sz w:val="20"/>
          <w:szCs w:val="20"/>
        </w:rPr>
        <w:t xml:space="preserve"> CT26 cells suspended in</w:t>
      </w:r>
      <w:bookmarkStart w:id="5" w:name="OLE_LINK29"/>
      <w:bookmarkStart w:id="6" w:name="OLE_LINK30"/>
      <w:r w:rsidRPr="00A14B67">
        <w:rPr>
          <w:rFonts w:ascii="Arial" w:hAnsi="Arial" w:cs="Arial"/>
          <w:sz w:val="20"/>
          <w:szCs w:val="20"/>
        </w:rPr>
        <w:t xml:space="preserve"> 50μ</w:t>
      </w:r>
      <w:bookmarkEnd w:id="5"/>
      <w:bookmarkEnd w:id="6"/>
      <w:r w:rsidRPr="00A14B67">
        <w:rPr>
          <w:rFonts w:ascii="Arial" w:hAnsi="Arial" w:cs="Arial"/>
          <w:sz w:val="20"/>
          <w:szCs w:val="20"/>
        </w:rPr>
        <w:t>l phosphate-buffered saline and 50μl Matrigel (BD Biosciences, San Jose, CA) were injected subcutaneously on the right lower hind limb of the nude mice. Both LS174T and CT26 tumors were allowed to grow for 10 days to an average diameter of 10 mm (range: 6-14 mm) in the maximum direction (measured with electronic caliper).</w:t>
      </w:r>
      <w:r w:rsidR="0021590B" w:rsidRPr="00A14B67">
        <w:rPr>
          <w:rFonts w:ascii="Arial" w:hAnsi="Arial" w:cs="Arial"/>
          <w:sz w:val="20"/>
          <w:szCs w:val="20"/>
        </w:rPr>
        <w:t xml:space="preserve"> </w:t>
      </w:r>
      <w:r w:rsidR="009B7986" w:rsidRPr="00A14B67">
        <w:rPr>
          <w:rFonts w:ascii="Arial" w:hAnsi="Arial" w:cs="Arial"/>
          <w:sz w:val="20"/>
          <w:szCs w:val="20"/>
        </w:rPr>
        <w:t>Treatment responses</w:t>
      </w:r>
      <w:r w:rsidR="000E025A" w:rsidRPr="00A14B67">
        <w:rPr>
          <w:rFonts w:ascii="Arial" w:hAnsi="Arial" w:cs="Arial"/>
          <w:sz w:val="20"/>
          <w:szCs w:val="20"/>
        </w:rPr>
        <w:t xml:space="preserve"> were previously confirmed using tumor growth and immunohistology</w:t>
      </w:r>
      <w:r w:rsidR="00CC66F1" w:rsidRPr="00A14B67">
        <w:rPr>
          <w:rFonts w:ascii="Arial" w:hAnsi="Arial" w:cs="Arial"/>
          <w:sz w:val="20"/>
          <w:szCs w:val="20"/>
        </w:rPr>
        <w:t xml:space="preserve"> </w:t>
      </w:r>
      <w:r w:rsidR="00CC66F1"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{"citationItems":[{"id":"ITEM-1","itemData":{"DOI":"10.1007/s10456-017-9566-5","ISSN":"1573-7209","PMID":"28721500","abstract":"Due to spatial tumor heterogeneity and consecutive sampling errors, it is critically important to assess treatment response following antiangiogenic therapy in three dimensions as two-dimensional assessment has been shown to substantially over- and underestimate treatment response. In this study, we evaluated whether three-dimensional (3D) dynamic contrast-enhanced ultrasound (DCE-US) imaging allows assessing early changes in tumor perfusion following antiangiogenic treatment (bevacizumab administered at a dose of 10 mg/kg b.w.), and whether these changes could predict treatment response in colon cancer tumors that either are responsive (LS174T tumors) or none responsive (CT26) to the proposed treatment. Our results showed that the perfusion parameters of 3D DCE-US including peak enhancement (PE) and area under curve (AUC) significantly decreased by up to 69 and 77%, respectively, in LS174T tumors within 1 day after antiangiogenic treatment (P = 0.005), but not in CT26 tumors (P &gt; 0.05). Similarly, the percentage area of neovasculature significantly decreased in treated versus control LS174T tumors (P &lt; 0.001), but not in treated versus control CT26 tumors (P = 0.796). Early decrease in both PE and AUC by 45-50% was predictive of treatment response in 100% (95% CI 69.2, 100%) of responding tumors, and in 100% (95% CI 88.4, 100%) and 86.7% (95% CI 69.3, 96.2%), respectively, of nonresponding tumors. In conclusion, 3D DCE-US provides clinically relevant information on the variability of tumor response to antiangiogenic therapy and may be further developed as biomarker for predicting treatment outcomes.","author":[{"dropping-particle":"","family":"Zhou","given":"Jianhua","non-dropping-particle":"","parse-names":false,"suffix":""},{"dropping-particle":"","family":"Zhang","given":"Huiping","non-dropping-particle":"","parse-names":false,"suffix":""},{"dropping-particle":"","family":"Wang","given":"Huaijun","non-dropping-particle":"","parse-names":false,"suffix":""},{"dropping-particle":"","family":"Lutz","given":"Amelie M","non-dropping-particle":"","parse-names":false,"suffix":""},{"dropping-particle":"","family":"Kaffas","given":"Ahmed","non-dropping-particle":"El","parse-names":false,"suffix":""},{"dropping-particle":"","family":"Tian","given":"Lu","non-dropping-particle":"","parse-names":false,"suffix":""},{"dropping-particle":"","family":"Hristov","given":"Dimitre","non-dropping-particle":"","parse-names":false,"suffix":""},{"dropping-particle":"","family":"Willmann","given":"Jürgen K.","non-dropping-particle":"","parse-names":false,"suffix":""}],"container-title":"Angiogenesis","id":"ITEM-1","issue":"4","issued":{"date-parts":[["2017","11","18"]]},"note":"{:PMCID: PMC5660665}","page":"547-555","title":"Early prediction of tumor response to bevacizumab treatment in murine colon cancer models using three-dimensional dynamic contrast-enhanced ultrasound imaging.","type":"article-journal","volume":"20"},"uris":["http://www.mendeley.com/documents/?uuid=f043ca49-d6ba-4646-a2f8-1c5786e7fedd"]}],"mendeley":{"formattedCitation":"&lt;sup&gt;2&lt;/sup&gt;","plainTextFormattedCitation":"2","previouslyFormattedCitation":"&lt;i&gt;(2)&lt;/i&gt;"},"properties":{"noteIndex":0},"schema":"https://github.com/citation-style-language/schema/raw/master/csl-citation.json"}</w:instrText>
      </w:r>
      <w:r w:rsidR="00CC66F1" w:rsidRPr="00A14B67">
        <w:rPr>
          <w:rFonts w:ascii="Arial" w:hAnsi="Arial" w:cs="Arial"/>
          <w:sz w:val="20"/>
          <w:szCs w:val="20"/>
        </w:rPr>
        <w:fldChar w:fldCharType="separate"/>
      </w:r>
      <w:r w:rsidR="003F04EF" w:rsidRPr="00A14B67">
        <w:rPr>
          <w:rFonts w:ascii="Arial" w:hAnsi="Arial" w:cs="Arial"/>
          <w:noProof/>
          <w:sz w:val="20"/>
          <w:szCs w:val="20"/>
          <w:vertAlign w:val="superscript"/>
        </w:rPr>
        <w:t>2</w:t>
      </w:r>
      <w:r w:rsidR="00CC66F1" w:rsidRPr="00A14B67">
        <w:rPr>
          <w:rFonts w:ascii="Arial" w:hAnsi="Arial" w:cs="Arial"/>
          <w:sz w:val="20"/>
          <w:szCs w:val="20"/>
        </w:rPr>
        <w:fldChar w:fldCharType="end"/>
      </w:r>
      <w:r w:rsidR="000E025A" w:rsidRPr="00A14B67">
        <w:rPr>
          <w:rFonts w:ascii="Arial" w:hAnsi="Arial" w:cs="Arial"/>
          <w:sz w:val="20"/>
          <w:szCs w:val="20"/>
        </w:rPr>
        <w:t xml:space="preserve">. </w:t>
      </w:r>
      <w:r w:rsidR="001F61FE" w:rsidRPr="00A14B67">
        <w:rPr>
          <w:rFonts w:ascii="Arial" w:hAnsi="Arial" w:cs="Arial"/>
          <w:sz w:val="20"/>
          <w:szCs w:val="20"/>
        </w:rPr>
        <w:t xml:space="preserve">For </w:t>
      </w:r>
      <w:r w:rsidR="001F61FE" w:rsidRPr="00A14B67">
        <w:rPr>
          <w:rFonts w:ascii="Arial" w:hAnsi="Arial" w:cs="Arial"/>
          <w:b/>
          <w:i/>
          <w:sz w:val="20"/>
          <w:szCs w:val="20"/>
        </w:rPr>
        <w:t>histological analysis</w:t>
      </w:r>
      <w:r w:rsidR="001F61FE" w:rsidRPr="00A14B67">
        <w:rPr>
          <w:rFonts w:ascii="Arial" w:hAnsi="Arial" w:cs="Arial"/>
          <w:sz w:val="20"/>
          <w:szCs w:val="20"/>
        </w:rPr>
        <w:t xml:space="preserve"> of tumor vasculature, </w:t>
      </w:r>
      <w:r w:rsidR="001F61FE" w:rsidRPr="00A14B67">
        <w:rPr>
          <w:rFonts w:ascii="Arial" w:eastAsia="AdvP8C43" w:hAnsi="Arial" w:cs="Arial"/>
          <w:sz w:val="20"/>
          <w:szCs w:val="20"/>
        </w:rPr>
        <w:t xml:space="preserve">tumors were surgically removed and fixed in 4% paraformaldehyde and PBS solution for 24h, sectioned into 10 μm slices for CD31 immunofluorescence staining using </w:t>
      </w:r>
      <w:r w:rsidR="001F61FE" w:rsidRPr="00A14B67">
        <w:rPr>
          <w:rFonts w:ascii="Arial" w:hAnsi="Arial" w:cs="Arial"/>
          <w:sz w:val="20"/>
          <w:szCs w:val="20"/>
        </w:rPr>
        <w:t>standard methods</w:t>
      </w:r>
      <w:r w:rsidR="00CC66F1" w:rsidRPr="00A14B67">
        <w:rPr>
          <w:rFonts w:ascii="Arial" w:hAnsi="Arial" w:cs="Arial"/>
          <w:sz w:val="20"/>
          <w:szCs w:val="20"/>
        </w:rPr>
        <w:t xml:space="preserve"> </w:t>
      </w:r>
      <w:r w:rsidR="00CC66F1"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{"citationItems":[{"id":"ITEM-1","itemData":{"DOI":"10.1007/s10456-017-9566-5","ISSN":"1573-7209","PMID":"28721500","abstract":"Due to spatial tumor heterogeneity and consecutive sampling errors, it is critically important to assess treatment response following antiangiogenic therapy in three dimensions as two-dimensional assessment has been shown to substantially over- and underestimate treatment response. In this study, we evaluated whether three-dimensional (3D) dynamic contrast-enhanced ultrasound (DCE-US) imaging allows assessing early changes in tumor perfusion following antiangiogenic treatment (bevacizumab administered at a dose of 10 mg/kg b.w.), and whether these changes could predict treatment response in colon cancer tumors that either are responsive (LS174T tumors) or none responsive (CT26) to the proposed treatment. Our results showed that the perfusion parameters of 3D DCE-US including peak enhancement (PE) and area under curve (AUC) significantly decreased by up to 69 and 77%, respectively, in LS174T tumors within 1 day after antiangiogenic treatment (P = 0.005), but not in CT26 tumors (P &gt; 0.05). Similarly, the percentage area of neovasculature significantly decreased in treated versus control LS174T tumors (P &lt; 0.001), but not in treated versus control CT26 tumors (P = 0.796). Early decrease in both PE and AUC by 45-50% was predictive of treatment response in 100% (95% CI 69.2, 100%) of responding tumors, and in 100% (95% CI 88.4, 100%) and 86.7% (95% CI 69.3, 96.2%), respectively, of nonresponding tumors. In conclusion, 3D DCE-US provides clinically relevant information on the variability of tumor response to antiangiogenic therapy and may be further developed as biomarker for predicting treatment outcomes.","author":[{"dropping-particle":"","family":"Zhou","given":"Jianhua","non-dropping-particle":"","parse-names":false,"suffix":""},{"dropping-particle":"","family":"Zhang","given":"Huiping","non-dropping-particle":"","parse-names":false,"suffix":""},{"dropping-particle":"","family":"Wang","given":"Huaijun","non-dropping-particle":"","parse-names":false,"suffix":""},{"dropping-particle":"","family":"Lutz","given":"Amelie M","non-dropping-particle":"","parse-names":false,"suffix":""},{"dropping-particle":"","family":"Kaffas","given":"Ahmed","non-dropping-particle":"El","parse-names":false,"suffix":""},{"dropping-particle":"","family":"Tian","given":"Lu","non-dropping-particle":"","parse-names":false,"suffix":""},{"dropping-particle":"","family":"Hristov","given":"Dimitre","non-dropping-particle":"","parse-names":false,"suffix":""},{"dropping-particle":"","family":"Willmann","given":"Jürgen K.","non-dropping-particle":"","parse-names":false,"suffix":""}],"container-title":"Angiogenesis","id":"ITEM-1","issue":"4","issued":{"date-parts":[["2017","11","18"]]},"note":"{:PMCID: PMC5660665}","page":"547-555","title":"Early prediction of tumor response to bevacizumab treatment in murine colon cancer models using three-dimensional dynamic contrast-enhanced ultrasound imaging.","type":"article-journal","volume":"20"},"uris":["http://www.mendeley.com/documents/?uuid=f043ca49-d6ba-4646-a2f8-1c5786e7fedd"]},{"id":"ITEM-2","itemData":{"DOI":"10.1158/0008-5472.CAN-15-3271","ISSN":"1538-7445","PMID":"27206846","abstract":"Three-dimensional (3D) imaging capabilities to assess responses to anticancer therapies are needed to minimize sampling errors common to two-dimensional approaches as a result of spatial heterogeneity in tumors. Recently, the feasibility and reproducibility of 3D ultrasound molecular imaging (3D USMI) using contrast agents, which target molecular markers, have greatly improved, due to the development of clinical 3D matrix array transducers. Here we report preclinical proof-of-concept studies showing that 3D USMI of VEGFR2/KDR expression accurately gauges longitudinal treatment responses to antiangiogenesis therapy in responding versus nonresponding mouse models of colon cancer. Tumors in these models exhibited differential patterns of VEGFR2-targeted 3D USMI signals during the course of antiangiogenic treatment with bevacizumab. In responding tumors, the VEGFR2 signal decreased as soon as 24 hours after therapy was started, whereas in nonresponding tumors there was no change in signal at any time point. The early decrease in VEGFR2 signal was highly predictive of treatment outcome at the end of therapy. Our results offer preclinical proof that 3D USMI can predict responses to antiangiogenic therapy, warranting further investigation of its clinical translatability to predicting treatment outcomes in patients. Cancer Res; 76(14); 4081-9. ©2016 AACR.","author":[{"dropping-particle":"","family":"Zhou","given":"Jianhua","non-dropping-particle":"","parse-names":false,"suffix":""},{"dropping-particle":"","family":"Wang","given":"Huaijun","non-dropping-particle":"","parse-names":false,"suffix":""},{"dropping-particle":"","family":"Zhang","given":"Huiping","non-dropping-particle":"","parse-names":false,"suffix":""},{"dropping-particle":"","family":"Lutz","given":"Amelie M.","non-dropping-particle":"","parse-names":false,"suffix":""},{"dropping-particle":"","family":"Tian","given":"Lu","non-dropping-particle":"","parse-names":false,"suffix":""},{"dropping-particle":"","family":"Hristov","given":"Dimitre","non-dropping-particle":"","parse-names":false,"suffix":""},{"dropping-particle":"","family":"Willmann","given":"Jürgen K.","non-dropping-particle":"","parse-names":false,"suffix":""}],"container-title":"Cancer research","id":"ITEM-2","issue":"14","issued":{"date-parts":[["2016","7","15"]]},"note":"{:PMCID:PMC5033689}","page":"4081-9","title":"VEGFR2-Targeted Three-Dimensional Ultrasound Imaging Can Predict Responses to Antiangiogenic Therapy in Preclinical Models of Colon Cancer.","type":"article-journal","volume":"76"},"uris":["http://www.mendeley.com/documents/?uuid=d65224dd-ab21-4f10-9303-3777f485ef71"]},{"id":"ITEM-3","itemData":{"abstract":"Tumor growth and progression are critically controlled by alterations in the microenvironment often caused by an aberrant expression of growth factors and receptors. We demonstrated previously that tumor progression in patients and in the experimental HaCaT tumor model for skin squamous cell carcinomas is associated with a constitutive neoexpres-sion of the hematopoietic growth factors granulocyte colony-stimulating factor (G-CSF) and granulocyte-macrophage colony-stimulating factor (GM-CSF), causing an autocrine stimulation of tumor cell proliferation and migration in vitro. To analyze the critical contribution of both factors to tumor progression, G-CSF or GM-CSF was stably transfected in factor-negative benign tumor cells. Forced expression of GM-CSF resulted in invasive growth and enhanced tumor cell proliferation in a three-dimensional culture model in vitro, yet tumor growth in vivo remained only transient. Constitutive expression of G-CSF, however, caused a shift from benign to malignant and strongly angiogenic tumors. Moreover, cells recultured from G-CSF-transfected tumors exhibited enhanced tumor aggressiveness upon reinjection, i.e., earlier onset and faster tumor expansion. Remarkably, this further step in tumor progression was again associated with the constitutive expression of GM-CSF strongly indicating a synergistic action of both factors. Additionally, expression of GM-CSF in the transfected tumors mediated an earlier recruitment of granulocytes and macrophages to the tumor site, and expression of G-CSF induced an enhanced and persistent angiogenesis and increased the number of gran-ulocytes and macrophages in the tumor vicinity. Thus both factors directly stimulate tumor cell growth and, by modulating the tumor stroma, induce a microenvironment that promotes tumor progression.","author":[{"dropping-particle":"","family":"Obermueller","given":"Eva","non-dropping-particle":"","parse-names":false,"suffix":""},{"dropping-particle":"","family":"Vosseler","given":"Silvia","non-dropping-particle":"","parse-names":false,"suffix":""},{"dropping-particle":"","family":"Fusenig","given":"Norbert E","non-dropping-particle":"","parse-names":false,"suffix":""},{"dropping-particle":"","family":"Mueller","given":"Margareta M","non-dropping-particle":"","parse-names":false,"suffix":""}],"id":"ITEM-3","issued":{"date-parts":[["2004"]]},"title":"Cooperative Autocrine and Paracrine Functions of Granulocyte Colony-Stimulating Factor and Granulocyte-Macrophage Colony-Stimulating Factor in the Progression of Skin Carcinoma Cells","type":"report"},"uris":["http://www.mendeley.com/documents/?uuid=19ac98c3-a96a-3e99-b4c1-5ec0bdb4bb51"]}],"mendeley":{"formattedCitation":"&lt;sup&gt;1–3&lt;/sup&gt;","plainTextFormattedCitation":"1–3","previouslyFormattedCitation":"&lt;i&gt;(1–3)&lt;/i&gt;"},"properties":{"noteIndex":0},"schema":"https://github.com/citation-style-language/schema/raw/master/csl-citation.json"}</w:instrText>
      </w:r>
      <w:r w:rsidR="00CC66F1" w:rsidRPr="00A14B67">
        <w:rPr>
          <w:rFonts w:ascii="Arial" w:hAnsi="Arial" w:cs="Arial"/>
          <w:sz w:val="20"/>
          <w:szCs w:val="20"/>
        </w:rPr>
        <w:fldChar w:fldCharType="separate"/>
      </w:r>
      <w:r w:rsidR="003F04EF" w:rsidRPr="00A14B67">
        <w:rPr>
          <w:rFonts w:ascii="Arial" w:hAnsi="Arial" w:cs="Arial"/>
          <w:noProof/>
          <w:sz w:val="20"/>
          <w:szCs w:val="20"/>
          <w:vertAlign w:val="superscript"/>
        </w:rPr>
        <w:t>1–3</w:t>
      </w:r>
      <w:r w:rsidR="00CC66F1" w:rsidRPr="00A14B67">
        <w:rPr>
          <w:rFonts w:ascii="Arial" w:hAnsi="Arial" w:cs="Arial"/>
          <w:sz w:val="20"/>
          <w:szCs w:val="20"/>
        </w:rPr>
        <w:fldChar w:fldCharType="end"/>
      </w:r>
      <w:r w:rsidR="001F61FE" w:rsidRPr="00A14B67">
        <w:rPr>
          <w:rFonts w:ascii="Arial" w:hAnsi="Arial" w:cs="Arial"/>
          <w:sz w:val="20"/>
          <w:szCs w:val="20"/>
        </w:rPr>
        <w:t xml:space="preserve">. </w:t>
      </w:r>
      <w:r w:rsidR="00B90BB2" w:rsidRPr="00A14B67">
        <w:rPr>
          <w:rFonts w:ascii="Arial" w:hAnsi="Arial" w:cs="Arial"/>
          <w:sz w:val="20"/>
          <w:szCs w:val="20"/>
        </w:rPr>
        <w:t xml:space="preserve">A subset of tumors had several sections cut </w:t>
      </w:r>
      <w:r w:rsidR="00433451" w:rsidRPr="00A14B67">
        <w:rPr>
          <w:rFonts w:ascii="Arial" w:hAnsi="Arial" w:cs="Arial"/>
          <w:sz w:val="20"/>
          <w:szCs w:val="20"/>
        </w:rPr>
        <w:t>as previously described</w:t>
      </w:r>
      <w:r w:rsidR="00B90BB2" w:rsidRPr="00A14B67">
        <w:rPr>
          <w:rFonts w:ascii="Arial" w:hAnsi="Arial" w:cs="Arial"/>
          <w:sz w:val="20"/>
          <w:szCs w:val="20"/>
        </w:rPr>
        <w:t xml:space="preserve"> to sample volumetric vascular density</w:t>
      </w:r>
      <w:r w:rsidR="008776AA" w:rsidRPr="00A14B67">
        <w:rPr>
          <w:rFonts w:ascii="Arial" w:hAnsi="Arial" w:cs="Arial"/>
          <w:sz w:val="20"/>
          <w:szCs w:val="20"/>
        </w:rPr>
        <w:t xml:space="preserve"> </w:t>
      </w:r>
      <w:r w:rsidR="00573B72" w:rsidRPr="00A14B67">
        <w:rPr>
          <w:rFonts w:ascii="Arial" w:hAnsi="Arial" w:cs="Arial"/>
          <w:sz w:val="20"/>
          <w:szCs w:val="20"/>
        </w:rPr>
        <w:t>for correlation</w:t>
      </w:r>
      <w:r w:rsidR="00433451" w:rsidRPr="00A14B67">
        <w:rPr>
          <w:rFonts w:ascii="Arial" w:hAnsi="Arial" w:cs="Arial"/>
          <w:sz w:val="20"/>
          <w:szCs w:val="20"/>
        </w:rPr>
        <w:t xml:space="preserve"> </w:t>
      </w:r>
      <w:r w:rsidR="00433451"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{"citationItems":[{"id":"ITEM-1","itemData":{"DOI":"10.1148/radiol.2015142824","ISSN":"1527-1315","PMID":"26020439","abstract":"PURPOSE To evaluate feasibility and reproducibility of three-dimensional (3D) dynamic contrast material-enhanced (DCE) ultrasonographic (US) imaging by using a clinical matrix array transducer to assess early antiangiogenic treatment effects in human colon cancer xenografts in mice. MATERIALS AND METHODS Animal studies were approved by the Institutional Administrative Panel on Laboratory Animal Care at Stanford University. Three-dimensional DCE US imaging with two techniques (bolus and destruction-replenishment) was performed in human colon cancer xenografts (n = 38) by using a clinical US system and transducer. Twenty-one mice were imaged twice to assess reproducibility. Seventeen mice were scanned before and 24 hours after either antiangiogenic (n = 9) or saline-only (n = 8) treatment. Data sets of 3D DCE US examinations were retrospectively segmented into consecutive 1-mm imaging planes to simulate two-dimensional (2D) DCE US imaging. Six perfusion parameters (peak enhancement [PE], area under the time-intensity curve [AUC], time to peak [TTP], relative blood volume [rBV], relative blood flow [rBF], and blood flow velocity) were measured on both 3D and 2D data sets. Percent area of blood vessels was quantified ex vivo with immunofluorescence. Statistical analyses were performed with the Wilcoxon rank test by calculating intraclass correlation coefficients and by using Pearson correlation analysis. RESULTS Reproducibility of both 3D DCE US imaging techniques was good to excellent (intraclass correlation coefficient, 0.73-0.86). PE, AUC, rBV, and rBF significantly decreased (P ≤ .04) in antiangiogenic versus saline-treated tumors. rBV (r = 0.74; P = .06) and rBF (r = 0.85; P = .02) correlated with ex vivo percent area of blood vessels, although the statistical significance of rBV was not reached, likely because of small sample size. Overall, 2D DCE-US overestimated and underestimated treatment effects from up to 125-fold to170-fold compared with 3D DCE US imaging. If the central tumor plane was assessed, treatment response was underestimated up to threefold or overestimated up to 57-fold on 2D versus 3D DCE US images. CONCLUSION Three-dimensional DCE US imaging with a clinical matrix array transducer is feasible and reproducible to assess tumor perfusion in human colon cancer xenografts in mice and allows for assessment of early treatment response after antiangiogenic therapy.","author":[{"dropping-particle":"","family":"Wang","given":"Huaijun","non-dropping-particle":"","parse-names":false,"suffix":""},{"dropping-particle":"","family":"Hristov","given":"Dimitre","non-dropping-particle":"","parse-names":false,"suffix":""},{"dropping-particle":"","family":"Qin","given":"Jiale","non-dropping-particle":"","parse-names":false,"suffix":""},{"dropping-particle":"","family":"Tian","given":"Lu","non-dropping-particle":"","parse-names":false,"suffix":""},{"dropping-particle":"","family":"Willmann","given":"Jürgen K.","non-dropping-particle":"","parse-names":false,"suffix":""}],"container-title":"Radiology","id":"ITEM-1","issue":"2","issued":{"date-parts":[["2015","11"]]},"note":"From Duplicate 2 (Three-dimensional Dynamic Contrast-enhanced US Imaging for Early Antiangiogenic Treatment Assessment in a Mouse Colon Cancer Model. - Wang, Huaijun; Hristov, Dimitre; Qin, Jiale; Tian, Lu; Willmann, Jürgen K)\n\n{:PMCID:PMC4627439}","page":"424-34","title":"Three-dimensional Dynamic Contrast-enhanced US Imaging for Early Antiangiogenic Treatment Assessment in a Mouse Colon Cancer Model.","type":"article-journal","volume":"277"},"uris":["http://www.mendeley.com/documents/?uuid=bdcada1b-a5b0-4eed-9f82-37ea10f7664a"]}],"mendeley":{"formattedCitation":"&lt;sup&gt;4&lt;/sup&gt;","plainTextFormattedCitation":"4","previouslyFormattedCitation":"&lt;i&gt;(4)&lt;/i&gt;"},"properties":{"noteIndex":0},"schema":"https://github.com/citation-style-language/schema/raw/master/csl-citation.json"}</w:instrText>
      </w:r>
      <w:r w:rsidR="00433451" w:rsidRPr="00A14B67">
        <w:rPr>
          <w:rFonts w:ascii="Arial" w:hAnsi="Arial" w:cs="Arial"/>
          <w:sz w:val="20"/>
          <w:szCs w:val="20"/>
        </w:rPr>
        <w:fldChar w:fldCharType="separate"/>
      </w:r>
      <w:r w:rsidR="003F04EF" w:rsidRPr="00A14B67">
        <w:rPr>
          <w:rFonts w:ascii="Arial" w:hAnsi="Arial" w:cs="Arial"/>
          <w:noProof/>
          <w:sz w:val="20"/>
          <w:szCs w:val="20"/>
          <w:vertAlign w:val="superscript"/>
        </w:rPr>
        <w:t>4</w:t>
      </w:r>
      <w:r w:rsidR="00433451" w:rsidRPr="00A14B67">
        <w:rPr>
          <w:rFonts w:ascii="Arial" w:hAnsi="Arial" w:cs="Arial"/>
          <w:sz w:val="20"/>
          <w:szCs w:val="20"/>
        </w:rPr>
        <w:fldChar w:fldCharType="end"/>
      </w:r>
      <w:r w:rsidR="00B90BB2" w:rsidRPr="00A14B67">
        <w:rPr>
          <w:rFonts w:ascii="Arial" w:hAnsi="Arial" w:cs="Arial"/>
          <w:sz w:val="20"/>
          <w:szCs w:val="20"/>
        </w:rPr>
        <w:t xml:space="preserve">. </w:t>
      </w:r>
      <w:r w:rsidR="001F61FE" w:rsidRPr="00A14B67">
        <w:rPr>
          <w:rFonts w:ascii="Arial" w:eastAsia="AdvP8C43" w:hAnsi="Arial" w:cs="Arial"/>
          <w:sz w:val="20"/>
          <w:szCs w:val="20"/>
        </w:rPr>
        <w:t xml:space="preserve">Fluorescent microscopy was performed by using a LSM510 metaconfocal microscope (Zeiss, Maple Grove,MN) and a high-resolution digital camera (AxioCam MRc, Bernried, Germany) under 200-fold magnification. The </w:t>
      </w:r>
      <w:r w:rsidR="00203ADF" w:rsidRPr="00A14B67">
        <w:rPr>
          <w:rFonts w:ascii="Arial" w:eastAsia="AdvP8C43" w:hAnsi="Arial" w:cs="Arial"/>
          <w:sz w:val="20"/>
          <w:szCs w:val="20"/>
        </w:rPr>
        <w:t>mean vascular density (MVD)</w:t>
      </w:r>
      <w:r w:rsidR="001F61FE" w:rsidRPr="00A14B67">
        <w:rPr>
          <w:rFonts w:ascii="Arial" w:eastAsia="AdvP8C43" w:hAnsi="Arial" w:cs="Arial"/>
          <w:sz w:val="20"/>
          <w:szCs w:val="20"/>
        </w:rPr>
        <w:t xml:space="preserve"> per slice was quantified by using Image J software (National Institutes of Health, Bethesda, MD) as the average value from 5 randomly selected fields of view (single field of view area, 0.19 mm</w:t>
      </w:r>
      <w:r w:rsidR="001F61FE" w:rsidRPr="00A14B67">
        <w:rPr>
          <w:rFonts w:ascii="Arial" w:eastAsia="AdvP8C43" w:hAnsi="Arial" w:cs="Arial"/>
          <w:sz w:val="20"/>
          <w:szCs w:val="20"/>
          <w:vertAlign w:val="superscript"/>
        </w:rPr>
        <w:t>2</w:t>
      </w:r>
      <w:r w:rsidR="001F61FE" w:rsidRPr="00A14B67">
        <w:rPr>
          <w:rFonts w:ascii="Arial" w:eastAsia="AdvP8C43" w:hAnsi="Arial" w:cs="Arial"/>
          <w:sz w:val="20"/>
          <w:szCs w:val="20"/>
        </w:rPr>
        <w:t xml:space="preserve">). </w:t>
      </w:r>
      <w:r w:rsidR="00203ADF" w:rsidRPr="00A14B67">
        <w:rPr>
          <w:rFonts w:ascii="Arial" w:eastAsia="AdvP8C43" w:hAnsi="Arial" w:cs="Arial"/>
          <w:sz w:val="20"/>
          <w:szCs w:val="20"/>
        </w:rPr>
        <w:t>The MVD was significantly (</w:t>
      </w:r>
      <w:bookmarkStart w:id="7" w:name="OLE_LINK116"/>
      <w:bookmarkStart w:id="8" w:name="OLE_LINK117"/>
      <w:r w:rsidR="00203ADF" w:rsidRPr="00A14B67">
        <w:rPr>
          <w:rFonts w:ascii="Arial" w:eastAsia="AdvP8C43" w:hAnsi="Arial" w:cs="Arial"/>
          <w:i/>
          <w:sz w:val="20"/>
          <w:szCs w:val="20"/>
        </w:rPr>
        <w:t xml:space="preserve">p </w:t>
      </w:r>
      <w:r w:rsidR="00203ADF" w:rsidRPr="00A14B67">
        <w:rPr>
          <w:rFonts w:ascii="Arial" w:hAnsi="Arial" w:cs="Arial"/>
          <w:bCs/>
          <w:color w:val="000000" w:themeColor="text1"/>
          <w:sz w:val="20"/>
          <w:szCs w:val="20"/>
        </w:rPr>
        <w:t>&lt;</w:t>
      </w:r>
      <w:r w:rsidR="00203ADF" w:rsidRPr="00A14B67">
        <w:rPr>
          <w:rFonts w:ascii="Arial" w:eastAsia="AdvP8C43" w:hAnsi="Arial" w:cs="Arial"/>
          <w:sz w:val="20"/>
          <w:szCs w:val="20"/>
        </w:rPr>
        <w:t>0.001</w:t>
      </w:r>
      <w:bookmarkEnd w:id="7"/>
      <w:bookmarkEnd w:id="8"/>
      <w:r w:rsidR="00203ADF" w:rsidRPr="00A14B67">
        <w:rPr>
          <w:rFonts w:ascii="Arial" w:eastAsia="AdvP8C43" w:hAnsi="Arial" w:cs="Arial"/>
          <w:sz w:val="20"/>
          <w:szCs w:val="20"/>
        </w:rPr>
        <w:t>) lower in bevacizumab-treated compared to</w:t>
      </w:r>
      <w:r w:rsidR="00203ADF" w:rsidRPr="00A14B67">
        <w:rPr>
          <w:rFonts w:ascii="Arial" w:eastAsia="AdvP8C43" w:hAnsi="Arial" w:cs="Arial" w:hint="eastAsia"/>
          <w:sz w:val="20"/>
          <w:szCs w:val="20"/>
        </w:rPr>
        <w:t xml:space="preserve"> </w:t>
      </w:r>
      <w:r w:rsidR="00320FC8" w:rsidRPr="00A14B67">
        <w:rPr>
          <w:rFonts w:ascii="Arial" w:eastAsia="AdvP8C43" w:hAnsi="Arial" w:cs="Arial"/>
          <w:sz w:val="20"/>
          <w:szCs w:val="20"/>
        </w:rPr>
        <w:t>control</w:t>
      </w:r>
      <w:r w:rsidR="00E86FD2" w:rsidRPr="00A14B67">
        <w:rPr>
          <w:rFonts w:ascii="Arial" w:eastAsia="AdvP8C43" w:hAnsi="Arial" w:cs="Arial"/>
          <w:sz w:val="20"/>
          <w:szCs w:val="20"/>
        </w:rPr>
        <w:t xml:space="preserve"> responder</w:t>
      </w:r>
      <w:r w:rsidR="00203ADF" w:rsidRPr="00A14B67">
        <w:rPr>
          <w:rFonts w:ascii="Arial" w:eastAsia="AdvP8C43" w:hAnsi="Arial" w:cs="Arial"/>
          <w:sz w:val="20"/>
          <w:szCs w:val="20"/>
        </w:rPr>
        <w:t xml:space="preserve"> tumors</w:t>
      </w:r>
      <w:r w:rsidR="00E86FD2" w:rsidRPr="00A14B67">
        <w:rPr>
          <w:rFonts w:ascii="Arial" w:eastAsia="AdvP8C43" w:hAnsi="Arial" w:cs="Arial"/>
          <w:sz w:val="20"/>
          <w:szCs w:val="20"/>
        </w:rPr>
        <w:t xml:space="preserve"> (LS174T</w:t>
      </w:r>
      <w:r w:rsidR="005D7DCD" w:rsidRPr="00A14B67">
        <w:rPr>
          <w:rFonts w:ascii="Arial" w:eastAsia="AdvP8C43" w:hAnsi="Arial" w:cs="Arial"/>
          <w:sz w:val="20"/>
          <w:szCs w:val="20"/>
        </w:rPr>
        <w:t>)</w:t>
      </w:r>
      <w:r w:rsidR="00C61144" w:rsidRPr="00A14B67">
        <w:rPr>
          <w:rFonts w:ascii="Arial" w:eastAsia="AdvP8C43" w:hAnsi="Arial" w:cs="Arial"/>
          <w:sz w:val="20"/>
          <w:szCs w:val="20"/>
        </w:rPr>
        <w:t xml:space="preserve"> [REF]</w:t>
      </w:r>
      <w:r w:rsidR="00203ADF" w:rsidRPr="00A14B67">
        <w:rPr>
          <w:rFonts w:ascii="Arial" w:eastAsia="AdvP8C43" w:hAnsi="Arial" w:cs="Arial"/>
          <w:sz w:val="20"/>
          <w:szCs w:val="20"/>
        </w:rPr>
        <w:t>. No significant differences (</w:t>
      </w:r>
      <w:r w:rsidR="00203ADF" w:rsidRPr="00A14B67">
        <w:rPr>
          <w:rFonts w:ascii="Arial" w:eastAsia="AdvP8C43" w:hAnsi="Arial" w:cs="Arial"/>
          <w:i/>
          <w:sz w:val="20"/>
          <w:szCs w:val="20"/>
        </w:rPr>
        <w:t>p</w:t>
      </w:r>
      <w:r w:rsidR="00203ADF" w:rsidRPr="00A14B67">
        <w:rPr>
          <w:rFonts w:ascii="Arial" w:eastAsia="AdvP8C43" w:hAnsi="Arial" w:cs="Arial"/>
          <w:sz w:val="20"/>
          <w:szCs w:val="20"/>
        </w:rPr>
        <w:t xml:space="preserve"> &gt; 0.05) in the MVD between treated and control tumors were noted in non-responders (CT26)</w:t>
      </w:r>
      <w:r w:rsidR="00C61144" w:rsidRPr="00A14B67">
        <w:rPr>
          <w:rFonts w:ascii="Arial" w:eastAsia="AdvP8C43" w:hAnsi="Arial" w:cs="Arial"/>
          <w:sz w:val="20"/>
          <w:szCs w:val="20"/>
        </w:rPr>
        <w:t xml:space="preserve"> [REF]</w:t>
      </w:r>
      <w:r w:rsidR="00203ADF" w:rsidRPr="00A14B67">
        <w:rPr>
          <w:rFonts w:ascii="Arial" w:eastAsia="AdvP8C43" w:hAnsi="Arial" w:cs="Arial"/>
          <w:sz w:val="20"/>
          <w:szCs w:val="20"/>
        </w:rPr>
        <w:t>.</w:t>
      </w:r>
      <w:r w:rsidR="005D7DCD" w:rsidRPr="00A14B67">
        <w:rPr>
          <w:rFonts w:ascii="Arial" w:eastAsia="AdvP8C43" w:hAnsi="Arial" w:cs="Arial"/>
          <w:sz w:val="20"/>
          <w:szCs w:val="20"/>
        </w:rPr>
        <w:t xml:space="preserve"> </w:t>
      </w:r>
      <w:r w:rsidR="00B75F27" w:rsidRPr="00A14B67">
        <w:rPr>
          <w:rFonts w:ascii="Arial" w:hAnsi="Arial" w:cs="Arial"/>
          <w:b/>
          <w:i/>
          <w:color w:val="000000" w:themeColor="text1"/>
          <w:sz w:val="20"/>
          <w:szCs w:val="20"/>
        </w:rPr>
        <w:t>Tumor grow</w:t>
      </w:r>
      <w:r w:rsidR="00B75F27" w:rsidRPr="00A14B67">
        <w:rPr>
          <w:rFonts w:ascii="Arial" w:hAnsi="Arial" w:cs="Arial"/>
          <w:b/>
          <w:i/>
          <w:sz w:val="20"/>
          <w:szCs w:val="20"/>
        </w:rPr>
        <w:t>th</w:t>
      </w:r>
      <w:r w:rsidR="00B75F27" w:rsidRPr="00A14B67">
        <w:rPr>
          <w:rFonts w:ascii="Arial" w:hAnsi="Arial" w:cs="Arial"/>
          <w:sz w:val="20"/>
          <w:szCs w:val="20"/>
        </w:rPr>
        <w:t xml:space="preserve"> was monitored by </w:t>
      </w:r>
      <w:r w:rsidR="00B75F27" w:rsidRPr="00A14B67">
        <w:rPr>
          <w:rFonts w:ascii="Arial" w:hAnsi="Arial" w:cs="Arial"/>
          <w:color w:val="000000"/>
          <w:sz w:val="20"/>
          <w:szCs w:val="20"/>
        </w:rPr>
        <w:t xml:space="preserve">using </w:t>
      </w:r>
      <w:r w:rsidR="00B75F27" w:rsidRPr="00A14B67">
        <w:rPr>
          <w:rFonts w:ascii="Arial" w:hAnsi="Arial" w:cs="Arial"/>
          <w:sz w:val="20"/>
          <w:szCs w:val="20"/>
        </w:rPr>
        <w:t>electronic</w:t>
      </w:r>
      <w:r w:rsidR="00B75F27" w:rsidRPr="00A14B67">
        <w:rPr>
          <w:rFonts w:ascii="Arial" w:hAnsi="Arial" w:cs="Arial"/>
          <w:color w:val="000000"/>
          <w:sz w:val="20"/>
          <w:szCs w:val="20"/>
        </w:rPr>
        <w:t xml:space="preserve"> calipers</w:t>
      </w:r>
      <w:r w:rsidR="00B75F27" w:rsidRPr="00A14B67">
        <w:rPr>
          <w:rFonts w:ascii="Arial" w:hAnsi="Arial" w:cs="Arial"/>
          <w:sz w:val="20"/>
          <w:szCs w:val="20"/>
        </w:rPr>
        <w:t xml:space="preserve"> measurements available on the ultrasound system</w:t>
      </w:r>
      <w:r w:rsidR="007D254A" w:rsidRPr="00A14B67">
        <w:rPr>
          <w:rFonts w:ascii="Arial" w:hAnsi="Arial" w:cs="Arial"/>
          <w:sz w:val="20"/>
          <w:szCs w:val="20"/>
        </w:rPr>
        <w:t xml:space="preserve"> using the following formula: </w:t>
      </w:r>
      <w:r w:rsidR="007D254A" w:rsidRPr="00A14B67">
        <w:rPr>
          <w:rFonts w:ascii="Arial" w:hAnsi="Arial" w:cs="Arial"/>
          <w:color w:val="000000"/>
          <w:sz w:val="20"/>
          <w:szCs w:val="20"/>
        </w:rPr>
        <w:t>volume = π/6 ×</w:t>
      </w:r>
      <w:r w:rsidR="007D254A" w:rsidRPr="00A14B67">
        <w:rPr>
          <w:rFonts w:ascii="Arial" w:hAnsi="Arial" w:cs="Arial"/>
          <w:i/>
          <w:color w:val="000000"/>
          <w:sz w:val="20"/>
          <w:szCs w:val="20"/>
        </w:rPr>
        <w:t xml:space="preserve"> L</w:t>
      </w:r>
      <w:r w:rsidR="007D254A" w:rsidRPr="00A14B67">
        <w:rPr>
          <w:rFonts w:ascii="Arial" w:hAnsi="Arial" w:cs="Arial"/>
          <w:color w:val="000000"/>
          <w:sz w:val="20"/>
          <w:szCs w:val="20"/>
        </w:rPr>
        <w:t xml:space="preserve"> × </w:t>
      </w:r>
      <w:r w:rsidR="007D254A" w:rsidRPr="00A14B67">
        <w:rPr>
          <w:rFonts w:ascii="Arial" w:hAnsi="Arial" w:cs="Arial"/>
          <w:i/>
          <w:color w:val="000000"/>
          <w:sz w:val="20"/>
          <w:szCs w:val="20"/>
        </w:rPr>
        <w:t>W</w:t>
      </w:r>
      <w:r w:rsidR="007D254A" w:rsidRPr="00A14B67">
        <w:rPr>
          <w:rFonts w:ascii="Arial" w:hAnsi="Arial" w:cs="Arial"/>
          <w:color w:val="000000"/>
          <w:sz w:val="20"/>
          <w:szCs w:val="20"/>
        </w:rPr>
        <w:t xml:space="preserve"> × </w:t>
      </w:r>
      <w:r w:rsidR="007D254A" w:rsidRPr="00A14B67">
        <w:rPr>
          <w:rFonts w:ascii="Arial" w:hAnsi="Arial" w:cs="Arial"/>
          <w:i/>
          <w:color w:val="000000"/>
          <w:sz w:val="20"/>
          <w:szCs w:val="20"/>
        </w:rPr>
        <w:t>H</w:t>
      </w:r>
      <w:r w:rsidR="007D254A" w:rsidRPr="00A14B67">
        <w:rPr>
          <w:rFonts w:ascii="Arial" w:hAnsi="Arial" w:cs="Arial"/>
          <w:color w:val="000000"/>
          <w:sz w:val="20"/>
          <w:szCs w:val="20"/>
        </w:rPr>
        <w:t xml:space="preserve">, where </w:t>
      </w:r>
      <w:r w:rsidR="007D254A" w:rsidRPr="00A14B67">
        <w:rPr>
          <w:rFonts w:ascii="Arial" w:hAnsi="Arial" w:cs="Arial"/>
          <w:i/>
          <w:color w:val="000000"/>
          <w:sz w:val="20"/>
          <w:szCs w:val="20"/>
        </w:rPr>
        <w:t xml:space="preserve">L </w:t>
      </w:r>
      <w:r w:rsidR="007D254A" w:rsidRPr="00A14B67">
        <w:rPr>
          <w:rFonts w:ascii="Arial" w:hAnsi="Arial" w:cs="Arial"/>
          <w:color w:val="000000"/>
          <w:sz w:val="20"/>
          <w:szCs w:val="20"/>
        </w:rPr>
        <w:t xml:space="preserve">is length, </w:t>
      </w:r>
      <w:r w:rsidR="007D254A" w:rsidRPr="00A14B67">
        <w:rPr>
          <w:rFonts w:ascii="Arial" w:hAnsi="Arial" w:cs="Arial"/>
          <w:i/>
          <w:color w:val="000000"/>
          <w:sz w:val="20"/>
          <w:szCs w:val="20"/>
        </w:rPr>
        <w:t>W</w:t>
      </w:r>
      <w:r w:rsidR="007D254A" w:rsidRPr="00A14B67">
        <w:rPr>
          <w:rFonts w:ascii="Arial" w:hAnsi="Arial" w:cs="Arial"/>
          <w:color w:val="000000"/>
          <w:sz w:val="20"/>
          <w:szCs w:val="20"/>
        </w:rPr>
        <w:t xml:space="preserve"> is width, and </w:t>
      </w:r>
      <w:r w:rsidR="007D254A" w:rsidRPr="00A14B67">
        <w:rPr>
          <w:rFonts w:ascii="Arial" w:hAnsi="Arial" w:cs="Arial"/>
          <w:i/>
          <w:color w:val="000000"/>
          <w:sz w:val="20"/>
          <w:szCs w:val="20"/>
        </w:rPr>
        <w:t>H</w:t>
      </w:r>
      <w:r w:rsidR="007D254A" w:rsidRPr="00A14B67">
        <w:rPr>
          <w:rFonts w:ascii="Arial" w:hAnsi="Arial" w:cs="Arial"/>
          <w:color w:val="000000"/>
          <w:sz w:val="20"/>
          <w:szCs w:val="20"/>
        </w:rPr>
        <w:t xml:space="preserve"> is height</w:t>
      </w:r>
      <w:r w:rsidR="007D254A" w:rsidRPr="00A14B67">
        <w:rPr>
          <w:rFonts w:ascii="Arial" w:hAnsi="Arial" w:cs="Arial"/>
          <w:sz w:val="20"/>
          <w:szCs w:val="20"/>
        </w:rPr>
        <w:t>. Measurements were</w:t>
      </w:r>
      <w:r w:rsidR="00B75C74" w:rsidRPr="00A14B67">
        <w:rPr>
          <w:rFonts w:ascii="Arial" w:hAnsi="Arial" w:cs="Arial"/>
          <w:sz w:val="20"/>
          <w:szCs w:val="20"/>
        </w:rPr>
        <w:t xml:space="preserve"> significant</w:t>
      </w:r>
      <w:r w:rsidR="007D254A" w:rsidRPr="00A14B67">
        <w:rPr>
          <w:rFonts w:ascii="Arial" w:hAnsi="Arial" w:cs="Arial"/>
          <w:sz w:val="20"/>
          <w:szCs w:val="20"/>
        </w:rPr>
        <w:t>ly</w:t>
      </w:r>
      <w:r w:rsidR="00B75C74" w:rsidRPr="00A14B67">
        <w:rPr>
          <w:rFonts w:ascii="Arial" w:hAnsi="Arial" w:cs="Arial"/>
          <w:sz w:val="20"/>
          <w:szCs w:val="20"/>
        </w:rPr>
        <w:t xml:space="preserve"> different between </w:t>
      </w:r>
      <w:r w:rsidR="007D254A" w:rsidRPr="00A14B67">
        <w:rPr>
          <w:rFonts w:ascii="Arial" w:hAnsi="Arial" w:cs="Arial"/>
          <w:sz w:val="20"/>
          <w:szCs w:val="20"/>
        </w:rPr>
        <w:t>control and treated responders (LS174T) on day 3, 7 and 10 (p&lt;0.001), but not on day 1 or on any day in non-responders (CT26) (p &gt; 0.05)</w:t>
      </w:r>
      <w:r w:rsidR="00433451"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{"citationItems":[{"id":"ITEM-1","itemData":{"DOI":"10.1007/s10456-017-9566-5","ISSN":"1573-7209","PMID":"28721500","abstract":"Due to spatial tumor heterogeneity and consecutive sampling errors, it is critically important to assess treatment response following antiangiogenic therapy in three dimensions as two-dimensional assessment has been shown to substantially over- and underestimate treatment response. In this study, we evaluated whether three-dimensional (3D) dynamic contrast-enhanced ultrasound (DCE-US) imaging allows assessing early changes in tumor perfusion following antiangiogenic treatment (bevacizumab administered at a dose of 10 mg/kg b.w.), and whether these changes could predict treatment response in colon cancer tumors that either are responsive (LS174T tumors) or none responsive (CT26) to the proposed treatment. Our results showed that the perfusion parameters of 3D DCE-US including peak enhancement (PE) and area under curve (AUC) significantly decreased by up to 69 and 77%, respectively, in LS174T tumors within 1 day after antiangiogenic treatment (P = 0.005), but not in CT26 tumors (P &gt; 0.05). Similarly, the percentage area of neovasculature significantly decreased in treated versus control LS174T tumors (P &lt; 0.001), but not in treated versus control CT26 tumors (P = 0.796). Early decrease in both PE and AUC by 45-50% was predictive of treatment response in 100% (95% CI 69.2, 100%) of responding tumors, and in 100% (95% CI 88.4, 100%) and 86.7% (95% CI 69.3, 96.2%), respectively, of nonresponding tumors. In conclusion, 3D DCE-US provides clinically relevant information on the variability of tumor response to antiangiogenic therapy and may be further developed as biomarker for predicting treatment outcomes.","author":[{"dropping-particle":"","family":"Zhou","given":"Jianhua","non-dropping-particle":"","parse-names":false,"suffix":""},{"dropping-particle":"","family":"Zhang","given":"Huiping","non-dropping-particle":"","parse-names":false,"suffix":""},{"dropping-particle":"","family":"Wang","given":"Huaijun","non-dropping-particle":"","parse-names":false,"suffix":""},{"dropping-particle":"","family":"Lutz","given":"Amelie M","non-dropping-particle":"","parse-names":false,"suffix":""},{"dropping-particle":"","family":"Kaffas","given":"Ahmed","non-dropping-particle":"El","parse-names":false,"suffix":""},{"dropping-particle":"","family":"Tian","given":"Lu","non-dropping-particle":"","parse-names":false,"suffix":""},{"dropping-particle":"","family":"Hristov","given":"Dimitre","non-dropping-particle":"","parse-names":false,"suffix":""},{"dropping-particle":"","family":"Willmann","given":"Jürgen K.","non-dropping-particle":"","parse-names":false,"suffix":""}],"container-title":"Angiogenesis","id":"ITEM-1","issue":"4","issued":{"date-parts":[["2017","11","18"]]},"note":"{:PMCID: PMC5660665}","page":"547-555","title":"Early prediction of tumor response to bevacizumab treatment in murine colon cancer models using three-dimensional dynamic contrast-enhanced ultrasound imaging.","type":"article-journal","volume":"20"},"uris":["http://www.mendeley.com/documents/?uuid=f043ca49-d6ba-4646-a2f8-1c5786e7fedd"]}],"mendeley":{"formattedCitation":"&lt;sup&gt;2&lt;/sup&gt;","plainTextFormattedCitation":"2","previouslyFormattedCitation":"&lt;i&gt;(2)&lt;/i&gt;"},"properties":{"noteIndex":0},"schema":"https://github.com/citation-style-language/schema/raw/master/csl-citation.json"}</w:instrText>
      </w:r>
      <w:r w:rsidR="00433451" w:rsidRPr="00A14B67">
        <w:rPr>
          <w:rFonts w:ascii="Arial" w:hAnsi="Arial" w:cs="Arial"/>
          <w:sz w:val="20"/>
          <w:szCs w:val="20"/>
        </w:rPr>
        <w:fldChar w:fldCharType="separate"/>
      </w:r>
      <w:r w:rsidR="003F04EF" w:rsidRPr="00A14B67">
        <w:rPr>
          <w:rFonts w:ascii="Arial" w:hAnsi="Arial" w:cs="Arial"/>
          <w:noProof/>
          <w:sz w:val="20"/>
          <w:szCs w:val="20"/>
          <w:vertAlign w:val="superscript"/>
        </w:rPr>
        <w:t>2</w:t>
      </w:r>
      <w:r w:rsidR="00433451" w:rsidRPr="00A14B67">
        <w:rPr>
          <w:rFonts w:ascii="Arial" w:hAnsi="Arial" w:cs="Arial"/>
          <w:sz w:val="20"/>
          <w:szCs w:val="20"/>
        </w:rPr>
        <w:fldChar w:fldCharType="end"/>
      </w:r>
      <w:r w:rsidR="007D254A" w:rsidRPr="00A14B67">
        <w:rPr>
          <w:rFonts w:ascii="Arial" w:hAnsi="Arial" w:cs="Arial"/>
          <w:sz w:val="20"/>
          <w:szCs w:val="20"/>
        </w:rPr>
        <w:t xml:space="preserve">. </w:t>
      </w:r>
    </w:p>
    <w:p w14:paraId="32BAB34A" w14:textId="77777777" w:rsidR="007A6CE6" w:rsidRPr="00A14B67" w:rsidRDefault="007A6CE6" w:rsidP="00A06A7D">
      <w:pPr>
        <w:widowControl w:val="0"/>
        <w:autoSpaceDE w:val="0"/>
        <w:autoSpaceDN w:val="0"/>
        <w:spacing w:line="420" w:lineRule="auto"/>
        <w:jc w:val="both"/>
        <w:rPr>
          <w:rFonts w:ascii="Arial" w:hAnsi="Arial" w:cs="Arial"/>
          <w:sz w:val="20"/>
          <w:szCs w:val="20"/>
        </w:rPr>
      </w:pPr>
      <w:r w:rsidRPr="00A14B67">
        <w:rPr>
          <w:rFonts w:ascii="Arial" w:hAnsi="Arial" w:cs="Arial"/>
          <w:b/>
          <w:bCs/>
          <w:sz w:val="20"/>
          <w:szCs w:val="20"/>
        </w:rPr>
        <w:t>Antiangiogenic Treatment</w:t>
      </w:r>
    </w:p>
    <w:p w14:paraId="6A3C9F5D" w14:textId="25AEBFF7" w:rsidR="007A6CE6" w:rsidRPr="00A14B67" w:rsidRDefault="005C1334" w:rsidP="00A06A7D">
      <w:pPr>
        <w:widowControl w:val="0"/>
        <w:autoSpaceDE w:val="0"/>
        <w:autoSpaceDN w:val="0"/>
        <w:spacing w:line="420" w:lineRule="auto"/>
        <w:jc w:val="both"/>
        <w:rPr>
          <w:rFonts w:ascii="Arial" w:hAnsi="Arial" w:cs="Arial"/>
          <w:sz w:val="20"/>
          <w:szCs w:val="20"/>
        </w:rPr>
      </w:pPr>
      <w:r w:rsidRPr="00A14B67">
        <w:rPr>
          <w:rFonts w:ascii="Arial" w:hAnsi="Arial" w:cs="Arial"/>
          <w:sz w:val="20"/>
          <w:szCs w:val="20"/>
        </w:rPr>
        <w:t>M</w:t>
      </w:r>
      <w:r w:rsidR="007A6CE6" w:rsidRPr="00A14B67">
        <w:rPr>
          <w:rFonts w:ascii="Arial" w:hAnsi="Arial" w:cs="Arial"/>
          <w:sz w:val="20"/>
          <w:szCs w:val="20"/>
        </w:rPr>
        <w:t xml:space="preserve">ice were randomized into </w:t>
      </w:r>
      <w:r w:rsidRPr="00A14B67">
        <w:rPr>
          <w:rFonts w:ascii="Arial" w:hAnsi="Arial" w:cs="Arial"/>
          <w:sz w:val="20"/>
          <w:szCs w:val="20"/>
        </w:rPr>
        <w:t>groups as per Figure 1A</w:t>
      </w:r>
      <w:r w:rsidR="007A6CE6" w:rsidRPr="00A14B67">
        <w:rPr>
          <w:rFonts w:ascii="Arial" w:hAnsi="Arial" w:cs="Arial"/>
          <w:sz w:val="20"/>
          <w:szCs w:val="20"/>
        </w:rPr>
        <w:t xml:space="preserve">. Treated animals received the anti-angiogenic Bevacizumab (Avastin, Genentech, South San Francisco, CA) at baseline (immediately after imaging) as well as on days 3 and 7 (in animals followed beyond 24 hours) after the first injection of the drug. The agent was diluted in sterile saline to a dose of 10 mg/kg </w:t>
      </w:r>
      <w:r w:rsidR="007A6CE6" w:rsidRPr="00A14B67">
        <w:rPr>
          <w:rFonts w:ascii="Arial" w:hAnsi="Arial" w:cs="Arial"/>
          <w:sz w:val="20"/>
          <w:szCs w:val="20"/>
        </w:rPr>
        <w:lastRenderedPageBreak/>
        <w:t xml:space="preserve">b.w. </w:t>
      </w:r>
      <w:r w:rsidR="007A6CE6" w:rsidRPr="00A14B67">
        <w:rPr>
          <w:rFonts w:ascii="Arial" w:hAnsi="Arial" w:cs="Arial"/>
          <w:color w:val="000000" w:themeColor="text1"/>
          <w:sz w:val="20"/>
          <w:szCs w:val="20"/>
        </w:rPr>
        <w:t xml:space="preserve">(corresponding to a fluid volume of 10 μl/g b.w.) and administered intravenously. The same volume of saline alone was administered on the same days in control animals. </w:t>
      </w:r>
      <w:r w:rsidR="007A6CE6" w:rsidRPr="00A14B67">
        <w:rPr>
          <w:rFonts w:ascii="Arial" w:hAnsi="Arial" w:cs="Arial"/>
          <w:sz w:val="20"/>
          <w:szCs w:val="20"/>
        </w:rPr>
        <w:t xml:space="preserve">A total of 11 animals in the treatment (n=6) and control (n=5) groups </w:t>
      </w:r>
      <w:r w:rsidR="00C81A58" w:rsidRPr="00A14B67">
        <w:rPr>
          <w:rFonts w:ascii="Arial" w:hAnsi="Arial" w:cs="Arial"/>
          <w:sz w:val="20"/>
          <w:szCs w:val="20"/>
        </w:rPr>
        <w:t xml:space="preserve">for LS174T </w:t>
      </w:r>
      <w:r w:rsidR="007A6CE6" w:rsidRPr="00A14B67">
        <w:rPr>
          <w:rFonts w:ascii="Arial" w:hAnsi="Arial" w:cs="Arial"/>
          <w:sz w:val="20"/>
          <w:szCs w:val="20"/>
        </w:rPr>
        <w:t xml:space="preserve">that were imaged and sacrificed at baseline and 24 hours following the start of therapy only, with the goal of characterizing early manifestations of vascular density. </w:t>
      </w:r>
    </w:p>
    <w:p w14:paraId="06864B35" w14:textId="77777777" w:rsidR="00A02EDD" w:rsidRPr="00A14B67" w:rsidRDefault="00A02EDD" w:rsidP="00A06A7D">
      <w:pPr>
        <w:widowControl w:val="0"/>
        <w:autoSpaceDE w:val="0"/>
        <w:autoSpaceDN w:val="0"/>
        <w:spacing w:line="420" w:lineRule="auto"/>
        <w:jc w:val="both"/>
        <w:rPr>
          <w:rFonts w:ascii="Arial" w:hAnsi="Arial" w:cs="Arial"/>
          <w:sz w:val="20"/>
          <w:szCs w:val="20"/>
        </w:rPr>
      </w:pPr>
      <w:r w:rsidRPr="00A14B67">
        <w:rPr>
          <w:rFonts w:ascii="Arial" w:hAnsi="Arial" w:cs="Arial"/>
          <w:b/>
          <w:sz w:val="20"/>
          <w:szCs w:val="20"/>
        </w:rPr>
        <w:t>Three-Dimensional DCE-US Data Acquisition</w:t>
      </w:r>
    </w:p>
    <w:p w14:paraId="3EA195BC" w14:textId="700CBA08" w:rsidR="00387930" w:rsidRPr="00A14B67" w:rsidRDefault="00387930" w:rsidP="00A06A7D">
      <w:pPr>
        <w:spacing w:line="420" w:lineRule="auto"/>
        <w:jc w:val="both"/>
        <w:outlineLvl w:val="0"/>
        <w:rPr>
          <w:rFonts w:ascii="Arial" w:hAnsi="Arial" w:cs="Arial"/>
          <w:b/>
          <w:sz w:val="20"/>
          <w:szCs w:val="20"/>
        </w:rPr>
      </w:pPr>
      <w:r w:rsidRPr="00A14B67">
        <w:rPr>
          <w:rFonts w:ascii="Arial" w:hAnsi="Arial" w:cs="Arial"/>
          <w:sz w:val="20"/>
          <w:szCs w:val="20"/>
        </w:rPr>
        <w:t xml:space="preserve">DCE-US uses FDA-approved intravascular ultrasound </w:t>
      </w:r>
      <w:r w:rsidRPr="00A14B67">
        <w:rPr>
          <w:rFonts w:ascii="Arial" w:hAnsi="Arial" w:cs="Arial"/>
          <w:color w:val="000000" w:themeColor="text1"/>
          <w:sz w:val="20"/>
          <w:szCs w:val="20"/>
        </w:rPr>
        <w:t xml:space="preserve">contrast agents, which consist of </w:t>
      </w:r>
      <w:r w:rsidRPr="00A14B67">
        <w:rPr>
          <w:rFonts w:ascii="Arial" w:hAnsi="Arial" w:cs="Arial"/>
          <w:sz w:val="20"/>
          <w:szCs w:val="20"/>
        </w:rPr>
        <w:t xml:space="preserve">highly echogenic, micron-sized gas bubbles (microbubbles), stabilized by a shell made from biodegradable materials </w:t>
      </w:r>
      <w:r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{"citationItems":[{"id":"ITEM-1","itemData":{"DOI":"10.1016/j.euje.2004.02.001","ISSN":"1525-2167","PMID":"15219539","abstract":"The development of ultrasound contrast agents, containing encapsulated microbubbles, has increased the possibilities for diagnostic imaging. Ultrasound contrast agents are currently used to enhance left ventricular opacification, increase Doppler signal intensity, and in myocardial perfusion imaging. Diagnostic imaging with contrast agents is performed with low acoustic pressure using non-linear reflection of ultrasound waves by microbubbles. Ultrasound causes bubble destruction, which lowers the threshold for cavitation, resulting in microstreaming and increased permeability of cell membranes. Interestingly, this mechanism can be used for delivery of drugs or genes into tissue. Microbubbles have been shown to be capable of carrying drugs and genes, and destruction of the bubbles will result in local release of their contents. Recent studies demonstrated the potential of microbubbles and ultrasound in thrombolysis. In this article, we will review the recent advances of microbubbles as a vehicle for delivery of drugs and genes, and discuss possible therapeutic applications in thrombolysis.","author":[{"dropping-particle":"","family":"Dijkmans","given":"P a","non-dropping-particle":"","parse-names":false,"suffix":""},{"dropping-particle":"","family":"Juffermans","given":"L J M","non-dropping-particle":"","parse-names":false,"suffix":""},{"dropping-particle":"","family":"Musters","given":"R J P","non-dropping-particle":"","parse-names":false,"suffix":""},{"dropping-particle":"","family":"Wamel","given":"a","non-dropping-particle":"van","parse-names":false,"suffix":""},{"dropping-particle":"","family":"Cate","given":"F J","non-dropping-particle":"ten","parse-names":false,"suffix":""},{"dropping-particle":"","family":"Gilst","given":"W","non-dropping-particle":"van","parse-names":false,"suffix":""},{"dropping-particle":"","family":"Visser","given":"C a","non-dropping-particle":"","parse-names":false,"suffix":""},{"dropping-particle":"","family":"Jong","given":"N","non-dropping-particle":"de","parse-names":false,"suffix":""},{"dropping-particle":"","family":"Kamp","given":"O","non-dropping-particle":"","parse-names":false,"suffix":""}],"container-title":"European journal of echocardiography : the journal of the Working Group on Echocardiography of the European Society of Cardiology","id":"ITEM-1","issue":"4","issued":{"date-parts":[["2004","8"]]},"page":"245-56","title":"Microbubbles and ultrasound: from diagnosis to therapy.","type":"article-journal","volume":"5"},"uris":["http://www.mendeley.com/documents/?uuid=668d86ca-1655-494e-b91d-ec4f74377864"]},{"id":"ITEM-2","itemData":{"DOI":"10.1159/000203122","ISSN":"1421-9786","PMID":"19372656","abstract":"Microbubble ultrasound contrast agents have been in clinical use for more than two decades, during which time their range of applications has increased to encompass echocardiography, Doppler enhancement, perfusion studies and molecular imaging, as well as a number of therapeutic applications including drug delivery, gene therapy, high-intensity focused ultrasound treatments and sonothrombolysis. The aim of this article is to review the different types of microbubble agent, their physical behaviour and the mechanisms underlying their effectiveness in imaging and therapeutic applications.","author":[{"dropping-particle":"","family":"Stride","given":"Eleanor","non-dropping-particle":"","parse-names":false,"suffix":""}],"container-title":"Cerebrovascular diseases (Basel, Switzerland)","id":"ITEM-2","issue":"suppl 2","issued":{"date-parts":[["2009","1"]]},"page":"1-13","title":"Physical principles of microbubbles for ultrasound imaging and therapy.","type":"article-journal","volume":"27 Suppl 2"},"uris":["http://www.mendeley.com/documents/?uuid=6bb8a90e-3f62-4f88-b326-764d63f360d6"]},{"id":"ITEM-3","itemData":{"author":[{"dropping-particle":"","family":"William D. O'Brien","given":"","non-dropping-particle":"","parse-names":false,"suffix":""}],"container-title":"Prog Biophys Mol Biol. 2007","id":"ITEM-3","issue":"1-3","issued":{"date-parts":[["2007"]]},"page":"212-255","title":"Ultrasound—biophysics mechanisms","type":"article-journal","volume":"93"},"uris":["http://www.mendeley.com/documents/?uuid=1104168d-37b3-4423-bb1a-680ad0964960"]}],"mendeley":{"formattedCitation":"&lt;sup&gt;5–7&lt;/sup&gt;","plainTextFormattedCitation":"5–7","previouslyFormattedCitation":"&lt;i&gt;(5–7)&lt;/i&gt;"},"properties":{"noteIndex":0},"schema":"https://github.com/citation-style-language/schema/raw/master/csl-citation.json"}</w:instrText>
      </w:r>
      <w:r w:rsidRPr="00A14B67">
        <w:rPr>
          <w:rFonts w:ascii="Arial" w:hAnsi="Arial" w:cs="Arial"/>
          <w:sz w:val="20"/>
          <w:szCs w:val="20"/>
        </w:rPr>
        <w:fldChar w:fldCharType="separate"/>
      </w:r>
      <w:r w:rsidR="003F04EF" w:rsidRPr="00A14B67">
        <w:rPr>
          <w:rFonts w:ascii="Arial" w:hAnsi="Arial" w:cs="Arial"/>
          <w:noProof/>
          <w:sz w:val="20"/>
          <w:szCs w:val="20"/>
          <w:vertAlign w:val="superscript"/>
        </w:rPr>
        <w:t>5–7</w:t>
      </w:r>
      <w:r w:rsidRPr="00A14B67">
        <w:rPr>
          <w:rFonts w:ascii="Arial" w:hAnsi="Arial" w:cs="Arial"/>
          <w:sz w:val="20"/>
          <w:szCs w:val="20"/>
        </w:rPr>
        <w:fldChar w:fldCharType="end"/>
      </w:r>
      <w:r w:rsidRPr="00A14B67">
        <w:rPr>
          <w:rFonts w:ascii="Arial" w:hAnsi="Arial" w:cs="Arial"/>
          <w:sz w:val="20"/>
          <w:szCs w:val="20"/>
        </w:rPr>
        <w:t>. These enable qualitative tissue perfusion assessment, as well as quantitative parameterization of tissue blood flow and blood volume</w:t>
      </w:r>
      <w:r w:rsidR="00433451"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{"citationItems":[{"id":"ITEM-1","itemData":{"DOI":"10.2217/iim.12.23","ISSN":"1755-5191","abstract":"Innovative imaging approaches for monitoring various types of cancer treatment response are discussed in this paper. Radionuclide imaging has demonstrated favorable capabilities for imaging tumor response based on the binding of radionuclides to the cells responding to the treatment. MRI has recently been utilized for detecting the cellular changes associated with apoptosis. Dynamic contrast-enhanced ultrasound has been proposed for monitoring therapeutics that target blood vessels affecting perfusion. Quantitative ultrasound has been demonstrated to be capable of differentiating between viable cell clusters and clusters responding to treatment. Diffuse optical imaging and photoacoustic imaging have been applied for evaluating functional changes transpiring in soft tissue, such as oxygenation status, during cancer treatment. Considerable developments introduced to improve the precision of treatment response monitoring are expected in the near future to provide clinical approaches to personalized therapy i...","author":[{"dropping-particle":"","family":"Sadeghi-Naini","given":"Ali","non-dropping-particle":"","parse-names":false,"suffix":""},{"dropping-particle":"","family":"Falou","given":"Omar","non-dropping-particle":"","parse-names":false,"suffix":""},{"dropping-particle":"","family":"Hudson","given":"John M","non-dropping-particle":"","parse-names":false,"suffix":""},{"dropping-particle":"","family":"Bailey","given":"Colleen","non-dropping-particle":"","parse-names":false,"suffix":""},{"dropping-particle":"","family":"Burns","given":"Peter N","non-dropping-particle":"","parse-names":false,"suffix":""},{"dropping-particle":"","family":"Yaffe","given":"Martin J","non-dropping-particle":"","parse-names":false,"suffix":""},{"dropping-particle":"","family":"Stanisz","given":"Greg J","non-dropping-particle":"","parse-names":false,"suffix":""},{"dropping-particle":"","family":"Kolios","given":"Michael C","non-dropping-particle":"","parse-names":false,"suffix":""},{"dropping-particle":"","family":"Czarnota","given":"Gregory J","non-dropping-particle":"","parse-names":false,"suffix":""}],"container-title":"Imaging in Medicine","id":"ITEM-1","issue":"3","issued":{"date-parts":[["2012","6","25"]]},"language":"EN","page":"311-327","publisher":"Future Medicine Ltd London, UK","title":"Imaging innovations for cancer therapy response monitoring","type":"article-journal","volume":"4"},"uris":["http://www.mendeley.com/documents/?uuid=4ca6afaa-8634-4465-98df-aea74cbf42eb"]}],"mendeley":{"formattedCitation":"&lt;sup&gt;8&lt;/sup&gt;","plainTextFormattedCitation":"8","previouslyFormattedCitation":"&lt;i&gt;(8)&lt;/i&gt;"},"properties":{"noteIndex":0},"schema":"https://github.com/citation-style-language/schema/raw/master/csl-citation.json"}</w:instrText>
      </w:r>
      <w:r w:rsidR="00433451" w:rsidRPr="00A14B67">
        <w:rPr>
          <w:rFonts w:ascii="Arial" w:hAnsi="Arial" w:cs="Arial"/>
          <w:sz w:val="20"/>
          <w:szCs w:val="20"/>
        </w:rPr>
        <w:fldChar w:fldCharType="separate"/>
      </w:r>
      <w:r w:rsidR="003F04EF" w:rsidRPr="00A14B67">
        <w:rPr>
          <w:rFonts w:ascii="Arial" w:hAnsi="Arial" w:cs="Arial"/>
          <w:noProof/>
          <w:sz w:val="20"/>
          <w:szCs w:val="20"/>
          <w:vertAlign w:val="superscript"/>
        </w:rPr>
        <w:t>8</w:t>
      </w:r>
      <w:r w:rsidR="00433451" w:rsidRPr="00A14B67">
        <w:rPr>
          <w:rFonts w:ascii="Arial" w:hAnsi="Arial" w:cs="Arial"/>
          <w:sz w:val="20"/>
          <w:szCs w:val="20"/>
        </w:rPr>
        <w:fldChar w:fldCharType="end"/>
      </w:r>
      <w:r w:rsidRPr="00A14B67">
        <w:rPr>
          <w:rFonts w:ascii="Arial" w:hAnsi="Arial" w:cs="Arial"/>
          <w:sz w:val="20"/>
          <w:szCs w:val="20"/>
        </w:rPr>
        <w:t>.</w:t>
      </w:r>
    </w:p>
    <w:p w14:paraId="68FFE4C7" w14:textId="5CD195B1" w:rsidR="00A02EDD" w:rsidRPr="00A14B67" w:rsidRDefault="00A02EDD" w:rsidP="00A06A7D">
      <w:pPr>
        <w:widowControl w:val="0"/>
        <w:autoSpaceDE w:val="0"/>
        <w:autoSpaceDN w:val="0"/>
        <w:spacing w:line="420" w:lineRule="auto"/>
        <w:jc w:val="both"/>
        <w:rPr>
          <w:rFonts w:ascii="Arial" w:hAnsi="Arial" w:cs="Arial"/>
          <w:color w:val="000000" w:themeColor="text1"/>
          <w:sz w:val="20"/>
          <w:szCs w:val="20"/>
        </w:rPr>
      </w:pPr>
      <w:r w:rsidRPr="00A14B67">
        <w:rPr>
          <w:rFonts w:ascii="Arial" w:hAnsi="Arial" w:cs="Arial"/>
          <w:sz w:val="20"/>
          <w:szCs w:val="20"/>
        </w:rPr>
        <w:t>Imaging was carried out in 3D using a Philips EPIQ7 coupled to a clinical X6-1 3D transducer using clinical grade contrast microbubble agents (Definity, Lantheus Medical Imaging, MA, USA)</w:t>
      </w:r>
      <w:r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{"citationItems":[{"id":"ITEM-1","itemData":{"DOI":"10.1148/radiol.2015142824","ISSN":"1527-1315","PMID":"26020439","abstract":"PURPOSE To evaluate feasibility and reproducibility of three-dimensional (3D) dynamic contrast material-enhanced (DCE) ultrasonographic (US) imaging by using a clinical matrix array transducer to assess early antiangiogenic treatment effects in human colon cancer xenografts in mice. MATERIALS AND METHODS Animal studies were approved by the Institutional Administrative Panel on Laboratory Animal Care at Stanford University. Three-dimensional DCE US imaging with two techniques (bolus and destruction-replenishment) was performed in human colon cancer xenografts (n = 38) by using a clinical US system and transducer. Twenty-one mice were imaged twice to assess reproducibility. Seventeen mice were scanned before and 24 hours after either antiangiogenic (n = 9) or saline-only (n = 8) treatment. Data sets of 3D DCE US examinations were retrospectively segmented into consecutive 1-mm imaging planes to simulate two-dimensional (2D) DCE US imaging. Six perfusion parameters (peak enhancement [PE], area under the time-intensity curve [AUC], time to peak [TTP], relative blood volume [rBV], relative blood flow [rBF], and blood flow velocity) were measured on both 3D and 2D data sets. Percent area of blood vessels was quantified ex vivo with immunofluorescence. Statistical analyses were performed with the Wilcoxon rank test by calculating intraclass correlation coefficients and by using Pearson correlation analysis. RESULTS Reproducibility of both 3D DCE US imaging techniques was good to excellent (intraclass correlation coefficient, 0.73-0.86). PE, AUC, rBV, and rBF significantly decreased (P ≤ .04) in antiangiogenic versus saline-treated tumors. rBV (r = 0.74; P = .06) and rBF (r = 0.85; P = .02) correlated with ex vivo percent area of blood vessels, although the statistical significance of rBV was not reached, likely because of small sample size. Overall, 2D DCE-US overestimated and underestimated treatment effects from up to 125-fold to170-fold compared with 3D DCE US imaging. If the central tumor plane was assessed, treatment response was underestimated up to threefold or overestimated up to 57-fold on 2D versus 3D DCE US images. CONCLUSION Three-dimensional DCE US imaging with a clinical matrix array transducer is feasible and reproducible to assess tumor perfusion in human colon cancer xenografts in mice and allows for assessment of early treatment response after antiangiogenic therapy.","author":[{"dropping-particle":"","family":"Wang","given":"Huaijun","non-dropping-particle":"","parse-names":false,"suffix":""},{"dropping-particle":"","family":"Hristov","given":"Dimitre","non-dropping-particle":"","parse-names":false,"suffix":""},{"dropping-particle":"","family":"Qin","given":"Jiale","non-dropping-particle":"","parse-names":false,"suffix":""},{"dropping-particle":"","family":"Tian","given":"Lu","non-dropping-particle":"","parse-names":false,"suffix":""},{"dropping-particle":"","family":"Willmann","given":"Jürgen K.","non-dropping-particle":"","parse-names":false,"suffix":""}],"container-title":"Radiology","id":"ITEM-1","issue":"2","issued":{"date-parts":[["2015","11"]]},"note":"From Duplicate 2 (Three-dimensional Dynamic Contrast-enhanced US Imaging for Early Antiangiogenic Treatment Assessment in a Mouse Colon Cancer Model. - Wang, Huaijun; Hristov, Dimitre; Qin, Jiale; Tian, Lu; Willmann, Jürgen K)\n\n{:PMCID:PMC4627439}","page":"424-34","title":"Three-dimensional Dynamic Contrast-enhanced US Imaging for Early Antiangiogenic Treatment Assessment in a Mouse Colon Cancer Model.","type":"article-journal","volume":"277"},"uris":["http://www.mendeley.com/documents/?uuid=bdcada1b-a5b0-4eed-9f82-37ea10f7664a"]},{"id":"ITEM-2","itemData":{"DOI":"10.1097/RLI.0000000000000128","ISBN":"1536-0210 (Electronic) 0020-9996 (Linking)","ISSN":"1536-0210","PMID":"25575176","abstract":"OBJECTIVES We sought to assess the feasibility and reproducibility of 3-dimensional ultrasound molecular imaging (USMI) of vascular endothelial growth factor receptor 2 (VEGFR2) expression in tumor angiogenesis using a clinical matrix array transducer and a clinical grade VEGFR2-targeted contrast agent in a murine model of human colon cancer. MATERIALS AND METHODS Animal studies were approved by the Institutional Administrative Panel on Laboratory Animal Care. Mice with human colon cancer xenografts (n = 33) were imaged with a clinical ultrasound system and transducer (Philips iU22; X6-1) after intravenous injection of either clinical grade VEGFR2-targeted microbubbles or nontargeted control microbubbles. Nineteen mice were scanned twice to assess imaging reproducibility. Fourteen mice were scanned both before and 24 hours after treatment with either bevacizumab (n = 7) or saline only (n = 7). Three-dimensional USMI data sets were retrospectively reconstructed into multiple consecutive 1-mm-thick USMI data sets to simulate 2-dimensional imaging. Vascular VEGFR2 expression was assessed ex vivo using immunofluorescence. RESULTS Three-dimensional USMI was highly reproducible using both VEGFR2-targeted microbubbles and nontargeted control microbubbles (intraclass correlation coefficient, 0.83). The VEGFR2-targeted USMI signal significantly (P = 0.02) decreased by 57% after antiangiogenic treatment compared with the control group, which correlated well with ex vivo VEGFR2 expression on immunofluorescence (ρ = 0.93, P = 0.003). If only central 1-mm tumor planes were analyzed to assess antiangiogenic treatment response, the USMI signal change was significantly (P = 0.006) overestimated by an average of 27% (range, 2%-73%) compared with 3-dimensional USMI. CONCLUSIONS Three-dimensional USMI is feasible and highly reproducible and allows accurate assessment and monitoring of VEGFR2 expression in tumor angiogenesis in a murine model of human colon cancer.","author":[{"dropping-particle":"","family":"Wang","given":"Huaijun","non-dropping-particle":"","parse-names":false,"suffix":""},{"dropping-particle":"","family":"Kaneko","given":"Osamu F","non-dropping-particle":"","parse-names":false,"suffix":""},{"dropping-particle":"","family":"Tian","given":"Lu","non-dropping-particle":"","parse-names":false,"suffix":""},{"dropping-particle":"","family":"Hristov","given":"Dimitre","non-dropping-particle":"","parse-names":false,"suffix":""},{"dropping-particle":"","family":"Willmann","given":"Jürgen K","non-dropping-particle":"","parse-names":false,"suffix":""}],"container-title":"Investigative radiology","id":"ITEM-2","issue":"5","issued":{"date-parts":[["2015","5"]]},"note":"{:PMCID: PMC4470566}","page":"322-9","title":"Three-dimensional ultrasound molecular imaging of angiogenesis in colon cancer using a clinical matrix array ultrasound transducer.","type":"article-journal","volume":"50"},"uris":["http://www.mendeley.com/documents/?uuid=ff283b93-e0e9-4d75-bdb2-630b508366c1"]}],"mendeley":{"formattedCitation":"&lt;sup&gt;4,9&lt;/sup&gt;","plainTextFormattedCitation":"4,9","previouslyFormattedCitation":"&lt;i&gt;(4, 9)&lt;/i&gt;"},"properties":{"noteIndex":0},"schema":"https://github.com/citation-style-language/schema/raw/master/csl-citation.json"}</w:instrText>
      </w:r>
      <w:r w:rsidRPr="00A14B67">
        <w:rPr>
          <w:rFonts w:ascii="Arial" w:hAnsi="Arial" w:cs="Arial"/>
          <w:sz w:val="20"/>
          <w:szCs w:val="20"/>
        </w:rPr>
        <w:fldChar w:fldCharType="end"/>
      </w:r>
      <w:r w:rsidR="003F04EF" w:rsidRPr="00A14B67">
        <w:rPr>
          <w:rFonts w:ascii="Arial" w:hAnsi="Arial" w:cs="Arial"/>
          <w:sz w:val="20"/>
          <w:szCs w:val="20"/>
        </w:rPr>
        <w:t>&lt;sup&gt;4,9&lt;/sup&gt;</w:t>
      </w:r>
      <w:r w:rsidR="00E060F5" w:rsidRPr="00A14B67">
        <w:rPr>
          <w:rFonts w:ascii="Arial" w:hAnsi="Arial" w:cs="Arial"/>
          <w:sz w:val="20"/>
          <w:szCs w:val="20"/>
        </w:rPr>
        <w:t>&lt;i&gt;(4, 9)&lt;/i&gt;</w:t>
      </w:r>
      <w:r w:rsidRPr="00A14B67">
        <w:rPr>
          <w:rFonts w:ascii="Arial" w:hAnsi="Arial" w:cs="Arial"/>
          <w:sz w:val="20"/>
          <w:szCs w:val="20"/>
        </w:rPr>
        <w:t xml:space="preserve"> administered using the bolus DCE-US method. Definity microbubbles (FDA-approved </w:t>
      </w:r>
      <w:r w:rsidR="00B75F27" w:rsidRPr="00A14B67">
        <w:rPr>
          <w:rFonts w:ascii="Arial" w:hAnsi="Arial" w:cs="Arial"/>
          <w:color w:val="000000"/>
          <w:sz w:val="20"/>
          <w:szCs w:val="20"/>
        </w:rPr>
        <w:t>perflu</w:t>
      </w:r>
      <w:r w:rsidR="00932AE6" w:rsidRPr="00A14B67">
        <w:rPr>
          <w:rFonts w:ascii="Arial" w:hAnsi="Arial" w:cs="Arial"/>
          <w:color w:val="000000"/>
          <w:sz w:val="20"/>
          <w:szCs w:val="20"/>
        </w:rPr>
        <w:t>o</w:t>
      </w:r>
      <w:r w:rsidR="00B75F27" w:rsidRPr="00A14B67">
        <w:rPr>
          <w:rFonts w:ascii="Arial" w:hAnsi="Arial" w:cs="Arial"/>
          <w:color w:val="000000"/>
          <w:sz w:val="20"/>
          <w:szCs w:val="20"/>
        </w:rPr>
        <w:t>ro</w:t>
      </w:r>
      <w:r w:rsidRPr="00A14B67">
        <w:rPr>
          <w:rFonts w:ascii="Arial" w:hAnsi="Arial" w:cs="Arial"/>
          <w:color w:val="000000"/>
          <w:sz w:val="20"/>
          <w:szCs w:val="20"/>
        </w:rPr>
        <w:t xml:space="preserve"> </w:t>
      </w:r>
      <w:bookmarkStart w:id="9" w:name="OLE_LINK11"/>
      <w:bookmarkStart w:id="10" w:name="OLE_LINK14"/>
      <w:r w:rsidRPr="00A14B67">
        <w:rPr>
          <w:rFonts w:ascii="Arial" w:hAnsi="Arial" w:cs="Arial"/>
          <w:color w:val="000000"/>
          <w:sz w:val="20"/>
          <w:szCs w:val="20"/>
        </w:rPr>
        <w:t>microbubbles</w:t>
      </w:r>
      <w:bookmarkEnd w:id="9"/>
      <w:bookmarkEnd w:id="10"/>
      <w:r w:rsidRPr="00A14B67">
        <w:rPr>
          <w:rFonts w:ascii="Arial" w:hAnsi="Arial" w:cs="Arial"/>
          <w:color w:val="000000"/>
          <w:sz w:val="20"/>
          <w:szCs w:val="20"/>
        </w:rPr>
        <w:t xml:space="preserve">) were diluted 1:4 in sterile 0.9% saline after activation as per manufacturer. A suspension of 120 μL was administered over 5 seconds </w:t>
      </w:r>
      <w:r w:rsidRPr="00A14B67">
        <w:rPr>
          <w:rFonts w:ascii="Arial" w:hAnsi="Arial" w:cs="Arial"/>
          <w:color w:val="000000" w:themeColor="text1"/>
          <w:sz w:val="20"/>
          <w:szCs w:val="20"/>
        </w:rPr>
        <w:t xml:space="preserve">(at a constant injection rate of 24 μl/sec) with an infusion pump. </w:t>
      </w:r>
      <w:r w:rsidRPr="00A14B67">
        <w:rPr>
          <w:rFonts w:ascii="Arial" w:hAnsi="Arial" w:cs="Arial"/>
          <w:sz w:val="20"/>
          <w:szCs w:val="20"/>
        </w:rPr>
        <w:t xml:space="preserve">For the 20 LS174T animals in the repeatability group, two consecutive bolus data acquisitions were obtained during the same scan session. The second bolus was administered </w:t>
      </w:r>
      <w:r w:rsidR="00B75F27" w:rsidRPr="00A14B67">
        <w:rPr>
          <w:rFonts w:ascii="Arial" w:hAnsi="Arial" w:cs="Arial"/>
          <w:sz w:val="20"/>
          <w:szCs w:val="20"/>
        </w:rPr>
        <w:t>~15</w:t>
      </w:r>
      <w:r w:rsidRPr="00A14B67">
        <w:rPr>
          <w:rFonts w:ascii="Arial" w:hAnsi="Arial" w:cs="Arial"/>
          <w:sz w:val="20"/>
          <w:szCs w:val="20"/>
        </w:rPr>
        <w:t xml:space="preserve"> minutes after the first bolus to ensure that the contrast was cleared from the systemic flow of the animal to eliminate signal interference with the second bolus injection signal. For both LS174T and CT26 animals, control and treated tumors were imaged at baseline and at 1, 3, 7, and 10 days following the start of therapy. For each bolus, </w:t>
      </w:r>
      <w:r w:rsidRPr="00A14B67">
        <w:rPr>
          <w:rFonts w:ascii="Arial" w:hAnsi="Arial" w:cs="Arial"/>
          <w:color w:val="000000" w:themeColor="text1"/>
          <w:sz w:val="20"/>
          <w:szCs w:val="20"/>
        </w:rPr>
        <w:t>3D DCE-US datasets were acquired in real time over four minutes in e</w:t>
      </w:r>
      <w:r w:rsidRPr="00A14B67">
        <w:rPr>
          <w:rFonts w:ascii="Arial" w:hAnsi="Arial" w:cs="Arial"/>
          <w:color w:val="000000"/>
          <w:sz w:val="20"/>
          <w:szCs w:val="20"/>
        </w:rPr>
        <w:t xml:space="preserve">ach mouse by using a built-in Digital Navigation Link of the ultrasound system </w:t>
      </w:r>
      <w:r w:rsidR="00387930" w:rsidRPr="00A14B67">
        <w:rPr>
          <w:rFonts w:ascii="Arial" w:hAnsi="Arial" w:cs="Arial"/>
          <w:color w:val="000000"/>
          <w:sz w:val="20"/>
          <w:szCs w:val="20"/>
        </w:rPr>
        <w:t>to</w:t>
      </w:r>
      <w:r w:rsidRPr="00A14B67">
        <w:rPr>
          <w:rFonts w:ascii="Arial" w:hAnsi="Arial" w:cs="Arial"/>
          <w:color w:val="000000"/>
          <w:sz w:val="20"/>
          <w:szCs w:val="20"/>
        </w:rPr>
        <w:t xml:space="preserve"> custom in-house MevisLab modules written in C++</w:t>
      </w:r>
      <w:r w:rsidR="00433451" w:rsidRPr="00A14B67">
        <w:rPr>
          <w:rFonts w:ascii="Arial" w:hAnsi="Arial" w:cs="Arial"/>
          <w:color w:val="000000"/>
          <w:sz w:val="20"/>
          <w:szCs w:val="20"/>
        </w:rPr>
        <w:fldChar w:fldCharType="begin" w:fldLock="1"/>
      </w:r>
      <w:r w:rsidR="003F04EF" w:rsidRPr="00A14B67">
        <w:rPr>
          <w:rFonts w:ascii="Arial" w:hAnsi="Arial" w:cs="Arial"/>
          <w:color w:val="000000"/>
          <w:sz w:val="20"/>
          <w:szCs w:val="20"/>
        </w:rPr>
        <w:instrText>ADDIN CSL_CITATION {"citationItems":[{"id":"ITEM-1","itemData":{"DOI":"10.1118/1.4964454","ISSN":"00942405","PMID":"27806580","abstract":"PURPOSE To present a system for robotic 4D ultrasound (US) imaging concurrent with radiotherapy beam delivery and estimate the proportion of liver stereotactic ablative body radiotherapy (SABR) cases in which robotic US image guidance can be deployed without interfering with clinically used VMAT beam configurations. METHODS The image guidance hardware comprises a 4D US machine, an optical tracking system for measuring US probe pose, and a custom-designed robot for acquiring hands-free US volumes. In software, a simulation environment incorporating the LINAC, couch, planning CT, and robotic US guidance hardware was developed. Placement of the robotic US hardware was guided by a target visibility map rendered on the CT surface by using the planning CT to simulate US propagation. The visibility map was validated in a prostate phantom and evaluated in patients by capturing live US from imaging positions suggested by the visibility map. In 20 liver SABR patients treated with VMAT, the simulation environment was used to virtually place the robotic hardware and US probe. Imaging targets were either planning target volumes (PTVs, range 5.9-679.5 ml) or gross tumor volumes (GTVs, range 0.9-343.4 ml). Presence or absence of mechanical interference with LINAC, couch, and patient body as well as interferences with treated beams was recorded. RESULTS For PTV targets, robotic US guidance without mechanical interference was possible in 80% of the cases and guidance without beam interference was possible in 60% of the cases. For the smaller GTV targets, these proportions were 95% and 85%, respectively. GTV size (1/20), elongated shape (1/20), and depth (1/20) were the main factors limiting the availability of noninterfering imaging positions. The robotic US imaging system was deployed in two liver SABR patients during CT simulation with successful acquisition of 4D US sequences in different imaging positions. CONCLUSIONS This study indicates that for VMAT liver SABR, robotic US imaging of a relevant internal target may be possible in 85% of the cases while using treatment plans currently deployed in the clinic. With beam replanning to account for the presence of robotic US guidance, intrafractional US may be an option for 95% of the liver SABR cases.","author":[{"dropping-particle":"","family":"Schlosser","given":"Jeffrey","non-dropping-particle":"","parse-names":false,"suffix":""},{"dropping-particle":"","family":"Gong","given":"Ren Hui","non-dropping-particle":"","parse-names":false,"suffix":""},{"dropping-particle":"","family":"Bruder","given":"Ralf","non-dropping-particle":"","parse-names":false,"suffix":""},{"dropping-particle":"","family":"Schweikard","given":"Achim","non-dropping-particle":"","parse-names":false,"suffix":""},{"dropping-particle":"","family":"Jang","given":"Sungjune","non-dropping-particle":"","parse-names":false,"suffix":""},{"dropping-particle":"","family":"Henrie","given":"John","non-dropping-particle":"","parse-names":false,"suffix":""},{"dropping-particle":"","family":"Kamaya","given":"Aya","non-dropping-particle":"","parse-names":false,"suffix":""},{"dropping-particle":"","family":"Koong","given":"Albert","non-dropping-particle":"","parse-names":false,"suffix":""},{"dropping-particle":"","family":"Chang","given":"Daniel T.","non-dropping-particle":"","parse-names":false,"suffix":""},{"dropping-particle":"","family":"Hristov","given":"Dimitre","non-dropping-particle":"","parse-names":false,"suffix":""}],"container-title":"Medical Physics","id":"ITEM-1","issue":"11","issued":{"date-parts":[["2016","10","13"]]},"page":"5951-5963","title":"Robotic intrafractional US guidance for liver SABR: System design, beam avoidance, and clinical imaging","type":"article-journal","volume":"43"},"uris":["http://www.mendeley.com/documents/?uuid=100415ad-a48d-361d-a0ef-abf0e12d166b"]},{"id":"ITEM-2","itemData":{"DOI":"10.1148/radiol.2016160032","ISSN":"0033-8419","PMID":"27490690","abstract":"Both three-dimensional (3D) molecularly targeted US and 3D dynamic contrast material–enhanced US provide complementary molecular and functional in vivo information on antiangiogenic treatment effects in a human colon cancer xenograft model in mice.","author":[{"dropping-particle":"","family":"Wang","given":"Huaijun","non-dropping-particle":"","parse-names":false,"suffix":""},{"dropping-particle":"","family":"Lutz","given":"Amelie M.","non-dropping-particle":"","parse-names":false,"suffix":""},{"dropping-particle":"","family":"Hristov","given":"Dimitre","non-dropping-particle":"","parse-names":false,"suffix":""},{"dropping-particle":"","family":"Tian","given":"Lu","non-dropping-particle":"","parse-names":false,"suffix":""},{"dropping-particle":"","family":"Willmann","given":"Jürgen K.","non-dropping-particle":"","parse-names":false,"suffix":""}],"container-title":"Radiology","id":"ITEM-2","issue":"2","issued":{"date-parts":[["2017","2","4"]]},"note":"From Duplicate 2 (Intra-Animal Comparison between Three-dimensional Molecularly Targeted US and Three-dimensional Dynamic Contrast-enhanced US for Early Antiangiogenic Treatment Assessment in Colon Cancer - Wang, Huaijun; Lutz, Amelie M.; Hristov, Dimitre; Tian, Lu; Willmann, Jürgen K.)\n\n{:PMCID:PMC5283869}","page":"443-452","publisher":"Radiological Society of North America","title":"Intra-Animal Comparison between Three-dimensional Molecularly Targeted US and Three-dimensional Dynamic Contrast-enhanced US for Early Antiangiogenic Treatment Assessment in Colon Cancer","type":"article-journal","volume":"282"},"uris":["http://www.mendeley.com/documents/?uuid=5e3e9598-c17b-4a30-8cff-8f18661610d8"]},{"id":"ITEM-3","itemData":{"DOI":"10.7150/thno.20329","ISSN":"1838-7640","PMID":"29109773","abstract":"Purpose: To perform a clinical assessment of quantitative three-dimensional (3D) dynamic contrast-enhanced ultrasound (DCE-US) feasibility and repeatability in patients with liver metastasis, and to evaluate the extent of quantitative perfusion parameter sampling errors in 2D compared to 3D DCE-US imaging. Materials and Methods: Twenty consecutive 3D DCE-US scans of liver metastases were performed in 11 patients (45% women; mean age, 54.5 years; range, 48-60 years; 55% men; mean age, 57.6 years; range, 47-68 years). Pairs of repeated disruption-replenishment and bolus DCE-US images were acquired to determine repeatability of parameters. Disruption-replenishment was carried out by infusing 0.9 mL of microbubbles (Definity; Latheus Medical Imaging) diluted in 35.1 mL of saline over 8 min. Bolus consisted of intravenous injection of 0.2 mL microbubbles. Volumes-of-interest (VOI) and regions-or-interest (ROI) were segmented by two different readers in images to extract 3D and 2D perfusion parameters, respectively. Disruption- replenishment parameters were: relative blood volume (rBV), relative blood flow (rBF). Bolus parameters included: time-to-peak (TP), peak enhancement (PE), area-under-the-curve (AUC), and mean-transit-time (MTT). Results: Clinical feasibility and repeatability of 3D DCE-US using both the destruction- replenishment and bolus technique was demonstrated. The repeatability of 3D measurements between pairs of repeated acquisitions was assessed with the concordance correlation coefficient (CCC), and found to be excellent for all parameters (CCC &gt; 0.80), except for the TP (0.74) and MTT (0.30) parameters. The CCC between readers was found to be excellent (CCC &gt; 0.80) for all parameters except for TP (0.71) and MTT (0.52). There was a large Coefficient of Variation (COV) in intra-tumor measurements for 2D parameters (0.18-0.52). Same-tumor measurements made in 3D were significantly different (P = 0.001) than measurements made in 2D; a percent difference of up to 86% was observed between measurements made in 2D compared to 3D in the same tumor. Conclusions: 3D DCE-US imaging of liver metastases with a matrix array transducer is feasible and repeatable in the clinic. Results support 3D instead of 2D DCE US imaging to minimize sampling errors due to tumor heterogeneity. Key","author":[{"dropping-particle":"","family":"Kaffas","given":"Ahmed","non-dropping-particle":"El","parse-names":false,"suffix":""},{"dropping-particle":"","family":"Sigrist","given":"Rosa Maria Silveira","non-dropping-particle":"","parse-names":false,"suffix":""},{"dropping-particle":"","family":"Fisher","given":"George","non-dropping-particle":"","parse-names":false,"suffix":""},{"dropping-particle":"","family":"Bachawal","given":"Sunitha","non-dropping-particle":"","parse-names":false,"suffix":""},{"dropping-particle":"","family":"Liau","given":"Joy","non-dropping-particle":"","parse-names":false,"suffix":""},{"dropping-particle":"","family":"Wang","given":"Huaijun","non-dropping-particle":"","parse-names":false,"suffix":""},{"dropping-particle":"","family":"Karanany","given":"Alexander","non-dropping-particle":"","parse-names":false,"suffix":""},{"dropping-particle":"","family":"Durot","given":"Isabelle","non-dropping-particle":"","parse-names":false,"suffix":""},{"dropping-particle":"","family":"Rosenberg","given":"Jarrett","non-dropping-particle":"","parse-names":false,"suffix":""},{"dropping-particle":"","family":"Hristov","given":"Dimitre","non-dropping-particle":"","parse-names":false,"suffix":""},{"dropping-particle":"","family":"Willmann","given":"Jürgen K.","non-dropping-particle":"","parse-names":false,"suffix":""}],"container-title":"Theranostics","id":"ITEM-3","issue":"15","issued":{"date-parts":[["2017"]]},"note":"{:PMCID:PMC5667345 }\n\nFrom Duplicate 1 (Quantitative three-dimensional dynamic contrast-enhanced ultrasound imaging: First-in-human pilot study in patients with liver metastases - El Kaffas, Ahmed; Sigrist, Rosa Maria Silveira; Fisher, George; Bachawal, Sunitha; Liau, Joy; Wang, Huaijun; Karanany, Alexander; Durot, Isabelle; Rosenberg, Jarrett; Hristov, Dimitre; Willmann, Jürgen K.)\n\nFrom Duplicate 1 (Quantitative Three-Dimensional Dynamic Contrast-Enhanced Ultrasound Imaging: First-In-Human Pilot Study in Patients with Liver Metastases. - El Kaffas, Ahmed; Sigrist, Rosa Maria Silveira; Fisher, George; Bachawal, Sunitha; Liau, Joy; Wang, Huaijun; Karanany, Alexander; Durot, Isabelle; Rosenberg, Jarrett; Hristov, Dimitre; Willmann, Jürgen K.)\n\n{:PMCID:PMC5667345 }\n\nFrom Duplicate 3 (Quantitative Three-Dimensional Dynamic Contrast-Enhanced Ultrasound Imaging: First-In-Human Pilot Study in Patients with Liver Metastases - El Kaffas, Ahmed; Sigrist, Rosa Maria Silveira; Fisher, George; Bachawal, Sunitha; Liau, Joy; Wang, Huaijun; Karanany, Alexander; Durot, Isabelle; Rosenberg, Jarrett; Hristov, Dimitre; Willmann, Jürgen K.)\n\nFrom Duplicate 3 (Quantitative three-dimensional dynamic contrast-enhanced ultrasound imaging: First-in-human pilot study in patients with liver metastases - El Kaffas, Ahmed; Sigrist, Rosa Maria Silveira; Fisher, George; Bachawal, Sunitha; Liau, Joy; Wang, Huaijun; Karanany, Alexander; Durot, Isabelle; Rosenberg, Jarrett; Hristov, Dimitre; Willmann, Jürgen K.)\n\nFrom Duplicate 1 (Quantitative Three-Dimensional Dynamic Contrast-Enhanced Ultrasound Imaging: First-In-Human Pilot Study in Patients with Liver Metastases. - El Kaffas, Ahmed; Sigrist, Rosa Maria Silveira; Fisher, George; Bachawal, Sunitha; Liau, Joy; Wang, Huaijun; Karanany, Alexander; Durot, Isabelle; Rosenberg, Jarrett; Hristov, Dimitre; Willmann, Jürgen K.)\n\n{:PMCID:PMC5667345 }","page":"3745-3758","title":"Quantitative Three-Dimensional Dynamic Contrast-Enhanced Ultrasound Imaging: First-In-Human Pilot Study in Patients with Liver Metastases","type":"article-journal","volume":"7"},"uris":["http://www.mendeley.com/documents/?uuid=4e44b465-025f-47a6-9ef6-3e941d7ac389"]},{"id":"ITEM-4","itemData":{"DOI":"10.1088/0031-9155/58/21/7481","ISSN":"1361-6560","PMID":"24099806","abstract":"Many real time ultrasound (US) guided therapies can benefit from management of motion-induced anatomical changes with respect to a previously acquired computerized anatomy model. Spatial calibration is a prerequisite to transforming US image information to the reference frame of the anatomy model. We present a new method for calibrating 3D US volumes using intramodality image registration, derived from the 'hand-eye' calibration technique. The method is fully automated by implementing data rejection based on sensor displacements, automatic registration over overlapping image regions, and a self-consistency error metric evaluated continuously during calibration. We also present a novel method for validating US calibrations based on measurement of physical phantom displacements within US images. Both calibration and validation can be performed on arbitrary phantoms. Results indicate that normalized mutual information and localized cross correlation produce the most accurate 3D US registrations for calibration. Volumetric image alignment is more accurate and reproducible than point selection for validating the calibrations, yielding &lt;1.5 mm root mean square error, a significant improvement relative to previously reported hand-eye US calibration results. Comparison of two different phantoms for calibration and for validation revealed significant differences for validation (p = 0.003) but not for calibration (p = 0.795).","author":[{"dropping-particle":"","family":"Schlosser","given":"Jeffrey","non-dropping-particle":"","parse-names":false,"suffix":""},{"dropping-particle":"","family":"Kirmizibayrak","given":"Can","non-dropping-particle":"","parse-names":false,"suffix":""},{"dropping-particle":"","family":"Shamdasani","given":"Vijay","non-dropping-particle":"","parse-names":false,"suffix":""},{"dropping-particle":"","family":"Metz","given":"Steve","non-dropping-particle":"","parse-names":false,"suffix":""},{"dropping-particle":"","family":"Hristov","given":"Dimitre","non-dropping-particle":"","parse-names":false,"suffix":""}],"container-title":"Physics in medicine and biology","id":"ITEM-4","issue":"21","issued":{"date-parts":[["2013"]]},"page":"7481-96","title":"Automatic 3D ultrasound calibration for image guided therapy using intramodality image registration.","type":"article-journal","volume":"58"},"uris":["http://www.mendeley.com/documents/?uuid=11f4d736-cea1-478d-9633-13120c585d36"]}],"mendeley":{"formattedCitation":"&lt;sup&gt;10–13&lt;/sup&gt;","plainTextFormattedCitation":"10–13","previouslyFormattedCitation":"&lt;i&gt;(10–13)&lt;/i&gt;"},"properties":{"noteIndex":0},"schema":"https://github.com/citation-style-language/schema/raw/master/csl-citation.json"}</w:instrText>
      </w:r>
      <w:r w:rsidR="00433451" w:rsidRPr="00A14B67">
        <w:rPr>
          <w:rFonts w:ascii="Arial" w:hAnsi="Arial" w:cs="Arial"/>
          <w:color w:val="000000"/>
          <w:sz w:val="20"/>
          <w:szCs w:val="20"/>
        </w:rPr>
        <w:fldChar w:fldCharType="separate"/>
      </w:r>
      <w:r w:rsidR="003F04EF" w:rsidRPr="00A14B67">
        <w:rPr>
          <w:rFonts w:ascii="Arial" w:hAnsi="Arial" w:cs="Arial"/>
          <w:noProof/>
          <w:color w:val="000000"/>
          <w:sz w:val="20"/>
          <w:szCs w:val="20"/>
          <w:vertAlign w:val="superscript"/>
        </w:rPr>
        <w:t>10–13</w:t>
      </w:r>
      <w:r w:rsidR="00433451" w:rsidRPr="00A14B67">
        <w:rPr>
          <w:rFonts w:ascii="Arial" w:hAnsi="Arial" w:cs="Arial"/>
          <w:color w:val="000000"/>
          <w:sz w:val="20"/>
          <w:szCs w:val="20"/>
        </w:rPr>
        <w:fldChar w:fldCharType="end"/>
      </w:r>
      <w:r w:rsidRPr="00A14B67">
        <w:rPr>
          <w:rFonts w:ascii="Arial" w:hAnsi="Arial" w:cs="Arial"/>
          <w:color w:val="000000"/>
          <w:sz w:val="20"/>
          <w:szCs w:val="20"/>
        </w:rPr>
        <w:t>.</w:t>
      </w:r>
    </w:p>
    <w:p w14:paraId="63BB033A" w14:textId="73DCCB14" w:rsidR="00717798" w:rsidRPr="00A14B67" w:rsidRDefault="00A02EDD" w:rsidP="00A06A7D">
      <w:pPr>
        <w:spacing w:line="420" w:lineRule="auto"/>
        <w:rPr>
          <w:rFonts w:ascii="Arial" w:hAnsi="Arial" w:cs="Arial"/>
          <w:color w:val="000000" w:themeColor="text1"/>
          <w:sz w:val="20"/>
          <w:szCs w:val="20"/>
        </w:rPr>
      </w:pPr>
      <w:r w:rsidRPr="00A14B67">
        <w:rPr>
          <w:rFonts w:ascii="Arial" w:hAnsi="Arial" w:cs="Arial"/>
          <w:color w:val="000000"/>
          <w:sz w:val="20"/>
          <w:szCs w:val="20"/>
        </w:rPr>
        <w:t xml:space="preserve">For all imaging procedures, </w:t>
      </w:r>
      <w:r w:rsidRPr="00A14B67">
        <w:rPr>
          <w:rFonts w:ascii="Arial" w:hAnsi="Arial" w:cs="Arial"/>
          <w:sz w:val="20"/>
          <w:szCs w:val="20"/>
        </w:rPr>
        <w:t xml:space="preserve">mice were anesthetized </w:t>
      </w:r>
      <w:r w:rsidRPr="00A14B67">
        <w:rPr>
          <w:rFonts w:ascii="Arial" w:hAnsi="Arial" w:cs="Arial"/>
          <w:color w:val="000000"/>
          <w:sz w:val="20"/>
          <w:szCs w:val="20"/>
        </w:rPr>
        <w:t xml:space="preserve">with inhalation of </w:t>
      </w:r>
      <w:r w:rsidRPr="00A14B67">
        <w:rPr>
          <w:rFonts w:ascii="Arial" w:hAnsi="Arial" w:cs="Arial"/>
          <w:sz w:val="20"/>
          <w:szCs w:val="20"/>
        </w:rPr>
        <w:t xml:space="preserve">2% isoflurane in room air (administered at 2 L/min). </w:t>
      </w:r>
      <w:r w:rsidRPr="00A14B67">
        <w:rPr>
          <w:rFonts w:ascii="Arial" w:hAnsi="Arial" w:cs="Arial"/>
          <w:color w:val="000000"/>
          <w:sz w:val="20"/>
          <w:szCs w:val="20"/>
        </w:rPr>
        <w:t>Mice were placed prone on a heated imaging stage</w:t>
      </w:r>
      <w:r w:rsidRPr="00A14B67">
        <w:rPr>
          <w:rFonts w:ascii="Arial" w:hAnsi="Arial" w:cs="Arial"/>
          <w:sz w:val="20"/>
          <w:szCs w:val="20"/>
        </w:rPr>
        <w:t xml:space="preserve"> in order to maintain constant body temperature for the entire duration of the experiments. </w:t>
      </w:r>
      <w:r w:rsidRPr="00A14B67">
        <w:rPr>
          <w:rFonts w:ascii="Arial" w:hAnsi="Arial" w:cs="Arial"/>
          <w:color w:val="000000" w:themeColor="text1"/>
          <w:sz w:val="20"/>
          <w:szCs w:val="20"/>
        </w:rPr>
        <w:t xml:space="preserve">A 27G needle catheter (Vevo Micromarker; VisualSonics, Toronto, Canada), which attached to </w:t>
      </w:r>
      <w:r w:rsidRPr="00A14B67">
        <w:rPr>
          <w:rFonts w:ascii="Arial" w:hAnsi="Arial" w:cs="Arial"/>
          <w:color w:val="000000"/>
          <w:sz w:val="20"/>
          <w:szCs w:val="20"/>
        </w:rPr>
        <w:t xml:space="preserve">an infusion pump (Kent Scientific, Torrington, CT), was </w:t>
      </w:r>
      <w:r w:rsidRPr="00A14B67">
        <w:rPr>
          <w:rFonts w:ascii="Arial" w:hAnsi="Arial" w:cs="Arial"/>
          <w:color w:val="000000" w:themeColor="text1"/>
          <w:sz w:val="20"/>
          <w:szCs w:val="20"/>
        </w:rPr>
        <w:t>placed into one of the two tail veins for contrast agent injection</w:t>
      </w:r>
      <w:r w:rsidRPr="00A14B67">
        <w:rPr>
          <w:rFonts w:ascii="Arial" w:hAnsi="Arial" w:cs="Arial"/>
          <w:color w:val="000000"/>
          <w:sz w:val="20"/>
          <w:szCs w:val="20"/>
        </w:rPr>
        <w:t xml:space="preserve">. </w:t>
      </w:r>
      <w:r w:rsidRPr="00A14B67">
        <w:rPr>
          <w:rFonts w:ascii="Arial" w:hAnsi="Arial" w:cs="Arial"/>
          <w:sz w:val="20"/>
          <w:szCs w:val="20"/>
        </w:rPr>
        <w:t xml:space="preserve">The transducer was held in a fixed position with a clamp to minimize motion artifacts. To reduce artifacts in the near-field zone of the clinical transducer, a customized standoff ultrasound gel was placed on the skin of all mice. </w:t>
      </w:r>
      <w:r w:rsidRPr="00A14B67">
        <w:rPr>
          <w:rFonts w:ascii="Arial" w:eastAsia="ATBasilia-Roman" w:hAnsi="Arial" w:cs="Arial"/>
          <w:sz w:val="20"/>
          <w:szCs w:val="20"/>
        </w:rPr>
        <w:t>T</w:t>
      </w:r>
      <w:r w:rsidRPr="00A14B67">
        <w:rPr>
          <w:rFonts w:ascii="Arial" w:hAnsi="Arial" w:cs="Arial"/>
          <w:color w:val="000000"/>
          <w:sz w:val="20"/>
          <w:szCs w:val="20"/>
        </w:rPr>
        <w:t xml:space="preserve">he distance between the transducer and the center of the tumor was set at 3 cm. The following imaging parameters were kept constant for all </w:t>
      </w:r>
      <w:r w:rsidRPr="00A14B67">
        <w:rPr>
          <w:rFonts w:ascii="Arial" w:hAnsi="Arial" w:cs="Arial"/>
          <w:sz w:val="20"/>
          <w:szCs w:val="20"/>
        </w:rPr>
        <w:t>3</w:t>
      </w:r>
      <w:bookmarkStart w:id="11" w:name="OLE_LINK37"/>
      <w:bookmarkStart w:id="12" w:name="OLE_LINK38"/>
      <w:r w:rsidRPr="00A14B67">
        <w:rPr>
          <w:rFonts w:ascii="Arial" w:hAnsi="Arial" w:cs="Arial"/>
          <w:sz w:val="20"/>
          <w:szCs w:val="20"/>
        </w:rPr>
        <w:t xml:space="preserve">D DCE-US </w:t>
      </w:r>
      <w:bookmarkEnd w:id="11"/>
      <w:bookmarkEnd w:id="12"/>
      <w:r w:rsidRPr="00A14B67">
        <w:rPr>
          <w:rFonts w:ascii="Arial" w:hAnsi="Arial" w:cs="Arial"/>
          <w:sz w:val="20"/>
          <w:szCs w:val="20"/>
        </w:rPr>
        <w:t>imaging</w:t>
      </w:r>
      <w:r w:rsidRPr="00A14B67">
        <w:rPr>
          <w:rFonts w:ascii="Arial" w:hAnsi="Arial" w:cs="Arial"/>
          <w:color w:val="000000"/>
          <w:sz w:val="20"/>
          <w:szCs w:val="20"/>
        </w:rPr>
        <w:t xml:space="preserve"> experiments in</w:t>
      </w:r>
      <w:r w:rsidRPr="00A14B67">
        <w:rPr>
          <w:rFonts w:ascii="Arial" w:hAnsi="Arial" w:cs="Arial"/>
          <w:sz w:val="20"/>
          <w:szCs w:val="20"/>
        </w:rPr>
        <w:t xml:space="preserve"> all tumors: center frequency, </w:t>
      </w:r>
      <w:r w:rsidRPr="00A14B67">
        <w:rPr>
          <w:rFonts w:ascii="Arial" w:hAnsi="Arial" w:cs="Arial"/>
          <w:color w:val="000000" w:themeColor="text1"/>
          <w:sz w:val="20"/>
          <w:szCs w:val="20"/>
        </w:rPr>
        <w:t>3.2 M</w:t>
      </w:r>
      <w:r w:rsidRPr="00A14B67">
        <w:rPr>
          <w:rFonts w:ascii="Arial" w:hAnsi="Arial" w:cs="Arial"/>
          <w:sz w:val="20"/>
          <w:szCs w:val="20"/>
        </w:rPr>
        <w:t>Hz; mechanical index, 0.09; volume rate, 1 Hz; dynamic range, 52</w:t>
      </w:r>
      <w:r w:rsidRPr="00A14B67">
        <w:rPr>
          <w:rFonts w:ascii="Arial" w:hAnsi="Arial" w:cs="Arial"/>
          <w:color w:val="000000" w:themeColor="text1"/>
          <w:sz w:val="20"/>
          <w:szCs w:val="20"/>
        </w:rPr>
        <w:t xml:space="preserve"> dB; focus placed beneath the tumor (4-6 cm from transducer head).</w:t>
      </w:r>
    </w:p>
    <w:p w14:paraId="15938C19" w14:textId="77777777" w:rsidR="009A68E2" w:rsidRPr="00A14B67" w:rsidRDefault="009A68E2" w:rsidP="00A06A7D">
      <w:pPr>
        <w:spacing w:line="420" w:lineRule="auto"/>
        <w:jc w:val="both"/>
        <w:rPr>
          <w:rFonts w:ascii="Arial" w:hAnsi="Arial" w:cs="Arial"/>
          <w:b/>
          <w:sz w:val="20"/>
          <w:szCs w:val="20"/>
        </w:rPr>
      </w:pPr>
      <w:r w:rsidRPr="00A14B67">
        <w:rPr>
          <w:rFonts w:ascii="Arial" w:hAnsi="Arial" w:cs="Arial"/>
          <w:b/>
          <w:sz w:val="20"/>
          <w:szCs w:val="20"/>
        </w:rPr>
        <w:t>Conventional Bolus DCE-US Perfusion Parameter Extraction</w:t>
      </w:r>
    </w:p>
    <w:p w14:paraId="50B488CF" w14:textId="15EF65F4" w:rsidR="009A68E2" w:rsidRPr="00A14B67" w:rsidRDefault="009A68E2" w:rsidP="00A06A7D">
      <w:pPr>
        <w:spacing w:line="420" w:lineRule="auto"/>
        <w:jc w:val="both"/>
        <w:rPr>
          <w:rFonts w:ascii="Arial" w:hAnsi="Arial" w:cs="Arial"/>
          <w:b/>
          <w:sz w:val="20"/>
          <w:szCs w:val="20"/>
        </w:rPr>
      </w:pPr>
      <w:r w:rsidRPr="00A14B67">
        <w:rPr>
          <w:rFonts w:ascii="Arial" w:hAnsi="Arial" w:cs="Arial"/>
          <w:sz w:val="20"/>
          <w:szCs w:val="20"/>
        </w:rPr>
        <w:t xml:space="preserve">All </w:t>
      </w:r>
      <w:r w:rsidRPr="00A14B67">
        <w:rPr>
          <w:rFonts w:ascii="Arial" w:hAnsi="Arial" w:cs="Arial"/>
          <w:color w:val="000000"/>
          <w:sz w:val="20"/>
          <w:szCs w:val="20"/>
        </w:rPr>
        <w:t>3D DCE-US imaging</w:t>
      </w:r>
      <w:r w:rsidRPr="00A14B67">
        <w:rPr>
          <w:rFonts w:ascii="Arial" w:hAnsi="Arial" w:cs="Arial"/>
          <w:sz w:val="20"/>
          <w:szCs w:val="20"/>
        </w:rPr>
        <w:t xml:space="preserve"> datasets were </w:t>
      </w:r>
      <w:r w:rsidRPr="00A14B67">
        <w:rPr>
          <w:rFonts w:ascii="Arial" w:hAnsi="Arial" w:cs="Arial"/>
          <w:color w:val="000000"/>
          <w:sz w:val="20"/>
          <w:szCs w:val="20"/>
        </w:rPr>
        <w:t>analyzed</w:t>
      </w:r>
      <w:r w:rsidRPr="00A14B67">
        <w:rPr>
          <w:rFonts w:ascii="Arial" w:hAnsi="Arial" w:cs="Arial"/>
          <w:sz w:val="20"/>
          <w:szCs w:val="20"/>
        </w:rPr>
        <w:t xml:space="preserve"> using </w:t>
      </w:r>
      <w:r w:rsidRPr="00A14B67">
        <w:rPr>
          <w:rFonts w:ascii="Arial" w:hAnsi="Arial" w:cs="Arial"/>
          <w:color w:val="000000"/>
          <w:sz w:val="20"/>
          <w:szCs w:val="20"/>
        </w:rPr>
        <w:t>custom Python-based software (</w:t>
      </w:r>
      <w:r w:rsidR="00813865" w:rsidRPr="00A14B67">
        <w:rPr>
          <w:rFonts w:ascii="Arial" w:hAnsi="Arial" w:cs="Arial"/>
          <w:color w:val="000000"/>
          <w:sz w:val="20"/>
          <w:szCs w:val="20"/>
        </w:rPr>
        <w:t xml:space="preserve">available </w:t>
      </w:r>
      <w:r w:rsidR="004316F0" w:rsidRPr="00A14B67">
        <w:rPr>
          <w:rFonts w:ascii="Arial" w:hAnsi="Arial" w:cs="Arial"/>
          <w:color w:val="000000"/>
          <w:sz w:val="20"/>
          <w:szCs w:val="20"/>
        </w:rPr>
        <w:t>at</w:t>
      </w:r>
      <w:r w:rsidR="006429CE" w:rsidRPr="00A14B67">
        <w:rPr>
          <w:rFonts w:ascii="Arial" w:hAnsi="Arial" w:cs="Arial"/>
          <w:color w:val="000000"/>
          <w:sz w:val="20"/>
          <w:szCs w:val="20"/>
        </w:rPr>
        <w:t xml:space="preserve"> </w:t>
      </w:r>
      <w:r w:rsidR="00833384" w:rsidRPr="00A14B67">
        <w:rPr>
          <w:rFonts w:ascii="Arial" w:hAnsi="Arial" w:cs="Arial"/>
          <w:color w:val="000000"/>
          <w:sz w:val="20"/>
          <w:szCs w:val="20"/>
        </w:rPr>
        <w:t>https://github.com/aelkaffas/3DDCEUSParametricMaps</w:t>
      </w:r>
      <w:r w:rsidRPr="00A14B67">
        <w:rPr>
          <w:rFonts w:ascii="Arial" w:hAnsi="Arial" w:cs="Arial"/>
          <w:color w:val="000000"/>
          <w:sz w:val="20"/>
          <w:szCs w:val="20"/>
        </w:rPr>
        <w:t xml:space="preserve">). </w:t>
      </w:r>
      <w:r w:rsidR="00813865" w:rsidRPr="00A14B67">
        <w:rPr>
          <w:rFonts w:ascii="Arial" w:hAnsi="Arial" w:cs="Arial"/>
          <w:color w:val="000000"/>
          <w:sz w:val="20"/>
          <w:szCs w:val="20"/>
        </w:rPr>
        <w:t>To generate</w:t>
      </w:r>
      <w:r w:rsidRPr="00A14B67">
        <w:rPr>
          <w:rFonts w:ascii="Arial" w:hAnsi="Arial" w:cs="Arial"/>
          <w:color w:val="000000"/>
          <w:sz w:val="20"/>
          <w:szCs w:val="20"/>
        </w:rPr>
        <w:t xml:space="preserve"> volume</w:t>
      </w:r>
      <w:r w:rsidR="00813865" w:rsidRPr="00A14B67">
        <w:rPr>
          <w:rFonts w:ascii="Arial" w:hAnsi="Arial" w:cs="Arial"/>
          <w:color w:val="000000"/>
          <w:sz w:val="20"/>
          <w:szCs w:val="20"/>
        </w:rPr>
        <w:t xml:space="preserve">s of interest (VOI), we manually contoured </w:t>
      </w:r>
      <w:r w:rsidRPr="00A14B67">
        <w:rPr>
          <w:rFonts w:ascii="Arial" w:hAnsi="Arial" w:cs="Arial"/>
          <w:color w:val="000000"/>
          <w:sz w:val="20"/>
          <w:szCs w:val="20"/>
        </w:rPr>
        <w:t xml:space="preserve">the whole tumor visualized on sagittal, longitudinal, and coronal </w:t>
      </w:r>
      <w:r w:rsidR="00813865" w:rsidRPr="00A14B67">
        <w:rPr>
          <w:rFonts w:ascii="Arial" w:hAnsi="Arial" w:cs="Arial"/>
          <w:color w:val="000000"/>
          <w:sz w:val="20"/>
          <w:szCs w:val="20"/>
        </w:rPr>
        <w:t>using</w:t>
      </w:r>
      <w:r w:rsidRPr="00A14B67">
        <w:rPr>
          <w:rFonts w:ascii="Arial" w:hAnsi="Arial" w:cs="Arial"/>
          <w:color w:val="000000"/>
          <w:sz w:val="20"/>
          <w:szCs w:val="20"/>
        </w:rPr>
        <w:t xml:space="preserve"> ITKsnap</w:t>
      </w:r>
      <w:r w:rsidR="00AF1058" w:rsidRPr="00A14B67">
        <w:rPr>
          <w:rFonts w:ascii="Arial" w:hAnsi="Arial" w:cs="Arial"/>
          <w:color w:val="000000"/>
          <w:sz w:val="20"/>
          <w:szCs w:val="20"/>
        </w:rPr>
        <w:t xml:space="preserve"> to produce volumes of interest</w:t>
      </w:r>
      <w:r w:rsidRPr="00A14B67">
        <w:rPr>
          <w:rFonts w:ascii="Arial" w:hAnsi="Arial" w:cs="Arial"/>
          <w:color w:val="000000"/>
          <w:sz w:val="20"/>
          <w:szCs w:val="20"/>
        </w:rPr>
        <w:t>.</w:t>
      </w:r>
    </w:p>
    <w:p w14:paraId="58725CF1" w14:textId="6FB137F8" w:rsidR="009A68E2" w:rsidRPr="00A14B67" w:rsidRDefault="009A68E2" w:rsidP="00A06A7D">
      <w:pPr>
        <w:widowControl w:val="0"/>
        <w:autoSpaceDE w:val="0"/>
        <w:autoSpaceDN w:val="0"/>
        <w:spacing w:line="420" w:lineRule="auto"/>
        <w:jc w:val="both"/>
        <w:rPr>
          <w:rFonts w:ascii="Arial" w:hAnsi="Arial" w:cs="Arial"/>
          <w:sz w:val="20"/>
          <w:szCs w:val="20"/>
        </w:rPr>
      </w:pPr>
      <w:r w:rsidRPr="00A14B67">
        <w:rPr>
          <w:rFonts w:ascii="Arial" w:hAnsi="Arial" w:cs="Arial"/>
          <w:sz w:val="20"/>
          <w:szCs w:val="20"/>
        </w:rPr>
        <w:t xml:space="preserve">Image analysis was performed by one reader </w:t>
      </w:r>
      <w:r w:rsidRPr="00A14B67">
        <w:rPr>
          <w:rFonts w:ascii="Arial" w:eastAsia="SimSun" w:hAnsi="Arial" w:cs="Arial"/>
          <w:sz w:val="20"/>
          <w:szCs w:val="20"/>
        </w:rPr>
        <w:t xml:space="preserve">with </w:t>
      </w:r>
      <w:r w:rsidRPr="00A14B67">
        <w:rPr>
          <w:rFonts w:ascii="Arial" w:hAnsi="Arial" w:cs="Arial"/>
          <w:sz w:val="20"/>
          <w:szCs w:val="20"/>
        </w:rPr>
        <w:t>6</w:t>
      </w:r>
      <w:r w:rsidRPr="00A14B67">
        <w:rPr>
          <w:rFonts w:ascii="Arial" w:eastAsia="SimSun" w:hAnsi="Arial" w:cs="Arial"/>
          <w:sz w:val="20"/>
          <w:szCs w:val="20"/>
        </w:rPr>
        <w:t xml:space="preserve"> years </w:t>
      </w:r>
      <w:r w:rsidRPr="00A14B67">
        <w:rPr>
          <w:rFonts w:ascii="Arial" w:hAnsi="Arial" w:cs="Arial"/>
          <w:sz w:val="20"/>
          <w:szCs w:val="20"/>
        </w:rPr>
        <w:t xml:space="preserve">of DCE-US </w:t>
      </w:r>
      <w:r w:rsidRPr="00A14B67">
        <w:rPr>
          <w:rFonts w:ascii="Arial" w:eastAsia="SimSun" w:hAnsi="Arial" w:cs="Arial"/>
          <w:sz w:val="20"/>
          <w:szCs w:val="20"/>
        </w:rPr>
        <w:t>experience</w:t>
      </w:r>
      <w:r w:rsidRPr="00A14B67">
        <w:rPr>
          <w:rFonts w:ascii="Arial" w:hAnsi="Arial" w:cs="Arial"/>
          <w:sz w:val="20"/>
          <w:szCs w:val="20"/>
        </w:rPr>
        <w:t xml:space="preserve"> in random order. The reader was blinded to the treatment information and types of animals (LS174T vs. CT26). All </w:t>
      </w:r>
      <w:r w:rsidRPr="00A14B67">
        <w:rPr>
          <w:rFonts w:ascii="Arial" w:hAnsi="Arial" w:cs="Arial"/>
          <w:color w:val="000000"/>
          <w:sz w:val="20"/>
          <w:szCs w:val="20"/>
        </w:rPr>
        <w:t xml:space="preserve">3D </w:t>
      </w:r>
      <w:bookmarkStart w:id="13" w:name="OLE_LINK41"/>
      <w:bookmarkStart w:id="14" w:name="OLE_LINK42"/>
      <w:r w:rsidRPr="00A14B67">
        <w:rPr>
          <w:rFonts w:ascii="Arial" w:hAnsi="Arial" w:cs="Arial"/>
          <w:color w:val="000000"/>
          <w:sz w:val="20"/>
          <w:szCs w:val="20"/>
        </w:rPr>
        <w:t>DCE-US imaging</w:t>
      </w:r>
      <w:bookmarkEnd w:id="13"/>
      <w:bookmarkEnd w:id="14"/>
      <w:r w:rsidRPr="00A14B67">
        <w:rPr>
          <w:rFonts w:ascii="Arial" w:hAnsi="Arial" w:cs="Arial"/>
          <w:sz w:val="20"/>
          <w:szCs w:val="20"/>
        </w:rPr>
        <w:t xml:space="preserve"> datasets were </w:t>
      </w:r>
      <w:r w:rsidRPr="00A14B67">
        <w:rPr>
          <w:rFonts w:ascii="Arial" w:hAnsi="Arial" w:cs="Arial"/>
          <w:color w:val="000000"/>
          <w:sz w:val="20"/>
          <w:szCs w:val="20"/>
        </w:rPr>
        <w:t>analyzed</w:t>
      </w:r>
      <w:r w:rsidRPr="00A14B67">
        <w:rPr>
          <w:rFonts w:ascii="Arial" w:hAnsi="Arial" w:cs="Arial"/>
          <w:sz w:val="20"/>
          <w:szCs w:val="20"/>
        </w:rPr>
        <w:t xml:space="preserve"> with a </w:t>
      </w:r>
      <w:r w:rsidRPr="00A14B67">
        <w:rPr>
          <w:rFonts w:ascii="Arial" w:hAnsi="Arial" w:cs="Arial"/>
          <w:color w:val="000000"/>
          <w:sz w:val="20"/>
          <w:szCs w:val="20"/>
        </w:rPr>
        <w:t>custom software in MeVisLab as previously described</w:t>
      </w:r>
      <w:r w:rsidR="00433451" w:rsidRPr="00A14B67">
        <w:rPr>
          <w:rFonts w:ascii="Arial" w:hAnsi="Arial" w:cs="Arial"/>
          <w:color w:val="000000"/>
          <w:sz w:val="20"/>
          <w:szCs w:val="20"/>
        </w:rPr>
        <w:t xml:space="preserve"> </w:t>
      </w:r>
      <w:r w:rsidR="00433451" w:rsidRPr="00A14B67">
        <w:rPr>
          <w:rFonts w:ascii="Arial" w:hAnsi="Arial" w:cs="Arial"/>
          <w:color w:val="000000"/>
          <w:sz w:val="20"/>
          <w:szCs w:val="20"/>
        </w:rPr>
        <w:fldChar w:fldCharType="begin" w:fldLock="1"/>
      </w:r>
      <w:r w:rsidR="003F04EF" w:rsidRPr="00A14B67">
        <w:rPr>
          <w:rFonts w:ascii="Arial" w:hAnsi="Arial" w:cs="Arial"/>
          <w:color w:val="000000"/>
          <w:sz w:val="20"/>
          <w:szCs w:val="20"/>
        </w:rPr>
        <w:instrText>ADDIN CSL_CITATION {"citationItems":[{"id":"ITEM-1","itemData":{"DOI":"10.1148/radiol.2015142824","ISSN":"1527-1315","PMID":"26020439","abstract":"PURPOSE To evaluate feasibility and reproducibility of three-dimensional (3D) dynamic contrast material-enhanced (DCE) ultrasonographic (US) imaging by using a clinical matrix array transducer to assess early antiangiogenic treatment effects in human colon cancer xenografts in mice. MATERIALS AND METHODS Animal studies were approved by the Institutional Administrative Panel on Laboratory Animal Care at Stanford University. Three-dimensional DCE US imaging with two techniques (bolus and destruction-replenishment) was performed in human colon cancer xenografts (n = 38) by using a clinical US system and transducer. Twenty-one mice were imaged twice to assess reproducibility. Seventeen mice were scanned before and 24 hours after either antiangiogenic (n = 9) or saline-only (n = 8) treatment. Data sets of 3D DCE US examinations were retrospectively segmented into consecutive 1-mm imaging planes to simulate two-dimensional (2D) DCE US imaging. Six perfusion parameters (peak enhancement [PE], area under the time-intensity curve [AUC], time to peak [TTP], relative blood volume [rBV], relative blood flow [rBF], and blood flow velocity) were measured on both 3D and 2D data sets. Percent area of blood vessels was quantified ex vivo with immunofluorescence. Statistical analyses were performed with the Wilcoxon rank test by calculating intraclass correlation coefficients and by using Pearson correlation analysis. RESULTS Reproducibility of both 3D DCE US imaging techniques was good to excellent (intraclass correlation coefficient, 0.73-0.86). PE, AUC, rBV, and rBF significantly decreased (P ≤ .04) in antiangiogenic versus saline-treated tumors. rBV (r = 0.74; P = .06) and rBF (r = 0.85; P = .02) correlated with ex vivo percent area of blood vessels, although the statistical significance of rBV was not reached, likely because of small sample size. Overall, 2D DCE-US overestimated and underestimated treatment effects from up to 125-fold to170-fold compared with 3D DCE US imaging. If the central tumor plane was assessed, treatment response was underestimated up to threefold or overestimated up to 57-fold on 2D versus 3D DCE US images. CONCLUSION Three-dimensional DCE US imaging with a clinical matrix array transducer is feasible and reproducible to assess tumor perfusion in human colon cancer xenografts in mice and allows for assessment of early treatment response after antiangiogenic therapy.","author":[{"dropping-particle":"","family":"Wang","given":"Huaijun","non-dropping-particle":"","parse-names":false,"suffix":""},{"dropping-particle":"","family":"Hristov","given":"Dimitre","non-dropping-particle":"","parse-names":false,"suffix":""},{"dropping-particle":"","family":"Qin","given":"Jiale","non-dropping-particle":"","parse-names":false,"suffix":""},{"dropping-particle":"","family":"Tian","given":"Lu","non-dropping-particle":"","parse-names":false,"suffix":""},{"dropping-particle":"","family":"Willmann","given":"Jürgen K.","non-dropping-particle":"","parse-names":false,"suffix":""}],"container-title":"Radiology","id":"ITEM-1","issue":"2","issued":{"date-parts":[["2015","11"]]},"note":"From Duplicate 2 (Three-dimensional Dynamic Contrast-enhanced US Imaging for Early Antiangiogenic Treatment Assessment in a Mouse Colon Cancer Model. - Wang, Huaijun; Hristov, Dimitre; Qin, Jiale; Tian, Lu; Willmann, Jürgen K)\n\n{:PMCID:PMC4627439}","page":"424-34","title":"Three-dimensional Dynamic Contrast-enhanced US Imaging for Early Antiangiogenic Treatment Assessment in a Mouse Colon Cancer Model.","type":"article-journal","volume":"277"},"uris":["http://www.mendeley.com/documents/?uuid=bdcada1b-a5b0-4eed-9f82-37ea10f7664a"]}],"mendeley":{"formattedCitation":"&lt;sup&gt;4&lt;/sup&gt;","plainTextFormattedCitation":"4","previouslyFormattedCitation":"&lt;i&gt;(4)&lt;/i&gt;"},"properties":{"noteIndex":0},"schema":"https://github.com/citation-style-language/schema/raw/master/csl-citation.json"}</w:instrText>
      </w:r>
      <w:r w:rsidR="00433451" w:rsidRPr="00A14B67">
        <w:rPr>
          <w:rFonts w:ascii="Arial" w:hAnsi="Arial" w:cs="Arial"/>
          <w:color w:val="000000"/>
          <w:sz w:val="20"/>
          <w:szCs w:val="20"/>
        </w:rPr>
        <w:fldChar w:fldCharType="separate"/>
      </w:r>
      <w:r w:rsidR="003F04EF" w:rsidRPr="00A14B67">
        <w:rPr>
          <w:rFonts w:ascii="Arial" w:hAnsi="Arial" w:cs="Arial"/>
          <w:noProof/>
          <w:color w:val="000000"/>
          <w:sz w:val="20"/>
          <w:szCs w:val="20"/>
          <w:vertAlign w:val="superscript"/>
        </w:rPr>
        <w:t>4</w:t>
      </w:r>
      <w:r w:rsidR="00433451" w:rsidRPr="00A14B67">
        <w:rPr>
          <w:rFonts w:ascii="Arial" w:hAnsi="Arial" w:cs="Arial"/>
          <w:color w:val="000000"/>
          <w:sz w:val="20"/>
          <w:szCs w:val="20"/>
        </w:rPr>
        <w:fldChar w:fldCharType="end"/>
      </w:r>
      <w:r w:rsidRPr="00A14B67">
        <w:rPr>
          <w:rFonts w:ascii="Arial" w:hAnsi="Arial" w:cs="Arial"/>
          <w:color w:val="000000"/>
          <w:sz w:val="20"/>
          <w:szCs w:val="20"/>
        </w:rPr>
        <w:t xml:space="preserve">. </w:t>
      </w:r>
      <w:r w:rsidRPr="00A14B67">
        <w:rPr>
          <w:rFonts w:ascii="Arial" w:hAnsi="Arial" w:cs="Arial"/>
          <w:sz w:val="20"/>
          <w:szCs w:val="20"/>
        </w:rPr>
        <w:t xml:space="preserve">A first-pass kinetics analysis of the signal intensity-time curve from the VOI, which is based on the wash-in and washout kinetics of microbubbles after bolus injection, was used for the </w:t>
      </w:r>
      <w:r w:rsidRPr="00A14B67">
        <w:rPr>
          <w:rFonts w:ascii="Arial" w:hAnsi="Arial" w:cs="Arial"/>
          <w:sz w:val="20"/>
          <w:szCs w:val="20"/>
        </w:rPr>
        <w:lastRenderedPageBreak/>
        <w:t xml:space="preserve">quantification of tumor perfusion. </w:t>
      </w:r>
      <w:r w:rsidR="00F22ADA" w:rsidRPr="00A14B67">
        <w:rPr>
          <w:rFonts w:ascii="Arial" w:hAnsi="Arial" w:cs="Arial"/>
          <w:sz w:val="20"/>
          <w:szCs w:val="20"/>
        </w:rPr>
        <w:t>For conventional parameter extraction, t</w:t>
      </w:r>
      <w:r w:rsidRPr="00A14B67">
        <w:rPr>
          <w:rFonts w:ascii="Arial" w:hAnsi="Arial" w:cs="Arial"/>
          <w:sz w:val="20"/>
          <w:szCs w:val="20"/>
        </w:rPr>
        <w:t>he average of the linearized intensities of all the pixels in the VOI was used to obtain a time-intensity curve. A lognormal model was fitted to each perfusion curve to extract the following perfusion parameters: peak enhancement (PE, arbitrary units, au), area under the curve (AUC, au), mean transit time (MTT, seconds) and time to peak (TP, seconds). The PE and AUC are generally related to blood volume while the TP and MTT are estimates of perfusion rates</w:t>
      </w:r>
      <w:r w:rsidR="00433451"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{"citationItems":[{"id":"ITEM-1","itemData":{"DOI":"10.1109/TUFFC.2010.1550","ISSN":"1525-8955","PMID":"20529706","abstract":"Indicator dilution methods have a long history in the quantification of both macro- and microvascular blood flow in many clinical applications. Various models have been employed in the past to isolate the primary pass of an indicator after an intravenous bolus injection. The use of indicator dilution techniques allows for the estimation of hemodynamic parameters of a tumor or organ and thus may lead to useful diagnostic and therapy monitoring information. In this paper, we review and discuss the properties of the lognormal function, the gamma variate function, the diffusion with drift models, and the lagged normal function, which have been used to model indicator dilution curves in different fields of medicine. We fit these models to contrast-enhanced ultrasound time-intensity curves from liver metastases and the ovine corpora lutea. We evaluate the models' performance on the image data and compare their predictions for hemodynamic-related parameters such as the area under the curve, the mean transit time, the full-width at half-maximum, the time to the peak intensity, and wash-in time. The models that best fit the experimental data are the lognormal function and the diffusion with drift.","author":[{"dropping-particle":"","family":"Strouthos","given":"Costas","non-dropping-particle":"","parse-names":false,"suffix":""},{"dropping-particle":"","family":"Lampaskis","given":"Marios","non-dropping-particle":"","parse-names":false,"suffix":""},{"dropping-particle":"","family":"Sboros","given":"Vassilis","non-dropping-particle":"","parse-names":false,"suffix":""},{"dropping-particle":"","family":"McNeilly","given":"Alan","non-dropping-particle":"","parse-names":false,"suffix":""},{"dropping-particle":"","family":"Averkiou","given":"Michalakis","non-dropping-particle":"","parse-names":false,"suffix":""}],"container-title":"IEEE transactions on ultrasonics, ferroelectrics, and frequency control","id":"ITEM-1","issue":"6","issued":{"date-parts":[["2010","6","1"]]},"language":"English","page":"1296-310","publisher":"IEEE","title":"Indicator dilution models for the quantification of microvascular blood flow with bolus administration of ultrasound contrast agents.","type":"article-journal","volume":"57"},"uris":["http://www.mendeley.com/documents/?uuid=2b00abdc-b87c-4b71-bc5c-b1db2361aef0"]}],"mendeley":{"formattedCitation":"&lt;sup&gt;14&lt;/sup&gt;","plainTextFormattedCitation":"14","previouslyFormattedCitation":"&lt;i&gt;(14)&lt;/i&gt;"},"properties":{"noteIndex":0},"schema":"https://github.com/citation-style-language/schema/raw/master/csl-citation.json"}</w:instrText>
      </w:r>
      <w:r w:rsidR="00433451" w:rsidRPr="00A14B67">
        <w:rPr>
          <w:rFonts w:ascii="Arial" w:hAnsi="Arial" w:cs="Arial"/>
          <w:sz w:val="20"/>
          <w:szCs w:val="20"/>
        </w:rPr>
        <w:fldChar w:fldCharType="separate"/>
      </w:r>
      <w:r w:rsidR="003F04EF" w:rsidRPr="00A14B67">
        <w:rPr>
          <w:rFonts w:ascii="Arial" w:hAnsi="Arial" w:cs="Arial"/>
          <w:noProof/>
          <w:sz w:val="20"/>
          <w:szCs w:val="20"/>
          <w:vertAlign w:val="superscript"/>
        </w:rPr>
        <w:t>14</w:t>
      </w:r>
      <w:r w:rsidR="00433451" w:rsidRPr="00A14B67">
        <w:rPr>
          <w:rFonts w:ascii="Arial" w:hAnsi="Arial" w:cs="Arial"/>
          <w:sz w:val="20"/>
          <w:szCs w:val="20"/>
        </w:rPr>
        <w:fldChar w:fldCharType="end"/>
      </w:r>
      <w:r w:rsidRPr="00A14B67">
        <w:rPr>
          <w:rFonts w:ascii="Arial" w:hAnsi="Arial" w:cs="Arial"/>
          <w:sz w:val="20"/>
          <w:szCs w:val="20"/>
        </w:rPr>
        <w:t>. Perfusion parameters on days 1, 3, 7 and 10 were normalized to the baseline values to show percent changes.</w:t>
      </w:r>
    </w:p>
    <w:p w14:paraId="1C274D3C" w14:textId="77777777" w:rsidR="006F1097" w:rsidRPr="00A14B67" w:rsidRDefault="006F1097" w:rsidP="00A06A7D">
      <w:pPr>
        <w:spacing w:line="420" w:lineRule="auto"/>
        <w:jc w:val="both"/>
        <w:rPr>
          <w:rFonts w:ascii="Arial" w:hAnsi="Arial" w:cs="Arial"/>
          <w:b/>
          <w:sz w:val="20"/>
          <w:szCs w:val="20"/>
        </w:rPr>
      </w:pPr>
      <w:r w:rsidRPr="00A14B67">
        <w:rPr>
          <w:rFonts w:ascii="Arial" w:hAnsi="Arial" w:cs="Arial"/>
          <w:b/>
          <w:sz w:val="20"/>
          <w:szCs w:val="20"/>
        </w:rPr>
        <w:t>Parametric Map Generation</w:t>
      </w:r>
    </w:p>
    <w:p w14:paraId="192A6063" w14:textId="4C75BDC2" w:rsidR="00CE6A17" w:rsidRPr="00A14B67" w:rsidRDefault="006F1097" w:rsidP="00A06A7D">
      <w:pPr>
        <w:spacing w:line="420" w:lineRule="auto"/>
        <w:jc w:val="both"/>
        <w:rPr>
          <w:rFonts w:ascii="Arial" w:hAnsi="Arial" w:cs="Arial"/>
          <w:sz w:val="20"/>
          <w:szCs w:val="20"/>
        </w:rPr>
      </w:pPr>
      <w:r w:rsidRPr="00A14B67">
        <w:rPr>
          <w:rFonts w:ascii="Arial" w:hAnsi="Arial" w:cs="Arial"/>
          <w:sz w:val="20"/>
          <w:szCs w:val="20"/>
        </w:rPr>
        <w:t xml:space="preserve">A total of </w:t>
      </w:r>
      <w:r w:rsidR="002E4D7B" w:rsidRPr="00A14B67">
        <w:rPr>
          <w:rFonts w:ascii="Arial" w:hAnsi="Arial" w:cs="Arial"/>
          <w:sz w:val="20"/>
          <w:szCs w:val="20"/>
        </w:rPr>
        <w:t>8</w:t>
      </w:r>
      <w:r w:rsidRPr="00A14B67">
        <w:rPr>
          <w:rFonts w:ascii="Arial" w:hAnsi="Arial" w:cs="Arial"/>
          <w:sz w:val="20"/>
          <w:szCs w:val="20"/>
        </w:rPr>
        <w:t xml:space="preserve"> perfusion maps ba</w:t>
      </w:r>
      <w:r w:rsidR="002E4D7B" w:rsidRPr="00A14B67">
        <w:rPr>
          <w:rFonts w:ascii="Arial" w:hAnsi="Arial" w:cs="Arial"/>
          <w:sz w:val="20"/>
          <w:szCs w:val="20"/>
        </w:rPr>
        <w:t xml:space="preserve">sed on tracer model parameters </w:t>
      </w:r>
      <w:r w:rsidRPr="00A14B67">
        <w:rPr>
          <w:rFonts w:ascii="Arial" w:hAnsi="Arial" w:cs="Arial"/>
          <w:sz w:val="20"/>
          <w:szCs w:val="20"/>
        </w:rPr>
        <w:t xml:space="preserve">and intensity projections were generated in 3D and saved as NIFTI files. Python-based software was used to generate perfusion maps using parallel processing on a high-performance multi-core processing computing cluster. The cluster is used for voxel-by-voxel least-square fitting of time-intensity curves to an established perfusion model for parametric map generation. It is comprised of 127-shared servers, which include 16 CPU cores per node, each operating with up to 4 GB of RAM. For parametric maps of tracer models (tens of millions of voxels present in each 3D perfusion image), the software ran in parallel on a single node for each data set, using all 16 cores per node to perform a voxel-by-voxel nonlinear least-square fitting of the lognormal model. Maps take an average of 3 hours to be generated. Unlike CT and MRI data, ultrasound images are noisy and filed with artifacts. To account for this, several ‘cleanup’ steps were applied to subtract major artifacts in images in the 4D sequence, and to smoothen the time-intensity curves. </w:t>
      </w:r>
      <w:r w:rsidR="0030253C" w:rsidRPr="00A14B67">
        <w:rPr>
          <w:rFonts w:ascii="Arial" w:hAnsi="Arial" w:cs="Arial"/>
          <w:sz w:val="20"/>
          <w:szCs w:val="20"/>
        </w:rPr>
        <w:t>More specifically, the</w:t>
      </w:r>
      <w:r w:rsidRPr="00A14B67">
        <w:rPr>
          <w:rFonts w:ascii="Arial" w:hAnsi="Arial" w:cs="Arial"/>
          <w:sz w:val="20"/>
          <w:szCs w:val="20"/>
        </w:rPr>
        <w:t xml:space="preserve"> processing pipeline </w:t>
      </w:r>
      <w:r w:rsidR="0030253C" w:rsidRPr="00A14B67">
        <w:rPr>
          <w:rFonts w:ascii="Arial" w:hAnsi="Arial" w:cs="Arial"/>
          <w:sz w:val="20"/>
          <w:szCs w:val="20"/>
        </w:rPr>
        <w:t>included</w:t>
      </w:r>
      <w:r w:rsidRPr="00A14B67">
        <w:rPr>
          <w:rFonts w:ascii="Arial" w:hAnsi="Arial" w:cs="Arial"/>
          <w:sz w:val="20"/>
          <w:szCs w:val="20"/>
        </w:rPr>
        <w:t xml:space="preserve">: </w:t>
      </w:r>
      <w:r w:rsidRPr="00A14B67">
        <w:rPr>
          <w:rFonts w:ascii="Arial" w:hAnsi="Arial" w:cs="Arial"/>
          <w:b/>
          <w:bCs/>
          <w:sz w:val="20"/>
          <w:szCs w:val="20"/>
        </w:rPr>
        <w:t>(1)</w:t>
      </w:r>
      <w:r w:rsidRPr="00A14B67">
        <w:rPr>
          <w:rFonts w:ascii="Arial" w:hAnsi="Arial" w:cs="Arial"/>
          <w:sz w:val="20"/>
          <w:szCs w:val="20"/>
        </w:rPr>
        <w:t xml:space="preserve"> linearization of the signal and isotropic resampling to generate a time intensity curve (TIC); </w:t>
      </w:r>
      <w:r w:rsidRPr="00A14B67">
        <w:rPr>
          <w:rFonts w:ascii="Arial" w:hAnsi="Arial" w:cs="Arial"/>
          <w:b/>
          <w:bCs/>
          <w:sz w:val="20"/>
          <w:szCs w:val="20"/>
        </w:rPr>
        <w:t>(2)</w:t>
      </w:r>
      <w:r w:rsidRPr="00A14B67">
        <w:rPr>
          <w:rFonts w:ascii="Arial" w:hAnsi="Arial" w:cs="Arial"/>
          <w:sz w:val="20"/>
          <w:szCs w:val="20"/>
        </w:rPr>
        <w:t xml:space="preserve"> identification of contrast arrival in image (wash-in start) and auto-masking of flow-only voxels (perfused tissue); </w:t>
      </w:r>
      <w:r w:rsidRPr="00A14B67">
        <w:rPr>
          <w:rFonts w:ascii="Arial" w:hAnsi="Arial" w:cs="Arial"/>
          <w:b/>
          <w:sz w:val="20"/>
          <w:szCs w:val="20"/>
        </w:rPr>
        <w:t>(</w:t>
      </w:r>
      <w:r w:rsidRPr="00A14B67">
        <w:rPr>
          <w:rFonts w:ascii="Arial" w:hAnsi="Arial" w:cs="Arial"/>
          <w:b/>
          <w:bCs/>
          <w:sz w:val="20"/>
          <w:szCs w:val="20"/>
        </w:rPr>
        <w:t>3)</w:t>
      </w:r>
      <w:r w:rsidRPr="00A14B67">
        <w:rPr>
          <w:rFonts w:ascii="Arial" w:hAnsi="Arial" w:cs="Arial"/>
          <w:sz w:val="20"/>
          <w:szCs w:val="20"/>
        </w:rPr>
        <w:t xml:space="preserve"> standardizing TIC fitting (which also check for quality of fit) to each voxel based on the log-normal perfusion model or an intensity projection; and </w:t>
      </w:r>
      <w:r w:rsidRPr="00A14B67">
        <w:rPr>
          <w:rFonts w:ascii="Arial" w:hAnsi="Arial" w:cs="Arial"/>
          <w:b/>
          <w:bCs/>
          <w:sz w:val="20"/>
          <w:szCs w:val="20"/>
        </w:rPr>
        <w:t>(4)</w:t>
      </w:r>
      <w:r w:rsidRPr="00A14B67">
        <w:rPr>
          <w:rFonts w:ascii="Arial" w:hAnsi="Arial" w:cs="Arial"/>
          <w:sz w:val="20"/>
          <w:szCs w:val="20"/>
        </w:rPr>
        <w:t xml:space="preserve"> generation of parametric maps or intensity projection</w:t>
      </w:r>
      <w:r w:rsidR="00DF6D88" w:rsidRPr="00A14B67">
        <w:rPr>
          <w:rFonts w:ascii="Arial" w:hAnsi="Arial" w:cs="Arial"/>
          <w:sz w:val="20"/>
          <w:szCs w:val="20"/>
        </w:rPr>
        <w:t xml:space="preserve"> (</w:t>
      </w:r>
      <w:r w:rsidR="006C0B70" w:rsidRPr="00A14B67">
        <w:rPr>
          <w:rFonts w:ascii="Arial" w:hAnsi="Arial" w:cs="Arial"/>
          <w:b/>
          <w:sz w:val="20"/>
          <w:szCs w:val="20"/>
        </w:rPr>
        <w:t>Figure 1B</w:t>
      </w:r>
      <w:r w:rsidR="006C0B70" w:rsidRPr="00A14B67">
        <w:rPr>
          <w:rFonts w:ascii="Arial" w:hAnsi="Arial" w:cs="Arial"/>
          <w:sz w:val="20"/>
          <w:szCs w:val="20"/>
        </w:rPr>
        <w:t>)</w:t>
      </w:r>
      <w:r w:rsidR="00752163" w:rsidRPr="00A14B67">
        <w:rPr>
          <w:rFonts w:ascii="Arial" w:hAnsi="Arial" w:cs="Arial"/>
          <w:sz w:val="20"/>
          <w:szCs w:val="20"/>
        </w:rPr>
        <w:t>.</w:t>
      </w:r>
      <w:r w:rsidR="000121CE" w:rsidRPr="00A14B67">
        <w:rPr>
          <w:rFonts w:ascii="Arial" w:hAnsi="Arial" w:cs="Arial"/>
          <w:sz w:val="20"/>
          <w:szCs w:val="20"/>
        </w:rPr>
        <w:t xml:space="preserve"> Additional parametric maps of different parameters are displayed in </w:t>
      </w:r>
      <w:r w:rsidR="000121CE" w:rsidRPr="00A14B67">
        <w:rPr>
          <w:rFonts w:ascii="Arial" w:hAnsi="Arial" w:cs="Arial"/>
          <w:b/>
          <w:sz w:val="20"/>
          <w:szCs w:val="20"/>
        </w:rPr>
        <w:t xml:space="preserve">Supplementary Figure </w:t>
      </w:r>
      <w:r w:rsidR="00433451" w:rsidRPr="00A14B67">
        <w:rPr>
          <w:rFonts w:ascii="Arial" w:hAnsi="Arial" w:cs="Arial"/>
          <w:b/>
          <w:sz w:val="20"/>
          <w:szCs w:val="20"/>
        </w:rPr>
        <w:t>1</w:t>
      </w:r>
      <w:r w:rsidR="000121CE" w:rsidRPr="00A14B67">
        <w:rPr>
          <w:rFonts w:ascii="Arial" w:hAnsi="Arial" w:cs="Arial"/>
          <w:sz w:val="20"/>
          <w:szCs w:val="20"/>
        </w:rPr>
        <w:t>.</w:t>
      </w:r>
      <w:r w:rsidR="00C5270A" w:rsidRPr="00A14B67">
        <w:rPr>
          <w:rFonts w:ascii="Arial" w:hAnsi="Arial" w:cs="Arial"/>
          <w:sz w:val="20"/>
          <w:szCs w:val="20"/>
        </w:rPr>
        <w:t xml:space="preserve"> Parametric maps include: peak enhancement (PE), area under the curve (AUC), time-to-peak (TP), mean transi</w:t>
      </w:r>
      <w:r w:rsidR="00F5596D" w:rsidRPr="00A14B67">
        <w:rPr>
          <w:rFonts w:ascii="Arial" w:hAnsi="Arial" w:cs="Arial"/>
          <w:sz w:val="20"/>
          <w:szCs w:val="20"/>
        </w:rPr>
        <w:t>t</w:t>
      </w:r>
      <w:r w:rsidR="00C5270A" w:rsidRPr="00A14B67">
        <w:rPr>
          <w:rFonts w:ascii="Arial" w:hAnsi="Arial" w:cs="Arial"/>
          <w:sz w:val="20"/>
          <w:szCs w:val="20"/>
        </w:rPr>
        <w:t xml:space="preserve"> time (MTT), arrival time of contrast (T0), maximum intensity projection (MIP), average intensity projection (AIP), and standard </w:t>
      </w:r>
      <w:r w:rsidR="0010176E" w:rsidRPr="00A14B67">
        <w:rPr>
          <w:rFonts w:ascii="Arial" w:hAnsi="Arial" w:cs="Arial"/>
          <w:sz w:val="20"/>
          <w:szCs w:val="20"/>
        </w:rPr>
        <w:t>deviation</w:t>
      </w:r>
      <w:r w:rsidR="00C5270A" w:rsidRPr="00A14B67">
        <w:rPr>
          <w:rFonts w:ascii="Arial" w:hAnsi="Arial" w:cs="Arial"/>
          <w:sz w:val="20"/>
          <w:szCs w:val="20"/>
        </w:rPr>
        <w:t xml:space="preserve"> projection (SIP). </w:t>
      </w:r>
      <w:r w:rsidRPr="00A14B67">
        <w:rPr>
          <w:rFonts w:ascii="Arial" w:hAnsi="Arial" w:cs="Arial"/>
          <w:sz w:val="20"/>
          <w:szCs w:val="20"/>
        </w:rPr>
        <w:t xml:space="preserve">For </w:t>
      </w:r>
      <w:r w:rsidR="0030253C" w:rsidRPr="00A14B67">
        <w:rPr>
          <w:rFonts w:ascii="Arial" w:hAnsi="Arial" w:cs="Arial"/>
          <w:sz w:val="20"/>
          <w:szCs w:val="20"/>
        </w:rPr>
        <w:t>clinical data, an additional motion correction step was employed</w:t>
      </w:r>
      <w:r w:rsidR="00E62E67" w:rsidRPr="00A14B67">
        <w:rPr>
          <w:rFonts w:ascii="Arial" w:hAnsi="Arial" w:cs="Arial"/>
          <w:sz w:val="20"/>
          <w:szCs w:val="20"/>
        </w:rPr>
        <w:t xml:space="preserve"> </w:t>
      </w:r>
      <w:r w:rsidR="00CC66F1"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author":[{"dropping-particle":"","family":"Kaffas","given":"Ahmed","non-dropping-particle":"El","parse-names":false,"suffix":""},{"dropping-particle":"","family":"Chen","given":"Jia-Shu-","non-dropping-particle":"","parse-names":false,"suffix":""},{"dropping-particle":"","family":"Goubran","given":"Maged","non-dropping-particle":"","parse-names":false,"suffix":""},{"dropping-particle":"","family":"Kim","given":"Gaeun","non-dropping-particle":"","parse-names":false,"suffix":""},{"dropping-particle":"","family":"Hristov","given":"Dimitre","non-dropping-particle":"","parse-names":false,"suffix":""},{"dropping-particle":"","family":"Willmann","given":"Juergen K.","non-dropping-particle":"","parse-names":false,"suffix":""}],"container-title":"IEEE IUS 2018","id":"ITEM-1","issued":{"date-parts":[["2018"]]},"publisher-place":"Kobe","title":"Novel Motion Correction Algorithm for 3D Dynamic Contrast Ultrasound Without Anatomical Bmode Images","type":"paper-conference"},"uris":["http://www.mendeley.com/documents/?uuid=57f2175d-922f-4348-a230-61acbc5987a2"]},{"id":"ITEM-2","itemData":{"author":[{"dropping-particle":"","family":"Chen","given":"Jia-Shu-","non-dropping-particle":"","parse-names":false,"suffix":""},{"dropping-particle":"","family":"Goubran","given":"Maged","non-dropping-particle":"","parse-names":false,"suffix":""},{"dropping-particle":"","family":"Kim","given":"Gaeun","non-dropping-particle":"","parse-names":false,"suffix":""},{"dropping-particle":"","family":"Willmann","given":"Juergen K.","non-dropping-particle":"","parse-names":false,"suffix":""},{"dropping-particle":"","family":"Kaffas","given":"Ahmed","non-dropping-particle":"El","parse-names":false,"suffix":""}],"container-title":"Submitted to IEEE TUFFC","id":"ITEM-2","issued":{"date-parts":[["2019"]]},"title":"Motion Correction of 3D Dynamic Contrast-Enhanced Ultrasound Imaging without Anatomical Bmode Images","type":"article-journal"},"uris":["http://www.mendeley.com/documents/?uuid=75ce7fae-6923-41de-a13a-12e862fbf585"]}],"mendeley":{"formattedCitation":"&lt;sup&gt;15,16&lt;/sup&gt;","plainTextFormattedCitation":"15,16","previouslyFormattedCitation":"&lt;i&gt;(15, 16)&lt;/i&gt;"},"properties":{"noteIndex":0},"schema":"https://github.com/citation-style-language/schema/raw/master/csl-citation.json"}</w:instrText>
      </w:r>
      <w:r w:rsidR="00CC66F1" w:rsidRPr="00A14B67">
        <w:rPr>
          <w:rFonts w:ascii="Arial" w:hAnsi="Arial" w:cs="Arial"/>
          <w:sz w:val="20"/>
          <w:szCs w:val="20"/>
        </w:rPr>
        <w:fldChar w:fldCharType="separate"/>
      </w:r>
      <w:r w:rsidR="003F04EF" w:rsidRPr="00A14B67">
        <w:rPr>
          <w:rFonts w:ascii="Arial" w:hAnsi="Arial" w:cs="Arial"/>
          <w:noProof/>
          <w:sz w:val="20"/>
          <w:szCs w:val="20"/>
          <w:vertAlign w:val="superscript"/>
        </w:rPr>
        <w:t>15,16</w:t>
      </w:r>
      <w:r w:rsidR="00CC66F1" w:rsidRPr="00A14B67">
        <w:rPr>
          <w:rFonts w:ascii="Arial" w:hAnsi="Arial" w:cs="Arial"/>
          <w:sz w:val="20"/>
          <w:szCs w:val="20"/>
        </w:rPr>
        <w:fldChar w:fldCharType="end"/>
      </w:r>
      <w:r w:rsidR="0030253C" w:rsidRPr="00A14B67">
        <w:rPr>
          <w:rFonts w:ascii="Arial" w:hAnsi="Arial" w:cs="Arial"/>
          <w:sz w:val="20"/>
          <w:szCs w:val="20"/>
        </w:rPr>
        <w:t xml:space="preserve">. This is necessary given </w:t>
      </w:r>
      <w:r w:rsidR="007E1FA0" w:rsidRPr="00A14B67">
        <w:rPr>
          <w:rFonts w:ascii="Arial" w:hAnsi="Arial" w:cs="Arial"/>
          <w:sz w:val="20"/>
          <w:szCs w:val="20"/>
        </w:rPr>
        <w:t xml:space="preserve">increased </w:t>
      </w:r>
      <w:r w:rsidR="0030253C" w:rsidRPr="00A14B67">
        <w:rPr>
          <w:rFonts w:ascii="Arial" w:hAnsi="Arial" w:cs="Arial"/>
          <w:sz w:val="20"/>
          <w:szCs w:val="20"/>
        </w:rPr>
        <w:t>motion in clinical data compared to pre-clinical data</w:t>
      </w:r>
      <w:r w:rsidR="004B45EF" w:rsidRPr="00A14B67">
        <w:rPr>
          <w:rFonts w:ascii="Arial" w:hAnsi="Arial" w:cs="Arial"/>
          <w:color w:val="000000" w:themeColor="text1"/>
          <w:sz w:val="20"/>
          <w:szCs w:val="20"/>
        </w:rPr>
        <w:t>.</w:t>
      </w:r>
    </w:p>
    <w:p w14:paraId="0D9EB235" w14:textId="393E4E9A" w:rsidR="006F1097" w:rsidRPr="00A14B67" w:rsidRDefault="00E262AE" w:rsidP="00A06A7D">
      <w:pPr>
        <w:spacing w:line="420" w:lineRule="auto"/>
        <w:jc w:val="both"/>
        <w:rPr>
          <w:rFonts w:ascii="Arial" w:hAnsi="Arial" w:cs="Arial"/>
          <w:b/>
          <w:sz w:val="20"/>
          <w:szCs w:val="20"/>
        </w:rPr>
      </w:pPr>
      <w:r w:rsidRPr="00A14B67">
        <w:rPr>
          <w:rFonts w:ascii="Arial" w:hAnsi="Arial" w:cs="Arial"/>
          <w:b/>
          <w:sz w:val="20"/>
          <w:szCs w:val="20"/>
        </w:rPr>
        <w:t>Histogram and Texture Feature Extraction</w:t>
      </w:r>
    </w:p>
    <w:p w14:paraId="40D96161" w14:textId="7325792C" w:rsidR="00940563" w:rsidRPr="00A14B67" w:rsidRDefault="00940563" w:rsidP="00A06A7D">
      <w:pPr>
        <w:spacing w:line="420" w:lineRule="auto"/>
        <w:jc w:val="both"/>
        <w:outlineLvl w:val="0"/>
        <w:rPr>
          <w:rFonts w:ascii="Arial" w:hAnsi="Arial" w:cs="Arial"/>
          <w:sz w:val="20"/>
          <w:szCs w:val="20"/>
        </w:rPr>
      </w:pPr>
      <w:r w:rsidRPr="00A14B67">
        <w:rPr>
          <w:rFonts w:ascii="Arial" w:hAnsi="Arial" w:cs="Arial"/>
          <w:sz w:val="20"/>
          <w:szCs w:val="20"/>
        </w:rPr>
        <w:t xml:space="preserve">Radiomics-based image features can generally be obtained from any image, and can broadly divided into low-level (i.e., histogram) and high-level (i.e., non-texture and texture) features </w:t>
      </w:r>
      <w:r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{"citationItems":[{"id":"ITEM-1","itemData":{"DOI":"10.1109/42.141636","ISSN":"0278-0062","PMID":"18218367","abstract":"The classification of ultrasonic liver images is studied, making use of the spatial gray-level dependence matrices, the Fourier power spectrum, the gray-level difference statistics, and the Laws texture energy measures. Features of these types are used to classify three sets of ultrasonic liver images-normal liver, hepatoma, and cirrhosis (30 samples each). The Bayes classifier and the Hotelling trace criterion are employed to evaluate the performance of these features. From the viewpoint of speed and accuracy of classification, it is found that these features do not perform well enough. Hence, a new texture feature set (multiresolution fractal features) based on multiple resolution imagery and the fractional Brownian motion model is proposed to detect diffuse liver diseases quickly and accurately. Fractal dimensions estimated at various resolutions of the image are gathered to form the feature vector. Texture information contained in the proposed feature vector is discussed. A real-time implementation of the algorithm produces about 90% correct classification for the three sets of ultrasonic liver images.","author":[{"dropping-particle":"","family":"Wu","given":"C M","non-dropping-particle":"","parse-names":false,"suffix":""},{"dropping-particle":"","family":"Chen","given":"Y C","non-dropping-particle":"","parse-names":false,"suffix":""},{"dropping-particle":"","family":"Hsieh","given":"K S","non-dropping-particle":"","parse-names":false,"suffix":""}],"container-title":"IEEE transactions on medical imaging","id":"ITEM-1","issue":"2","issued":{"date-parts":[["1992","1","1"]]},"language":"English","page":"141-52","publisher":"IEEE","title":"Texture features for classification of ultrasonic liver images.","type":"article-journal","volume":"11"},"uris":["http://www.mendeley.com/documents/?uuid=2ed2a76a-d711-4bf6-8566-23b1a150a7cc"]},{"id":"ITEM-2","itemData":{"DOI":"10.1109/CBMS.2003.1212785","ISBN":"0-7695-1901-6","ISSN":"1063-71258","author":[{"dropping-particle":"","family":"Felipe","given":"J.C.","non-dropping-particle":"","parse-names":false,"suffix":""},{"dropping-particle":"","family":"Traina","given":"A.J.M.","non-dropping-particle":"","parse-names":false,"suffix":""},{"dropping-particle":"","family":"Traina","given":"C.","non-dropping-particle":"","parse-names":false,"suffix":""}],"container-title":"16th IEEE Symposium Computer-Based Medical Systems, 2003. Proceedings.","id":"ITEM-2","issued":{"date-parts":[["0"]]},"language":"English","page":"175-180","publisher":"IEEE","title":"Retrieval by content of medical images using texture for tissue identification","type":"paper-conference"},"uris":["http://www.mendeley.com/documents/?uuid=7ce2bd0c-b1ca-48b4-ba62-7bbe1f11a8e1"]},{"id":"ITEM-3","itemData":{"DOI":"10.3233/BME-130922","ISSN":"1878-3619","abstract":"Ultrasound as a noninvasive imaging technique is widely used to diagnose liver diseases. Texture analysis and classification of ultrasound liver images have become an important research topic across the world. In this study, GLGCM (Gray Level Gradient Co-Occurrence Matrix) was implemented for texture analysis of ultrasound liver images first, followed by the use of GLCM (Gray Level Co-occurrence Matrix) at the second stage. Twenty two features were obtained using the two methods, and seven most powerful features were selected for classification using BP (Back Propagation) neural network. Fibrosis was divided into five stages (S0-S4) in this study. The classification accuracies of S0-S4 were 100%, 90%, 70%, 90% and 100%, respectively.","author":[{"dropping-particle":"","family":"Gao","given":"Shuang","non-dropping-particle":"","parse-names":false,"suffix":""},{"dropping-particle":"","family":"Peng","given":"Yuhua","non-dropping-particle":"","parse-names":false,"suffix":""},{"dropping-particle":"","family":"Guo","given":"Huizhi","non-dropping-particle":"","parse-names":false,"suffix":""},{"dropping-particle":"","family":"Liu","given":"Weifeng","non-dropping-particle":"","parse-names":false,"suffix":""},{"dropping-particle":"","family":"Gao","given":"Tianxin","non-dropping-particle":"","parse-names":false,"suffix":""},{"dropping-particle":"","family":"Xu","given":"Yuanqing","non-dropping-particle":"","parse-names":false,"suffix":""},{"dropping-particle":"","family":"Tang","given":"Xiaoying","non-dropping-particle":"","parse-names":false,"suffix":""}],"container-title":"Bio-medical materials and engineering","id":"ITEM-3","issue":"1","issued":{"date-parts":[["2014"]]},"page":"1209-16","title":"Texture analysis and classification of ultrasound liver images.","type":"article-journal","volume":"24"},"uris":["http://www.mendeley.com/documents/?uuid=7a367e07-433e-4cae-add7-70ae0bd10659"]},{"id":"ITEM-4","itemData":{"DOI":"10.1109/21.44046","ISBN":"0018-9472 VO  - 19","ISSN":"00189472","PMID":"15502404","abstract":"Five properties of texture, namely, coarseness, contrast, business, complexity, and texture strength, are given conceptual definitions in terms of spatial changes in intensity. These conceptual definitions are then approximated in computational forms. In comparison with human perceptual measurements, the computational measures have shown good correspondences in the rank ordering of ten natural textures. The extent to which the measures approximate visual perception was investigated in the form of texture similarity measurements. These results were also encouraging, although not as good as in the rank ordering of the textures. The differences may be due to the complex mechanism of human usage of multiple cues. Improved classification results were obtained using the above features as compared with two existing texture analysis techniques. The application of the features in agricultural land-use classification is considered","author":[{"dropping-particle":"","family":"Amadasun","given":"Moses","non-dropping-particle":"","parse-names":false,"suffix":""},{"dropping-particle":"","family":"King","given":"Robert","non-dropping-particle":"","parse-names":false,"suffix":""}],"container-title":"IEEE Transactions on Systems, Man and Cybernetics","id":"ITEM-4","issue":"5","issued":{"date-parts":[["1989"]]},"page":"1264-1273","title":"Textural features corresponding to textural properties","type":"article-journal","volume":"19"},"uris":["http://www.mendeley.com/documents/?uuid=879fd29e-265c-4502-b924-8e64dd12b6d8"]},{"id":"ITEM-5","itemData":{"DOI":"10.1016/j.clinimag.2004.11.024","ISSN":"0899-7071","PMID":"15967313","abstract":"Fractal analyses have been applied successfully for the image compression, texture analysis, and texture image segmentation. The fractal dimension could be used to quantify the texture information. In this study, the differences of gray value of neighboring pixels are used to estimate the fractal dimension of an ultrasound image of breast lesion by using the fractal Brownian motion. Furthermore, a computer-aided diagnosis (CAD) system based on the fractal analysis is proposed to classify the breast lesions into two classes: benign and malignant. To improve the classification performances, the ultrasound images are preprocessed by using morphology operations and histogram equalization. Finally, the k-means classification method is used to classify benign tumors from malignant ones. The US breast image databases include only histologically confirmed cases: 110 malignant and 140 benign tumors, which were recorded. All the digital images were obtained prior to biopsy using by an ATL HDI 3000 system. The receiver operator characteristic (ROC) area index AZ is 0.9218, which represents the diagnostic performance.","author":[{"dropping-particle":"","family":"Chen","given":"Dar-Ren","non-dropping-particle":"","parse-names":false,"suffix":""},{"dropping-particle":"","family":"Chang","given":"Ruey-Feng","non-dropping-particle":"","parse-names":false,"suffix":""},{"dropping-particle":"","family":"Chen","given":"Chii-Jen","non-dropping-particle":"","parse-names":false,"suffix":""},{"dropping-particle":"","family":"Ho","given":"Ming-Feng","non-dropping-particle":"","parse-names":false,"suffix":""},{"dropping-particle":"","family":"Kuo","given":"Shou-Jen","non-dropping-particle":"","parse-names":false,"suffix":""},{"dropping-particle":"","family":"Chen","given":"Shou-Tung","non-dropping-particle":"","parse-names":false,"suffix":""},{"dropping-particle":"","family":"Hung","given":"Shin-Jer","non-dropping-particle":"","parse-names":false,"suffix":""},{"dropping-particle":"","family":"Moon","given":"Woo Kyung","non-dropping-particle":"","parse-names":false,"suffix":""}],"container-title":"Clinical imaging","id":"ITEM-5","issue":"4","issued":{"date-parts":[["2005"]]},"page":"235-45","title":"Classification of breast ultrasound images using fractal feature.","type":"article-journal","volume":"29"},"uris":["http://www.mendeley.com/documents/?uuid=045f4b88-8f56-49c1-ad20-4683bcec8a0e"]}],"mendeley":{"formattedCitation":"&lt;sup&gt;17–21&lt;/sup&gt;","plainTextFormattedCitation":"17–21","previouslyFormattedCitation":"&lt;i&gt;(17–21)&lt;/i&gt;"},"properties":{"noteIndex":0},"schema":"https://github.com/citation-style-language/schema/raw/master/csl-citation.json"}</w:instrText>
      </w:r>
      <w:r w:rsidRPr="00A14B67">
        <w:rPr>
          <w:rFonts w:ascii="Arial" w:hAnsi="Arial" w:cs="Arial"/>
          <w:sz w:val="20"/>
          <w:szCs w:val="20"/>
        </w:rPr>
        <w:fldChar w:fldCharType="separate"/>
      </w:r>
      <w:r w:rsidR="003F04EF" w:rsidRPr="00A14B67">
        <w:rPr>
          <w:rFonts w:ascii="Arial" w:hAnsi="Arial" w:cs="Arial"/>
          <w:noProof/>
          <w:sz w:val="20"/>
          <w:szCs w:val="20"/>
          <w:vertAlign w:val="superscript"/>
        </w:rPr>
        <w:t>17–21</w:t>
      </w:r>
      <w:r w:rsidRPr="00A14B67">
        <w:rPr>
          <w:rFonts w:ascii="Arial" w:hAnsi="Arial" w:cs="Arial"/>
          <w:sz w:val="20"/>
          <w:szCs w:val="20"/>
        </w:rPr>
        <w:fldChar w:fldCharType="end"/>
      </w:r>
      <w:r w:rsidRPr="00A14B67">
        <w:rPr>
          <w:rFonts w:ascii="Arial" w:hAnsi="Arial" w:cs="Arial"/>
          <w:sz w:val="20"/>
          <w:szCs w:val="20"/>
        </w:rPr>
        <w:t>. Low-level features are based on pixel statistics, from histogram intensity-based parameters (mean, median, and skewness of grey levels). Non-texture features are based on segmented lesions such as tumor size/volume (longest diameter, short axis, etc.) and tumor shape (circularity, compactness, etc.).</w:t>
      </w:r>
      <w:r w:rsidR="00996573" w:rsidRPr="00A14B67">
        <w:rPr>
          <w:rFonts w:ascii="Arial" w:hAnsi="Arial" w:cs="Arial"/>
          <w:sz w:val="20"/>
          <w:szCs w:val="20"/>
        </w:rPr>
        <w:t xml:space="preserve"> </w:t>
      </w:r>
      <w:r w:rsidRPr="00A14B67">
        <w:rPr>
          <w:rFonts w:ascii="Arial" w:hAnsi="Arial" w:cs="Arial"/>
          <w:sz w:val="20"/>
          <w:szCs w:val="20"/>
        </w:rPr>
        <w:t xml:space="preserve">While histogram features capture information regarding the spread and shape of image histograms (such as mean, median, and skewness of grey levels, etc), texture features take into account the overall statistical relationship of one voxel to another with the aim of capturing intensity patterns and heterogeneities with a single quantified value </w:t>
      </w:r>
      <w:r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{"citationItems":[{"id":"ITEM-1","itemData":{"DOI":"10.1371/journal.pone.0110300","ISBN":"1932-6203 (Electronic)\\r1932-6203 (Linking)","ISSN":"19326203","PMID":"25330171","abstract":"BACKGROUND Many techniques are proposed for the quantification of tumor heterogeneity as an imaging biomarker for differentiation between tumor types, tumor grading, response monitoring and outcome prediction. However, in clinical practice these methods are barely used. This study evaluates the reported performance of the described methods and identifies barriers to their implementation in clinical practice. METHODOLOGY The Ovid, Embase, and Cochrane Central databases were searched up to 20 September 2013. Heterogeneity analysis methods were classified into four categories, i.e., non-spatial methods (NSM), spatial grey level methods (SGLM), fractal analysis (FA) methods, and filters and transforms (F&amp;T). The performance of the different methods was compared. PRINCIPAL FINDINGS Of the 7351 potentially relevant publications, 209 were included. Of these studies, 58% reported the use of NSM, 49% SGLM, 10% FA, and 28% F&amp;T. Differentiation between tumor types, tumor grading and/or outcome prediction was the goal in 87% of the studies. Overall, the reported area under the curve (AUC) ranged from 0.5 to 1 (median 0.87). No relation was found between the performance and the quantification methods used, or between the performance and the imaging modality. A negative correlation was found between the tumor-feature ratio and the AUC, which is presumably caused by overfitting in small datasets. Cross-validation was reported in 63% of the classification studies. Retrospective analyses were conducted in 57% of the studies without a clear description. CONCLUSIONS In a research setting, heterogeneity quantification methods can differentiate between tumor types, grade tumors, and predict outcome and monitor treatment effects. To translate these methods to clinical practice, more prospective studies are required that use external datasets for validation: these datasets should be made available to the community to facilitate the development of new and improved methods.","author":[{"dropping-particle":"","family":"Alic","given":"Lejla","non-dropping-particle":"","parse-names":false,"suffix":""},{"dropping-particle":"","family":"Niessen","given":"Wiro J.","non-dropping-particle":"","parse-names":false,"suffix":""},{"dropping-particle":"","family":"Veenland","given":"Jifke F.","non-dropping-particle":"","parse-names":false,"suffix":""}],"container-title":"PLoS ONE","id":"ITEM-1","issue":"10","issued":{"date-parts":[["2014"]]},"page":"1-15","title":"Quantification of heterogeneity as a biomarker in tumor imaging: A systematic review","type":"article-journal","volume":"9"},"uris":["http://www.mendeley.com/documents/?uuid=38abbeb1-9fa0-4b91-940f-fdff7548a631"]},{"id":"ITEM-2","itemData":{"DOI":"10.1158/1078-0432.CCR-14-0990","ISBN":"1078-0432 (Print)\\r1078-0432 (Linking)","ISSN":"15573265","PMID":"25421725","abstract":"Tumors exhibit genomic and phenotypic heterogeneity, which has prognostic significance and may influence response to therapy. Imaging can quantify the spatial variation in architecture and function of individual tumors through quantifying basic biophysical parameters such as CT density or MRI signal relaxation rate; through measurements of blood flow, hypoxia, metabolism, cell death, and other phenotypic features; and through mapping the spatial distribution of biochemical pathways and cell signaling networks using PET, MRI, and other emerging molecular imaging techniques. These methods can establish whether one tumor is more or less heterogeneous than another and can identify subregions with differing biology. In this article, we review the image analysis methods currently used to quantify spatial heterogeneity within tumors. We discuss how analysis of intratumor heterogeneity can provide benefit over more simple biomarkers such as tumor size and average function. We consider how imaging methods can be integrated with genomic and pathology data, instead of being developed in isolation. Finally, we identify the challenges that must be overcome before measurements of intratumoral heterogeneity can be used routinely to guide patient care.","author":[{"dropping-particle":"","family":"O'Connor","given":"James P B","non-dropping-particle":"","parse-names":false,"suffix":""},{"dropping-particle":"","family":"Rose","given":"Chris J.","non-dropping-particle":"","parse-names":false,"suffix":""},{"dropping-particle":"","family":"Waterton","given":"John C.","non-dropping-particle":"","parse-names":false,"suffix":""},{"dropping-particle":"","family":"Carano","given":"Richard A D","non-dropping-particle":"","parse-names":false,"suffix":""},{"dropping-particle":"","family":"Parker","given":"Geoff J M","non-dropping-particle":"","parse-names":false,"suffix":""},{"dropping-particle":"","family":"Jackson","given":"Alan","non-dropping-particle":"","parse-names":false,"suffix":""}],"container-title":"Clinical Cancer Research","id":"ITEM-2","issue":"2","issued":{"date-parts":[["2015"]]},"page":"249-257","title":"Imaging intratumor heterogeneity: Role in therapy response, resistance, and clinical outcome","type":"article-journal","volume":"21"},"uris":["http://www.mendeley.com/documents/?uuid=cfc3f0bd-2ef8-4491-ba27-7686fa8c2e62"]},{"id":"ITEM-3","itemData":{"DOI":"10.1136/amiajnl-2012-001540","ISBN":"1527-974X (Electronic)\\r1067-5027 (Linking)","ISSN":"1527-974X","PMID":"23959844","abstract":"OBJECTIVES: With the objective of bringing clinical decision support systems to reality, this article reviews histopathological whole-slide imaging informatics methods, associated challenges, and future research opportunities.\\n\\nTARGET AUDIENCE: This review targets pathologists and informaticians who have a limited understanding of the key aspects of whole-slide image (WSI) analysis and/or a limited knowledge of state-of-the-art technologies and analysis methods.\\n\\nSCOPE: First, we discuss the importance of imaging informatics in pathology and highlight the challenges posed by histopathological WSI. Next, we provide a thorough review of current methods for: quality control of histopathological images; feature extraction that captures image properties at the pixel, object, and semantic levels; predictive modeling that utilizes image features for diagnostic or prognostic applications; and data and information visualization that explores WSI for de novo discovery. In addition, we highlight future research directions and discuss the impact of large public repositories of histopathological data, such as the Cancer Genome Atlas, on the field of pathology informatics. Following the review, we present a case study to illustrate a clinical decision support system that begins with quality control and ends with predictive modeling for several cancer endpoints. Currently, state-of-the-art software tools only provide limited image processing capabilities instead of complete data analysis for clinical decision-making. We aim to inspire researchers to conduct more research in pathology imaging informatics so that clinical decision support can become a reality.","author":[{"dropping-particle":"","family":"Kothari","given":"Sonal","non-dropping-particle":"","parse-names":false,"suffix":""},{"dropping-particle":"","family":"Phan","given":"John H","non-dropping-particle":"","parse-names":false,"suffix":""},{"dropping-particle":"","family":"Stokes","given":"Todd H","non-dropping-particle":"","parse-names":false,"suffix":""},{"dropping-particle":"","family":"Wang","given":"May D","non-dropping-particle":"","parse-names":false,"suffix":""}],"container-title":"Journal of the American Medical Informatics Association : JAMIA","id":"ITEM-3","issue":"6","issued":{"date-parts":[["2013"]]},"page":"1099-108","title":"Pathology imaging informatics for quantitative analysis of whole-slide images.","type":"article-journal","volume":"20"},"uris":["http://www.mendeley.com/documents/?uuid=86bd75bc-9de5-40ac-a748-393e1d960cc6"]},{"id":"ITEM-4","itemData":{"DOI":"10.1109/ISBI.2015.7163956","ISBN":"978-1-4799-2374-8","author":[{"dropping-particle":"","family":"Gangeh","given":"Mehrdad J.","non-dropping-particle":"","parse-names":false,"suffix":""},{"dropping-particle":"El","family":"Kaffas","given":"Ahmed","non-dropping-particle":"","parse-names":false,"suffix":""},{"dropping-particle":"","family":"Hashim","given":"Amr","non-dropping-particle":"","parse-names":false,"suffix":""},{"dropping-particle":"","family":"Giles","given":"Anoja","non-dropping-particle":"","parse-names":false,"suffix":""},{"dropping-particle":"","family":"Czarnota","given":"Gregory J.","non-dropping-particle":"","parse-names":false,"suffix":""}],"container-title":"2015 IEEE 12th International Symposium on Biomedical Imaging (ISBI)","id":"ITEM-4","issued":{"date-parts":[["2015","4"]]},"language":"English","page":"646-650","publisher":"IEEE","title":"Advanced machine learning and textural methods in monitoring cell death using quantitative ultrasound spectroscopy","type":"paper-conference"},"uris":["http://www.mendeley.com/documents/?uuid=b30c4dbd-c725-479a-9681-b5f1c631282c"]},{"id":"ITEM-5","itemData":{"DOI":"10.1038/srep27988","ISBN":"2045-2322 (Electronic)\\r2045-2322 (Linking)","ISSN":"2045-2322","PMID":"27306927","abstract":"Automatic recognition of different tissue types in histological images is an essential part in the digital pathology toolbox. Texture analysis is commonly used to address this problem; mainly in the context of estimating the tumour/stroma ratio on histological samples. However, although histological images typically contain more than two tissue types, only few studies have addressed the multi-class problem. For colorectal cancer, one of the most prevalent tumour types, there are in fact no published results on multiclass texture separation. In this paper we present a new dataset of 5,000 histological images of human colorectal cancer including eight different types of tissue. We used this set to assess the classification performance of a wide range of texture descriptors and classifiers. As a result, we found an optimal classification strategy that markedly outperformed traditional methods, improving the state of the art for tumour-stroma separation from 96.9% to 98.6% accuracy and setting a new standard for multiclass tissue separation (87.4% accuracy for eight classes). We make our dataset of histological images publicly available under a Creative Commons license and encourage other researchers to use it as a benchmark for their studies.","author":[{"dropping-particle":"","family":"Kather","given":"Jakob Nikolas","non-dropping-particle":"","parse-names":false,"suffix":""},{"dropping-particle":"","family":"Weis","given":"Cleo-Aron","non-dropping-particle":"","parse-names":false,"suffix":""},{"dropping-particle":"","family":"Bianconi","given":"Francesco","non-dropping-particle":"","parse-names":false,"suffix":""},{"dropping-particle":"","family":"Melchers","given":"Susanne M","non-dropping-particle":"","parse-names":false,"suffix":""},{"dropping-particle":"","family":"Schad","given":"Lothar R","non-dropping-particle":"","parse-names":false,"suffix":""},{"dropping-particle":"","family":"Gaiser","given":"Timo","non-dropping-particle":"","parse-names":false,"suffix":""},{"dropping-particle":"","family":"Marx","given":"Alexander","non-dropping-particle":"","parse-names":false,"suffix":""},{"dropping-particle":"","family":"Zöllner","given":"Frank Gerrit","non-dropping-particle":"","parse-names":false,"suffix":""}],"container-title":"Scientific reports","id":"ITEM-5","issued":{"date-parts":[["2016"]]},"page":"27988","publisher":"Nature Publishing Group","title":"Multi-class texture analysis in colorectal cancer histology.","type":"article-journal","volume":"6"},"uris":["http://www.mendeley.com/documents/?uuid=0bf40346-9fdc-4e66-906c-d0f897555466"]},{"id":"ITEM-6","itemData":{"DOI":"10.1002/jmri.23971","ISSN":"10531807","author":[{"dropping-particle":"","family":"Ahmed","given":"Arfan","non-dropping-particle":"","parse-names":false,"suffix":""},{"dropping-particle":"","family":"Gibbs","given":"Peter","non-dropping-particle":"","parse-names":false,"suffix":""},{"dropping-particle":"","family":"Pickles","given":"Martin","non-dropping-particle":"","parse-names":false,"suffix":""},{"dropping-particle":"","family":"Turnbull","given":"Lindsay","non-dropping-particle":"","parse-names":false,"suffix":""}],"container-title":"Journal of Magnetic Resonance Imaging","id":"ITEM-6","issue":"1","issued":{"date-parts":[["2013","7"]]},"page":"89-101","title":"Texture analysis in assessment and prediction of chemotherapy response in breast cancer","type":"article-journal","volume":"38"},"uris":["http://www.mendeley.com/documents/?uuid=60883fce-709a-3d80-83a3-5de43d49e38c"]},{"id":"ITEM-7","itemData":{"DOI":"10.1002/mrm.22003","ISSN":"07403194","author":[{"dropping-particle":"","family":"Rose","given":"Chris J.","non-dropping-particle":"","parse-names":false,"suffix":""},{"dropping-particle":"","family":"Mills","given":"Samantha J.","non-dropping-particle":"","parse-names":false,"suffix":""},{"dropping-particle":"","family":"O'Connor","given":"James P. B.","non-dropping-particle":"","parse-names":false,"suffix":""},{"dropping-particle":"","family":"Buonaccorsi","given":"Giovanni A.","non-dropping-particle":"","parse-names":false,"suffix":""},{"dropping-particle":"","family":"Roberts","given":"Caleb","non-dropping-particle":"","parse-names":false,"suffix":""},{"dropping-particle":"","family":"Watson","given":"Yvonne","non-dropping-particle":"","parse-names":false,"suffix":""},{"dropping-particle":"","family":"Cheung","given":"Susan","non-dropping-particle":"","parse-names":false,"suffix":""},{"dropping-particle":"","family":"Zhao","given":"Sha","non-dropping-particle":"","parse-names":false,"suffix":""},{"dropping-particle":"","family":"Whitcher","given":"Brandon","non-dropping-particle":"","parse-names":false,"suffix":""},{"dropping-particle":"","family":"Jackson","given":"Alan","non-dropping-particle":"","parse-names":false,"suffix":""},{"dropping-particle":"","family":"Parker","given":"Geoffrey J. M.","non-dropping-particle":"","parse-names":false,"suffix":""}],"container-title":"Magnetic Resonance in Medicine","id":"ITEM-7","issue":"2","issued":{"date-parts":[["2009","8"]]},"page":"488-499","publisher":"Wiley Subscription Services, Inc., A Wiley Company","title":"Quantifying spatial heterogeneity in dynamic contrast-enhanced MRI parameter maps","type":"article-journal","volume":"62"},"uris":["http://www.mendeley.com/documents/?uuid=88f42b6f-a74a-3aca-8b0d-d5cbcce50195"]},{"id":"ITEM-8","itemData":{"DOI":"10.1016/j.ejrad.2012.10.023","ISSN":"0720048X","abstract":"OBJECTIVE\nTo determine if there is a difference between contrast enhanced CT texture features from the largest cross-sectional area versus the whole tumor, and its effect on clinical outcome prediction. \n\nMETHODS\nEntropy (E) and uniformity (U) were derived for different filter values (1.0–2.5: fine to coarse textures) for the largest primary tumor cross-sectional area and the whole tumor of the staging contrast enhanced CT in 55 patients with primary colorectal cancer. Parameters were compared using non-parametric Wilcoxon test. Kaplan–Meier analysis was performed to determine the relationship between CT texture and 5-year overall survival. \n\nRESULTS\nE was higher and U lower for the whole tumor indicating greater heterogeneity at all filter levels (1.0–2.5): median (range) for E and U for whole tumor versus largest cross-sectional area of 7.89 (7.43–8.31) versus 7.62 (6.94–8.08) and 0.005 (0.004–0.01) versus 0.006 (0.005–0.01) for filter 1.0; 7.88 (7.22–8.48) versus 7.54 (6.86–8.1) and 0.005 (0.003–0.01) versus 0.007 (0.004–0.01) for filter 1.5; 7.88 (7.17–8.54) versus 7.48 (5.84–8.25) and 0.005 (0.003–0.01) versus 0.007 (0.004–0.02) for filter 2.0; and 7.83 (7.03–8.57) versus 7.42 (5.19–8.26) and 0.005 (0.003–0.01) versus 0.006 (0.004–0.03) for filter 2.5 respectively (p≤0.001). Kaplan–Meier analysis demonstrated better separation of E and U for whole tumor analysis for 5-year overall survival. \n\nCONCLUSION\nWhole tumor analysis appears more representative of tumor heterogeneity.","author":[{"dropping-particle":"","family":"Ng","given":"Francesca","non-dropping-particle":"","parse-names":false,"suffix":""},{"dropping-particle":"","family":"Kozarski","given":"Robert","non-dropping-particle":"","parse-names":false,"suffix":""},{"dropping-particle":"","family":"Ganeshan","given":"Balaji","non-dropping-particle":"","parse-names":false,"suffix":""},{"dropping-particle":"","family":"Goh","given":"Vicky","non-dropping-particle":"","parse-names":false,"suffix":""}],"container-title":"European Journal of Radiology","id":"ITEM-8","issue":"2","issued":{"date-parts":[["2013"]]},"page":"342-348","title":"Assessment of tumor heterogeneity by CT texture analysis: Can the largest cross-sectional area be used as an alternative to whole tumor analysis?","type":"article-journal","volume":"82"},"uris":["http://www.mendeley.com/documents/?uuid=d7abe9de-5cdc-3127-953e-237abbcc1505"]},{"id":"ITEM-9","itemData":{"DOI":"10.1148/radiol.12120254","ISSN":"0033-8419","abstract":"Fine-texture features (lower entropy, kurtosis, and standard deviation; higher uniformity and skewness) were associated with a poorer 5-year overall survival rate in patients with colorectal cancer.","author":[{"dropping-particle":"","family":"Ng","given":"Francesca","non-dropping-particle":"","parse-names":false,"suffix":""},{"dropping-particle":"","family":"Ganeshan","given":"Balaji","non-dropping-particle":"","parse-names":false,"suffix":""},{"dropping-particle":"","family":"Kozarski","given":"Robert","non-dropping-particle":"","parse-names":false,"suffix":""},{"dropping-particle":"","family":"Miles","given":"Kenneth A.","non-dropping-particle":"","parse-names":false,"suffix":""},{"dropping-particle":"","family":"Goh","given":"Vicky","non-dropping-particle":"","parse-names":false,"suffix":""}],"container-title":"Radiology","id":"ITEM-9","issue":"1","issued":{"date-parts":[["2013","1"]]},"page":"177-184","publisher":"Radiological Society of North America, Inc.","title":"Assessment of Primary Colorectal Cancer Heterogeneity by Using Whole-Tumor Texture Analysis: Contrast-enhanced CT Texture as a Biomarker of 5-year Survival","type":"article-journal","volume":"266"},"uris":["http://www.mendeley.com/documents/?uuid=46c3f936-f0f4-362e-a6ba-8cdbe5ee4ed1"]},{"id":"ITEM-10","itemData":{"DOI":"10.1007/s00259-012-2247-0","ISBN":"0025901222","ISSN":"16197070","PMID":"23064544","abstract":"(18)F-Fluorodeoxyglucose positron emission tomography/computed tomography ((18)F-FDG PET/CT) is now routinely used in oncological imaging for diagnosis and staging and increasingly to determine early response to treatment, often employing semiquantitative measures of lesion activity such as the standardized uptake value (SUV). However, the ability to predict the behaviour of a tumour in terms of future therapy response or prognosis using SUVs from a baseline scan prior to treatment is limited. It is recognized that medical images contain more useful information than may be perceived with the naked eye, leading to the field of \"radiomics\" whereby additional features can be extracted by computational postprocessing techniques. In recent years, evidence has slowly accumulated showing that parameters obtained by texture analysis of radiological images, reflecting the underlying spatial variation and heterogeneity of voxel intensities within a tumour, may yield additional predictive and prognostic information. It is hoped that measurement of these textural features may allow better tissue characterization as well as better stratification of treatment in clinical trials, or individualization of future cancer treatment in the clinic, than is possible with current imaging biomarkers. In this review we focus on the literature describing the emerging methods of texture analysis in (18)FDG PET/CT, as well as other imaging modalities, and how the measurement of spatial variation of voxel grey-scale intensity within an image may provide additional predictive and prognostic information, and postulate the underlying biological mechanisms.","author":[{"dropping-particle":"","family":"Chicklore","given":"Sugama","non-dropping-particle":"","parse-names":false,"suffix":""},{"dropping-particle":"","family":"Goh","given":"Vicky","non-dropping-particle":"","parse-names":false,"suffix":""},{"dropping-particle":"","family":"Siddique","given":"Musib","non-dropping-particle":"","parse-names":false,"suffix":""},{"dropping-particle":"","family":"Roy","given":"Arunabha","non-dropping-particle":"","parse-names":false,"suffix":""},{"dropping-particle":"","family":"Marsden","given":"Paul K.","non-dropping-particle":"","parse-names":false,"suffix":""},{"dropping-particle":"","family":"Cook","given":"Gary J. R.","non-dropping-particle":"","parse-names":false,"suffix":""}],"container-title":"European Journal of Nuclear Medicine and Molecular Imaging","id":"ITEM-10","issue":"1","issued":{"date-parts":[["2013","1","13"]]},"page":"133-140","publisher":"Springer-Verlag","title":"Quantifying tumour heterogeneity in 18F-FDG PET/CT imaging by texture analysis","type":"article","volume":"40"},"uris":["http://www.mendeley.com/documents/?uuid=d7aa5e60-580c-3679-b4ee-99e5985d67c9"]},{"id":"ITEM-11","itemData":{"DOI":"10.1109/42.141636","ISSN":"0278-0062","PMID":"18218367","abstract":"The classification of ultrasonic liver images is studied, making use of the spatial gray-level dependence matrices, the Fourier power spectrum, the gray-level difference statistics, and the Laws texture energy measures. Features of these types are used to classify three sets of ultrasonic liver images-normal liver, hepatoma, and cirrhosis (30 samples each). The Bayes classifier and the Hotelling trace criterion are employed to evaluate the performance of these features. From the viewpoint of speed and accuracy of classification, it is found that these features do not perform well enough. Hence, a new texture feature set (multiresolution fractal features) based on multiple resolution imagery and the fractional Brownian motion model is proposed to detect diffuse liver diseases quickly and accurately. Fractal dimensions estimated at various resolutions of the image are gathered to form the feature vector. Texture information contained in the proposed feature vector is discussed. A real-time implementation of the algorithm produces about 90% correct classification for the three sets of ultrasonic liver images.","author":[{"dropping-particle":"","family":"Wu","given":"C M","non-dropping-particle":"","parse-names":false,"suffix":""},{"dropping-particle":"","family":"Chen","given":"Y C","non-dropping-particle":"","parse-names":false,"suffix":""},{"dropping-particle":"","family":"Hsieh","given":"K S","non-dropping-particle":"","parse-names":false,"suffix":""}],"container-title":"IEEE transactions on medical imaging","id":"ITEM-11","issue":"2","issued":{"date-parts":[["1992","1","1"]]},"language":"English","page":"141-52","publisher":"IEEE","title":"Texture features for classification of ultrasonic liver images.","type":"article-journal","volume":"11"},"uris":["http://www.mendeley.com/documents/?uuid=2ed2a76a-d711-4bf6-8566-23b1a150a7cc"]},{"id":"ITEM-12","itemData":{"DOI":"10.1109/CBMS.2003.1212785","ISBN":"0-7695-1901-6","ISSN":"1063-71258","author":[{"dropping-particle":"","family":"Felipe","given":"J.C.","non-dropping-particle":"","parse-names":false,"suffix":""},{"dropping-particle":"","family":"Traina","given":"A.J.M.","non-dropping-particle":"","parse-names":false,"suffix":""},{"dropping-particle":"","family":"Traina","given":"C.","non-dropping-particle":"","parse-names":false,"suffix":""}],"container-title":"16th IEEE Symposium Computer-Based Medical Systems, 2003. Proceedings.","id":"ITEM-12","issued":{"date-parts":[["0"]]},"language":"English","page":"175-180","publisher":"IEEE","title":"Retrieval by content of medical images using texture for tissue identification","type":"paper-conference"},"uris":["http://www.mendeley.com/documents/?uuid=7ce2bd0c-b1ca-48b4-ba62-7bbe1f11a8e1"]},{"id":"ITEM-13","itemData":{"DOI":"10.3233/BME-130922","ISSN":"1878-3619","abstract":"Ultrasound as a noninvasive imaging technique is widely used to diagnose liver diseases. Texture analysis and classification of ultrasound liver images have become an important research topic across the world. In this study, GLGCM (Gray Level Gradient Co-Occurrence Matrix) was implemented for texture analysis of ultrasound liver images first, followed by the use of GLCM (Gray Level Co-occurrence Matrix) at the second stage. Twenty two features were obtained using the two methods, and seven most powerful features were selected for classification using BP (Back Propagation) neural network. Fibrosis was divided into five stages (S0-S4) in this study. The classification accuracies of S0-S4 were 100%, 90%, 70%, 90% and 100%, respectively.","author":[{"dropping-particle":"","family":"Gao","given":"Shuang","non-dropping-particle":"","parse-names":false,"suffix":""},{"dropping-particle":"","family":"Peng","given":"Yuhua","non-dropping-particle":"","parse-names":false,"suffix":""},{"dropping-particle":"","family":"Guo","given":"Huizhi","non-dropping-particle":"","parse-names":false,"suffix":""},{"dropping-particle":"","family":"Liu","given":"Weifeng","non-dropping-particle":"","parse-names":false,"suffix":""},{"dropping-particle":"","family":"Gao","given":"Tianxin","non-dropping-particle":"","parse-names":false,"suffix":""},{"dropping-particle":"","family":"Xu","given":"Yuanqing","non-dropping-particle":"","parse-names":false,"suffix":""},{"dropping-particle":"","family":"Tang","given":"Xiaoying","non-dropping-particle":"","parse-names":false,"suffix":""}],"container-title":"Bio-medical materials and engineering","id":"ITEM-13","issue":"1","issued":{"date-parts":[["2014"]]},"page":"1209-16","title":"Texture analysis and classification of ultrasound liver images.","type":"article-journal","volume":"24"},"uris":["http://www.mendeley.com/documents/?uuid=7a367e07-433e-4cae-add7-70ae0bd10659"]},{"id":"ITEM-14","itemData":{"DOI":"10.1109/21.44046","ISBN":"0018-9472 VO - 19","ISSN":"00189472","PMID":"15502404","abstract":"Five properties of texture, namely, coarseness, contrast, business, complexity, and texture strength, are given conceptual definitions in terms of spatial changes in intensity. These conceptual definitions are then approximated in computational forms. In comparison with human perceptual measurements, the computational measures have shown good correspondences in the rank ordering of ten natural textures. The extent to which the measures approximate visual perception was investigated in the form of texture similarity measurements. These results were also encouraging, although not as good as in the rank ordering of the textures. The differences may be due to the complex mechanism of human usage of multiple cues. Improved classification results were obtained using the above features as compared with two existing texture analysis techniques. The application of the features in agricultural land-use classification is considered","author":[{"dropping-particle":"","family":"Amadasun","given":"Moses","non-dropping-particle":"","parse-names":false,"suffix":""},{"dropping-particle":"","family":"King","given":"Robert","non-dropping-particle":"","parse-names":false,"suffix":""}],"container-title":"IEEE Transactions on Systems, Man, and Cybernetics","id":"ITEM-14","issue":"5","issued":{"date-parts":[["1989"]]},"page":"1264-1274","title":"Textural features corresponding to textural properties","type":"article-journal","volume":"19"},"uris":["http://www.mendeley.com/documents/?uuid=ec64b12e-520a-4a76-abfa-6b197cdc7feb"]},{"id":"ITEM-15","itemData":{"DOI":"10.1016/j.clinimag.2004.11.024","ISSN":"0899-7071","PMID":"15967313","abstract":"Fractal analyses have been applied successfully for the image compression, texture analysis, and texture image segmentation. The fractal dimension could be used to quantify the texture information. In this study, the differences of gray value of neighboring pixels are used to estimate the fractal dimension of an ultrasound image of breast lesion by using the fractal Brownian motion. Furthermore, a computer-aided diagnosis (CAD) system based on the fractal analysis is proposed to classify the breast lesions into two classes: benign and malignant. To improve the classification performances, the ultrasound images are preprocessed by using morphology operations and histogram equalization. Finally, the k-means classification method is used to classify benign tumors from malignant ones. The US breast image databases include only histologically confirmed cases: 110 malignant and 140 benign tumors, which were recorded. All the digital images were obtained prior to biopsy using by an ATL HDI 3000 system. The receiver operator characteristic (ROC) area index AZ is 0.9218, which represents the diagnostic performance.","author":[{"dropping-particle":"","family":"Chen","given":"Dar-Ren","non-dropping-particle":"","parse-names":false,"suffix":""},{"dropping-particle":"","family":"Chang","given":"Ruey-Feng","non-dropping-particle":"","parse-names":false,"suffix":""},{"dropping-particle":"","family":"Chen","given":"Chii-Jen","non-dropping-particle":"","parse-names":false,"suffix":""},{"dropping-particle":"","family":"Ho","given":"Ming-Feng","non-dropping-particle":"","parse-names":false,"suffix":""},{"dropping-particle":"","family":"Kuo","given":"Shou-Jen","non-dropping-particle":"","parse-names":false,"suffix":""},{"dropping-particle":"","family":"Chen","given":"Shou-Tung","non-dropping-particle":"","parse-names":false,"suffix":""},{"dropping-particle":"","family":"Hung","given":"Shin-Jer","non-dropping-particle":"","parse-names":false,"suffix":""},{"dropping-particle":"","family":"Moon","given":"Woo Kyung","non-dropping-particle":"","parse-names":false,"suffix":""}],"container-title":"Clinical imaging","id":"ITEM-15","issue":"4","issued":{"date-parts":[["2005"]]},"page":"235-45","title":"Classification of breast ultrasound images using fractal feature.","type":"article-journal","volume":"29"},"uris":["http://www.mendeley.com/documents/?uuid=045f4b88-8f56-49c1-ad20-4683bcec8a0e"]},{"id":"ITEM-16","itemData":{"DOI":"10.1051/mmm:1996110","ISSN":"1154-2799","abstract":"A method is described for the classifcation of corrosion images using texture analysis methods. Two morphologies are considered pit formation and cracking. The analysis is done by performing a wavelet decomposition of the images, from which energy feature sets are computed. A transform that turns the wavelet features into rotation invariant ones is introduced. The classifcation is performed with a Learning Vector Quantization network and comparison is made with Gaussian and k-NN classifers. The efectivity of the method is shown by tests on a set of 398 images.","author":[{"dropping-particle":"","family":"Livens","given":"Stefan","non-dropping-particle":"","parse-names":false,"suffix":""},{"dropping-particle":"","family":"Scheunders","given":"Paul","non-dropping-particle":"","parse-names":false,"suffix":""},{"dropping-particle":"","family":"Wouwer","given":"Gert","non-dropping-particle":"Van de","parse-names":false,"suffix":""},{"dropping-particle":"","family":"Dyck","given":"Dirk","non-dropping-particle":"Van","parse-names":false,"suffix":""},{"dropping-particle":"","family":"Smets","given":"Hilde","non-dropping-particle":"","parse-names":false,"suffix":""},{"dropping-particle":"","family":"Winkelmans","given":"Johan","non-dropping-particle":"","parse-names":false,"suffix":""},{"dropping-particle":"","family":"Bogaerts","given":"Walter","non-dropping-particle":"","parse-names":false,"suffix":""}],"container-title":"Microscopy Microanalysis Microstructures","id":"ITEM-16","issue":"2","issued":{"date-parts":[["1996"]]},"page":"143-152","title":"A Texture Analysis Approach to Corrosion Image Classification","type":"article-journal","volume":"7"},"uris":["http://www.mendeley.com/documents/?uuid=9490bc26-1ed8-42af-89d2-095046d17eb8"]},{"id":"ITEM-17","itemData":{"author":[{"dropping-particle":"","family":"Materka","given":"Andrzej","non-dropping-particle":"","parse-names":false,"suffix":""},{"dropping-particle":"","family":"Strzelecki","given":"Michal","non-dropping-particle":"","parse-names":false,"suffix":""}],"id":"ITEM-17","issued":{"date-parts":[["1998"]]},"page":"1-33","title":"Texture Analysis Methods – A Review","type":"article-journal"},"uris":["http://www.mendeley.com/documents/?uuid=7c2ca5ae-c4a2-4e41-b5ea-17d02aa2f7d0"]},{"id":"ITEM-18","itemData":{"DOI":"10.1016/S0167-8655(02)00390-2","ISSN":"01678655","abstract":"Today, texture analysis plays an important role in many tasks, ranging from remote sensing to medical imaging and query by content in large image data bases. The main difficulty of texture analysis in the past was the lack of adequate tools to characterize different scales of textures effectively. The development in multi-resolution analysis such as Gabor and wavelet transform help to overcome this difficulty. This paper describes the texture classification using (i) wavelet statistical features, (ii) wavelet co-occurrence features and (iii) a combination of wavelet statistical features and co-occurrence features of one level wavelet transformed images with different feature databases. It is found that, the results of later method are promising.","author":[{"dropping-particle":"","family":"Arivazhagan","given":"S","non-dropping-particle":"","parse-names":false,"suffix":""},{"dropping-particle":"","family":"Ganesan","given":"L","non-dropping-particle":"","parse-names":false,"suffix":""}],"container-title":"Pattern Recognition Letters","id":"ITEM-18","issue":"9-10","issued":{"date-parts":[["2003","6"]]},"page":"1513-1521","title":"Texture classification using wavelet transform","type":"article-journal","volume":"24"},"uris":["http://www.mendeley.com/documents/?uuid=9beaac56-f0ed-4a5d-bd9d-a8081511af73"]},{"id":"ITEM-19","itemData":{"DOI":"10.1007/978-3-319-28549-8","ISBN":"978-3-319-28547-4","author":[{"dropping-particle":"De","family":"Vos","given":"Winnok H","non-dropping-particle":"","parse-names":false,"suffix":""}],"collection-title":"Advances in Anatomy, Embryology and Cell Biology","editor":[{"dropping-particle":"","family":"Vos","given":"Winnok H.","non-dropping-particle":"De","parse-names":false,"suffix":""},{"dropping-particle":"","family":"Munck","given":"Sebastian","non-dropping-particle":"","parse-names":false,"suffix":""},{"dropping-particle":"","family":"Timmermans","given":"Jean-Pierre","non-dropping-particle":"","parse-names":false,"suffix":""}],"id":"ITEM-19","issued":{"date-parts":[["2016"]]},"publisher":"Springer International Publishing","publisher-place":"Cham","title":"Focus on Bio-Image Informatics","type":"book","volume":"219"},"uris":["http://www.mendeley.com/documents/?uuid=5df4fb1a-a574-4aa9-b306-ab93c97f7bda"]},{"id":"ITEM-20","itemData":{"DOI":"10.1088/0031-9155/60/14/5471","ISBN":"1361-6560 (Electronic)\\r0031-9155 (Linking)","ISSN":"0031-9155","PMID":"26119045","abstract":"This study aims at developing a joint FDG-PET and MRI texture-based model for the early evaluation of lung metastasis risk in soft-tissue sarcomas (STSs). We investigate if the creation of new composite textures from the combination of FDG-PET and MR imaging information could better identify aggressive tumours. Towards this goal, a cohort of 51 patients with histologically proven STSs of the extremities was retrospectively evaluated. All patients had pre-treatment FDG-PET and MRI scans comprised of T1-weighted and T2-weighted fat-suppression sequences (T2FS). Nine non-texture features (SUV metrics and shape features) and forty-one texture features were extracted from the tumour region of separate (FDG-PET, T1 and T2FS) and fused (FDG-PET/T1 and FDG-PET/T2FS) scans. Volume fusion of the FDG-PET and MRI scans was implemented using the wavelet transform. The influence of six different extraction parameters on the predictive value of textures was investigated. The incorporation of features into multivariable models was performed using logistic regression. The multivariable modeling strategy involved imbalance-adjusted bootstrap resampling in the following four steps leading to final prediction model construction: (1) feature set reduction; (2) feature selection; (3) prediction performance estimation; and (4) computation of model coefficients. Univariate analysis showed that the isotropic voxel size at which texture features were extracted had the most impact on predictive value. In multivariable analysis, texture features extracted from fused scans significantly outperformed those from separate scans in terms of lung metastases prediction estimates. The best performance was obtained using a combination of four texture features extracted from FDG-PET/T1 and FDG-PET/T2FS scans. This model reached an area under the receiver-operating characteristic curve of 0.984 ± 0.002, a sensitivity of 0.955 ± 0.006, and a specificity of 0.926 ± 0.004 in bootstrapping evaluations. Ultimately, lung metastasis risk assessment at diagnosis of STSs could improve patient outcomes by allowing better treatment adaptation.","author":[{"dropping-particle":"","family":"Vallières","given":"M","non-dropping-particle":"","parse-names":false,"suffix":""},{"dropping-particle":"","family":"Freeman","given":"C R","non-dropping-particle":"","parse-names":false,"suffix":""},{"dropping-particle":"","family":"Skamene","given":"S R","non-dropping-particle":"","parse-names":false,"suffix":""},{"dropping-particle":"","family":"Naqa","given":"I","non-dropping-particle":"El","parse-names":false,"suffix":""}],"container-title":"Physics in Medicine and Biology","id":"ITEM-20","issue":"14","issued":{"date-parts":[["2015","7","7"]]},"page":"5471-5496","title":"A radiomics model from joint FDG-PET and MRI texture features for the prediction of lung metastases in soft-tissue sarcomas of the extremities; SUPPLEMENTARY INFORMATION","type":"article-journal","volume":"60"},"uris":["http://www.mendeley.com/documents/?uuid=3f7770e3-088d-4460-945f-5e4996f28651"]}],"mendeley":{"formattedCitation":"&lt;sup&gt;17,18,28–37,19,21–27&lt;/sup&gt;","plainTextFormattedCitation":"17,18,28–37,19,21–27","previouslyFormattedCitation":"&lt;i&gt;(17, 18, 28–37, 19, 21–27)&lt;/i&gt;"},"properties":{"noteIndex":0},"schema":"https://github.com/citation-style-language/schema/raw/master/csl-citation.json"}</w:instrText>
      </w:r>
      <w:r w:rsidRPr="00A14B67">
        <w:rPr>
          <w:rFonts w:ascii="Arial" w:hAnsi="Arial" w:cs="Arial"/>
          <w:sz w:val="20"/>
          <w:szCs w:val="20"/>
        </w:rPr>
        <w:fldChar w:fldCharType="separate"/>
      </w:r>
      <w:r w:rsidR="003F04EF" w:rsidRPr="00A14B67">
        <w:rPr>
          <w:rFonts w:ascii="Arial" w:hAnsi="Arial" w:cs="Arial"/>
          <w:noProof/>
          <w:sz w:val="20"/>
          <w:szCs w:val="20"/>
          <w:vertAlign w:val="superscript"/>
        </w:rPr>
        <w:t>17,18,28–37,19,21–27</w:t>
      </w:r>
      <w:r w:rsidRPr="00A14B67">
        <w:rPr>
          <w:rFonts w:ascii="Arial" w:hAnsi="Arial" w:cs="Arial"/>
          <w:sz w:val="20"/>
          <w:szCs w:val="20"/>
        </w:rPr>
        <w:fldChar w:fldCharType="end"/>
      </w:r>
      <w:r w:rsidRPr="00A14B67">
        <w:rPr>
          <w:rFonts w:ascii="Arial" w:hAnsi="Arial" w:cs="Arial"/>
          <w:sz w:val="20"/>
          <w:szCs w:val="20"/>
        </w:rPr>
        <w:t xml:space="preserve">. This goes beyond basic averages of voxel intensities, and is especially advantageous to focus the quantification on the patterns of perfusion, as opposed to intensities of contrast, which may be affected by attenuation or </w:t>
      </w:r>
      <w:r w:rsidRPr="00A14B67">
        <w:rPr>
          <w:rFonts w:ascii="Arial" w:hAnsi="Arial" w:cs="Arial"/>
          <w:sz w:val="20"/>
          <w:szCs w:val="20"/>
        </w:rPr>
        <w:lastRenderedPageBreak/>
        <w:t xml:space="preserve">contrast preparation or administration. </w:t>
      </w:r>
      <w:r w:rsidRPr="00A14B67">
        <w:rPr>
          <w:rFonts w:ascii="Arial" w:hAnsi="Arial" w:cs="Arial"/>
          <w:color w:val="000000" w:themeColor="text1"/>
          <w:sz w:val="20"/>
          <w:szCs w:val="20"/>
        </w:rPr>
        <w:t xml:space="preserve">These </w:t>
      </w:r>
      <w:r w:rsidRPr="00A14B67">
        <w:rPr>
          <w:rFonts w:ascii="Arial" w:hAnsi="Arial" w:cs="Arial"/>
          <w:sz w:val="20"/>
          <w:szCs w:val="20"/>
        </w:rPr>
        <w:t xml:space="preserve">have been shown to be good descriptors of the heterogeneity of tumor tissue or perfusion, and sensitive indicators of treatment response in various imaging modalities </w:t>
      </w:r>
      <w:r w:rsidRPr="00A14B67">
        <w:rPr>
          <w:rFonts w:ascii="Arial" w:hAnsi="Arial" w:cs="Arial"/>
          <w:color w:val="000000" w:themeColor="text1"/>
          <w:sz w:val="20"/>
          <w:szCs w:val="20"/>
        </w:rPr>
        <w:fldChar w:fldCharType="begin" w:fldLock="1"/>
      </w:r>
      <w:r w:rsidR="003F04EF" w:rsidRPr="00A14B67">
        <w:rPr>
          <w:rFonts w:ascii="Arial" w:hAnsi="Arial" w:cs="Arial"/>
          <w:color w:val="000000" w:themeColor="text1"/>
          <w:sz w:val="20"/>
          <w:szCs w:val="20"/>
        </w:rPr>
        <w:instrText>ADDIN CSL_CITATION {"citationItems":[{"id":"ITEM-1","itemData":{"DOI":"10.1109/ISBI.2015.7163956","ISBN":"978-1-4799-2374-8","author":[{"dropping-particle":"","family":"Gangeh","given":"Mehrdad J.","non-dropping-particle":"","parse-names":false,"suffix":""},{"dropping-particle":"El","family":"Kaffas","given":"Ahmed","non-dropping-particle":"","parse-names":false,"suffix":""},{"dropping-particle":"","family":"Hashim","given":"Amr","non-dropping-particle":"","parse-names":false,"suffix":""},{"dropping-particle":"","family":"Giles","given":"Anoja","non-dropping-particle":"","parse-names":false,"suffix":""},{"dropping-particle":"","family":"Czarnota","given":"Gregory J.","non-dropping-particle":"","parse-names":false,"suffix":""}],"container-title":"2015 IEEE 12th International Symposium on Biomedical Imaging (ISBI)","id":"ITEM-1","issued":{"date-parts":[["2015","4"]]},"language":"English","page":"646-650","publisher":"IEEE","title":"Advanced machine learning and textural methods in monitoring cell death using quantitative ultrasound spectroscopy","type":"paper-conference"},"uris":["http://www.mendeley.com/documents/?uuid=b30c4dbd-c725-479a-9681-b5f1c631282c"]},{"id":"ITEM-2","itemData":{"DOI":"10.1109/42.141636","ISSN":"0278-0062","PMID":"18218367","abstract":"The classification of ultrasonic liver images is studied, making use of the spatial gray-level dependence matrices, the Fourier power spectrum, the gray-level difference statistics, and the Laws texture energy measures. Features of these types are used to classify three sets of ultrasonic liver images-normal liver, hepatoma, and cirrhosis (30 samples each). The Bayes classifier and the Hotelling trace criterion are employed to evaluate the performance of these features. From the viewpoint of speed and accuracy of classification, it is found that these features do not perform well enough. Hence, a new texture feature set (multiresolution fractal features) based on multiple resolution imagery and the fractional Brownian motion model is proposed to detect diffuse liver diseases quickly and accurately. Fractal dimensions estimated at various resolutions of the image are gathered to form the feature vector. Texture information contained in the proposed feature vector is discussed. A real-time implementation of the algorithm produces about 90% correct classification for the three sets of ultrasonic liver images.","author":[{"dropping-particle":"","family":"Wu","given":"C M","non-dropping-particle":"","parse-names":false,"suffix":""},{"dropping-particle":"","family":"Chen","given":"Y C","non-dropping-particle":"","parse-names":false,"suffix":""},{"dropping-particle":"","family":"Hsieh","given":"K S","non-dropping-particle":"","parse-names":false,"suffix":""}],"container-title":"IEEE transactions on medical imaging","id":"ITEM-2","issue":"2","issued":{"date-parts":[["1992","1","1"]]},"language":"English","page":"141-52","publisher":"IEEE","title":"Texture features for classification of ultrasonic liver images.","type":"article-journal","volume":"11"},"uris":["http://www.mendeley.com/documents/?uuid=2ed2a76a-d711-4bf6-8566-23b1a150a7cc"]},{"id":"ITEM-3","itemData":{"DOI":"10.1016/j.acra.2008.01.010","ISSN":"1076-6332","PMID":"18572123","abstract":"RATIONALE AND OBJECTIVES: Computer-aided diagnosis (CAD) systems based on shape analysis have been proved to be highly accurate in evaluating breast tumors. However, it takes considerable time to train the classifier and diagnose breast tumors, because extracting morphologic features require a lot of computation. Hence, to develop a highly accurate and quick CAD system, we combined the texture and morphologic features of ultrasound breast tumor imaging to evaluate breast tumors in this study.\n\nMATERIALS AND METHODS: This study evaluated 210 ultrasound breast tumor images, including 120 benign tumors and 90 malignant tumors. The breast tumors were segmented automatically by the level set method. The autocovariance texture features and solidity morphologic feature were extracted, and a support vector machine was used to identify the tumor as benign or malignant.\n\nRESULTS: The accuracy of the proposed diagnostic system for classifying breast tumors was 92.86%, the sensitivity was 94.44%, the specificity was 91.67%, the positive predictive value was 89.47%, and the negative predictive value was 95.65%. In addition, the proposed system reduced the training time compared to systems based only on the morphologic analysis.\n\nCONCLUSIONS: The CAD system based on texture and morphologic analysis can differentiate benign from malignant breast tumors with high accuracy and short training time. It is therefore clinically useful to reduce the number of biopsies of benign lesions and offer a second reading to assist inexperienced physicians in avoiding misdiagnosis.","author":[{"dropping-particle":"","family":"Wu","given":"Wen-Jie","non-dropping-particle":"","parse-names":false,"suffix":""},{"dropping-particle":"","family":"Moon","given":"Woo Kyung","non-dropping-particle":"","parse-names":false,"suffix":""}],"container-title":"Academic radiology","id":"ITEM-3","issue":"7","issued":{"date-parts":[["2008","7","7"]]},"language":"English","page":"873-80","publisher":"Elsevier","title":"Ultrasound breast tumor image computer-aided diagnosis with texture and morphological features.","type":"article-journal","volume":"15"},"uris":["http://www.mendeley.com/documents/?uuid=8030c506-6b87-448f-b080-f8c827e6d38c"]},{"id":"ITEM-4","itemData":{"DOI":"10.1109/TMI.2014.2321347","ISSN":"1558-254X","PMID":"24808406","abstract":"We describe a framework to model visual semantics of liver lesions in CT images in order to predict the visual semantic terms (VST) reported by radiologists in describing these lesions. Computational models of VST are learned from image data using linear combinations of high-order steerable Riesz wavelets and support vector machines (SVM). In a first step, these models are used to predict the presence of each semantic term that describes liver lesions. In a second step, the distances between all VST models are calculated to establish a nonhierarchical computationally-derived ontology of VST containing inter-term synonymy and complementarity. A preliminary evaluation of the proposed framework was carried out using 74 liver lesions annotated with a set of 18 VSTs from the RadLex ontology. A leave-one-patient-out cross-validation resulted in an average area under the ROC curve of 0.853 for predicting the presence of each VST. The proposed framework is expected to foster human-computer synergies for the interpretation of radiological images while using rotation-covariant computational models of VSTs to 1) quantify their local likelihood and 2) explicitly link them with pixel-based image content in the context of a given imaging domain.","author":[{"dropping-particle":"","family":"Depeursinge","given":"Adrien","non-dropping-particle":"","parse-names":false,"suffix":""},{"dropping-particle":"","family":"Kurtz","given":"Camille","non-dropping-particle":"","parse-names":false,"suffix":""},{"dropping-particle":"","family":"Beaulieu","given":"Christopher","non-dropping-particle":"","parse-names":false,"suffix":""},{"dropping-particle":"","family":"Napel","given":"Sandy","non-dropping-particle":"","parse-names":false,"suffix":""},{"dropping-particle":"","family":"Rubin","given":"Daniel","non-dropping-particle":"","parse-names":false,"suffix":""}],"container-title":"IEEE transactions on medical imaging","id":"ITEM-4","issue":"8","issued":{"date-parts":[["2014","8"]]},"page":"1669-76","title":"Predicting visual semantic descriptive terms from radiological image data: preliminary results with liver lesions in CT.","type":"article-journal","volume":"33"},"uris":["http://www.mendeley.com/documents/?uuid=8929f94d-3b02-4e96-a388-a6291b7b29ff"]},{"id":"ITEM-5","itemData":{"DOI":"10.1097/RLI.0000000000000127","ISSN":"1536-0210","PMID":"25551822","abstract":"OBJECTIVES: We propose a novel computational approach for the automated classification of classic versus atypical usual interstitial pneumonia (UIP).\n\nMATERIALS AND METHODS: Thirty-three patients with UIP were enrolled in this study. They were classified as classic versus atypical UIP by a consensus of 2 thoracic radiologists with more than 15 years of experience using the American Thoracic Society evidence-based guidelines for computed tomography diagnosis of UIP. Two cardiothoracic fellows with 1 year of subspecialty training provided independent readings. The system is based on regional characterization of the morphological tissue properties of lung using volumetric texture analysis of multiple-detector computed tomography images. A simple digital atlas with 36 lung subregions is used to locate texture properties, from which the responses of multidirectional Riesz wavelets are obtained. Machine learning is used to aggregate and to map the regional texture attributes to a simple score that can be used to stratify patients with UIP into classic and atypical subtypes.\n\nRESULTS: We compared the predictions on the basis of regional volumetric texture analysis with the ground truth established by expert consensus. The area under the receiver operating characteristic curve of the proposed score was estimated to be 0.81 using a leave-one-patient-out cross-validation, with high specificity for classic UIP. The performance of our automated method was found to be similar to that of the 2 fellows and to the agreement between experienced chest radiologists reported in the literature. However, the errors of our method and the fellows occurred on different cases, which suggests that combining human and computerized evaluations may be synergistic.\n\nCONCLUSIONS: Our results are encouraging and suggest that an automated system may be useful in routine clinical practice as a diagnostic aid for identifying patients with complex lung disease such as classic UIP, obviating the need for invasive surgical lung biopsy and its associated risks.","author":[{"dropping-particle":"","family":"Depeursinge","given":"Adrien","non-dropping-particle":"","parse-names":false,"suffix":""},{"dropping-particle":"","family":"Chin","given":"Anne S","non-dropping-particle":"","parse-names":false,"suffix":""},{"dropping-particle":"","family":"Leung","given":"Ann N","non-dropping-particle":"","parse-names":false,"suffix":""},{"dropping-particle":"","family":"Terrone","given":"Donato","non-dropping-particle":"","parse-names":false,"suffix":""},{"dropping-particle":"","family":"Bristow","given":"Michael","non-dropping-particle":"","parse-names":false,"suffix":""},{"dropping-particle":"","family":"Rosen","given":"Glenn","non-dropping-particle":"","parse-names":false,"suffix":""},{"dropping-particle":"","family":"Rubin","given":"Daniel L","non-dropping-particle":"","parse-names":false,"suffix":""}],"container-title":"Investigative radiology","id":"ITEM-5","issue":"4","issued":{"date-parts":[["2015","4"]]},"page":"261-7","title":"Automated classification of usual interstitial pneumonia using regional volumetric texture analysis in high-resolution computed tomography.","type":"article-journal","volume":"50"},"uris":["http://www.mendeley.com/documents/?uuid=b7e0faa8-4bdd-4849-a39a-257c8ab42e6b"]},{"id":"ITEM-6","itemData":{"DOI":"10.1126/scitranslmed.aaa7582","ISSN":"1946-6242","PMID":"26333934","abstract":"Glioblastoma (GBM) is the most common and highly lethal primary malignant brain tumor in adults. There is a dire need for easily accessible, noninvasive biomarkers that can delineate underlying molecular activities and predict response to therapy. To this end, we sought to identify subtypes of GBM, differentiated solely by quantitative magnetic resonance (MR) imaging features, that could be used for better management of GBM patients. Quantitative image features capturing the shape, texture, and edge sharpness of each lesion were extracted from MR images of 121 single-institution patients with de novo, solitary, unilateral GBM. Three distinct phenotypic \"clusters\" emerged in the development cohort using consensus clustering with 10,000 iterations on these image features. These three clusters--pre-multifocal, spherical, and rim-enhancing, names reflecting their image features--were validated in an independent cohort consisting of 144 multi-institution patients with similar tumor characteristics from The Cancer Genome Atlas (TCGA). Each cluster mapped to a unique set of molecular signaling pathways using pathway activity estimates derived from the analysis of TCGA tumor copy number and gene expression data with the PARADIGM (Pathway Recognition Algorithm Using Data Integration on Genomic Models) algorithm. Distinct pathways, such as c-Kit and FOXA, were enriched in each cluster, indicating differential molecular activities as determined by the image features. Each cluster also demonstrated differential probabilities of survival, indicating prognostic importance. Our imaging method offers a noninvasive approach to stratify GBM patients and also provides unique sets of molecular signatures to inform targeted therapy and personalized treatment of GBM.","author":[{"dropping-particle":"","family":"Itakura","given":"Haruka","non-dropping-particle":"","parse-names":false,"suffix":""},{"dropping-particle":"","family":"Achrol","given":"Achal S","non-dropping-particle":"","parse-names":false,"suffix":""},{"dropping-particle":"","family":"Mitchell","given":"Lex A","non-dropping-particle":"","parse-names":false,"suffix":""},{"dropping-particle":"","family":"Loya","given":"Joshua J","non-dropping-particle":"","parse-names":false,"suffix":""},{"dropping-particle":"","family":"Liu","given":"Tiffany","non-dropping-particle":"","parse-names":false,"suffix":""},{"dropping-particle":"","family":"Westbroek","given":"Erick M","non-dropping-particle":"","parse-names":false,"suffix":""},{"dropping-particle":"","family":"Feroze","given":"Abdullah H","non-dropping-particle":"","parse-names":false,"suffix":""},{"dropping-particle":"","family":"Rodriguez","given":"Scott","non-dropping-particle":"","parse-names":false,"suffix":""},{"dropping-particle":"","family":"Echegaray","given":"Sebastian","non-dropping-particle":"","parse-names":false,"suffix":""},{"dropping-particle":"","family":"Azad","given":"Tej D","non-dropping-particle":"","parse-names":false,"suffix":""},{"dropping-particle":"","family":"Yeom","given":"Kristen W","non-dropping-particle":"","parse-names":false,"suffix":""},{"dropping-particle":"","family":"Napel","given":"Sandy","non-dropping-particle":"","parse-names":false,"suffix":""},{"dropping-particle":"","family":"Rubin","given":"Daniel L","non-dropping-particle":"","parse-names":false,"suffix":""},{"dropping-particle":"","family":"Chang","given":"Steven D","non-dropping-particle":"","parse-names":false,"suffix":""},{"dropping-particle":"","family":"Harsh","given":"Griffith R","non-dropping-particle":"","parse-names":false,"suffix":""},{"dropping-particle":"","family":"Gevaert","given":"Olivier","non-dropping-particle":"","parse-names":false,"suffix":""}],"container-title":"Science translational medicine","id":"ITEM-6","issue":"303","issued":{"date-parts":[["2015","9","2"]]},"page":"303ra138","title":"Magnetic resonance image features identify glioblastoma phenotypic subtypes with distinct molecular pathway activities.","type":"article-journal","volume":"7"},"uris":["http://www.mendeley.com/documents/?uuid=2d2ab847-c768-4692-bfbb-8923a4c0d147"]},{"id":"ITEM-7","itemData":{"DOI":"10.1016/j.neurad.2014.02.006","ISSN":"0150-9861","PMID":"24997477","abstract":"PURPOSE: The purpose of our study was to assess whether a model combining clinical factors, MR imaging features, and genomics would better predict overall survival of patients with glioblastoma (GBM) than either individual data type.\n\nMETHODS: The study was conducted leveraging The Cancer Genome Atlas (TCGA) effort supported by the National Institutes of Health. Six neuroradiologists reviewed MRI images from The Cancer Imaging Archive (http://cancerimagingarchive.net) of 102 GBM patients using the VASARI scoring system. The patients' clinical and genetic data were obtained from the TCGA website (http://www.cancergenome.nih.gov/). Patient outcome was measured in terms of overall survival time. The association between different categories of biomarkers and survival was evaluated using Cox analysis.\n\nRESULTS: The features that were significantly associated with survival were: (1) clinical factors: chemotherapy; (2) imaging: proportion of tumor contrast enhancement on MRI; and (3) genomics: HRAS copy number variation. The combination of these three biomarkers resulted in an incremental increase in the strength of prediction of survival, with the model that included clinical, imaging, and genetic variables having the highest predictive accuracy (area under the curve 0.679±0.068, Akaike's information criterion 566.7, P&lt;0.001).\n\nCONCLUSION: A combination of clinical factors, imaging features, and HRAS copy number variation best predicts survival of patients with GBM.","author":[{"dropping-particle":"","family":"Nicolasjilwan","given":"Manal","non-dropping-particle":"","parse-names":false,"suffix":""},{"dropping-particle":"","family":"Hu","given":"Ying","non-dropping-particle":"","parse-names":false,"suffix":""},{"dropping-particle":"","family":"Yan","given":"Chunhua","non-dropping-particle":"","parse-names":false,"suffix":""},{"dropping-particle":"","family":"Meerzaman","given":"Daoud","non-dropping-particle":"","parse-names":false,"suffix":""},{"dropping-particle":"","family":"Holder","given":"Chad A","non-dropping-particle":"","parse-names":false,"suffix":""},{"dropping-particle":"","family":"Gutman","given":"David","non-dropping-particle":"","parse-names":false,"suffix":""},{"dropping-particle":"","family":"Jain","given":"Rajan","non-dropping-particle":"","parse-names":false,"suffix":""},{"dropping-particle":"","family":"Colen","given":"Rivka","non-dropping-particle":"","parse-names":false,"suffix":""},{"dropping-particle":"","family":"Rubin","given":"Daniel L","non-dropping-particle":"","parse-names":false,"suffix":""},{"dropping-particle":"","family":"Zinn","given":"Pascal O","non-dropping-particle":"","parse-names":false,"suffix":""},{"dropping-particle":"","family":"Hwang","given":"Scott N","non-dropping-particle":"","parse-names":false,"suffix":""},{"dropping-particle":"","family":"Raghavan","given":"Prashant","non-dropping-particle":"","parse-names":false,"suffix":""},{"dropping-particle":"","family":"Hammoud","given":"Dima A","non-dropping-particle":"","parse-names":false,"suffix":""},{"dropping-particle":"","family":"Scarpace","given":"Lisa M","non-dropping-particle":"","parse-names":false,"suffix":""},{"dropping-particle":"","family":"Mikkelsen","given":"Tom","non-dropping-particle":"","parse-names":false,"suffix":""},{"dropping-particle":"","family":"Chen","given":"James","non-dropping-particle":"","parse-names":false,"suffix":""},{"dropping-particle":"","family":"Gevaert","given":"Olivier","non-dropping-particle":"","parse-names":false,"suffix":""},{"dropping-particle":"","family":"Buetow","given":"Kenneth","non-dropping-particle":"","parse-names":false,"suffix":""},{"dropping-particle":"","family":"Freymann","given":"John","non-dropping-particle":"","parse-names":false,"suffix":""},{"dropping-particle":"","family":"Kirby","given":"Justin","non-dropping-particle":"","parse-names":false,"suffix":""},{"dropping-particle":"","family":"Flanders","given":"Adam E","non-dropping-particle":"","parse-names":false,"suffix":""},{"dropping-particle":"","family":"Wintermark","given":"Max","non-dropping-particle":"","parse-names":false,"suffix":""}],"container-title":"Journal of neuroradiology. Journal de neuroradiologie","id":"ITEM-7","issue":"4","issued":{"date-parts":[["2015","7"]]},"page":"212-21","title":"Addition of MR imaging features and genetic biomarkers strengthens glioblastoma survival prediction in TCGA patients.","type":"article-journal","volume":"42"},"uris":["http://www.mendeley.com/documents/?uuid=7acdc6f8-605c-4a6c-9207-7182f3fc7e18"]},{"id":"ITEM-8","itemData":{"DOI":"10.1109/ISBI.2015.7163897","ISBN":"978-1-4799-2374-8","author":[{"dropping-particle":"","family":"Depeursinge","given":"Adrien","non-dropping-particle":"","parse-names":false,"suffix":""},{"dropping-particle":"","family":"Pad","given":"Pedram","non-dropping-particle":"","parse-names":false,"suffix":""},{"dropping-particle":"","family":"Chin","given":"Anne S.","non-dropping-particle":"","parse-names":false,"suffix":""},{"dropping-particle":"","family":"Leung","given":"Ann N.","non-dropping-particle":"","parse-names":false,"suffix":""},{"dropping-particle":"","family":"Rubin","given":"Daniel L.","non-dropping-particle":"","parse-names":false,"suffix":""},{"dropping-particle":"","family":"Muller","given":"Henning","non-dropping-particle":"","parse-names":false,"suffix":""},{"dropping-particle":"","family":"Unser","given":"Michael","non-dropping-particle":"","parse-names":false,"suffix":""}],"container-title":"2015 IEEE 12th International Symposium on Biomedical Imaging (ISBI)","id":"ITEM-8","issued":{"date-parts":[["2015","4"]]},"language":"English","page":"403-406","publisher":"IEEE","title":"Optimized steerable wavelets for texture analysis of lung tissue in 3-D CT: Classification of usual interstitial pneumonia","type":"paper-conference"},"uris":["http://www.mendeley.com/documents/?uuid=9f54a574-d564-4521-9d9f-a4c34114bc21"]},{"id":"ITEM-9","itemData":{"author":[{"dropping-particle":"","family":"Kaffas","given":"Ahmed","non-dropping-particle":"El","parse-names":false,"suffix":""},{"dropping-particle":"","family":"Fisher","given":"George","non-dropping-particle":"","parse-names":false,"suffix":""},{"dropping-particle":"","family":"Sigrist","given":"Rosa","non-dropping-particle":"","parse-names":false,"suffix":""},{"dropping-particle":"","family":"Wang","given":"Huaijun","non-dropping-particle":"","parse-names":false,"suffix":""},{"dropping-particle":"","family":"Reyes","given":"Rachel","non-dropping-particle":"","parse-names":false,"suffix":""},{"dropping-particle":"","family":"Alexander Karanany","given":"Dimitre Hristov","non-dropping-particle":"","parse-names":false,"suffix":""},{"dropping-particle":"","family":"Willmann","given":"Jürgen K.","non-dropping-particle":"","parse-names":false,"suffix":""}],"container-title":"World Molecular Imaging Conference","id":"ITEM-9","issued":{"date-parts":[["2015"]]},"publisher-place":"Honolulu","title":"Development of First In Human 3D Parametric Maps for Texture Analysis of Volumetric DCE-US to Spatially Monitor Flow Patterns During Colorectal Cancer Liver Metastases Treatment","type":"paper-conference"},"uris":["http://www.mendeley.com/documents/?uuid=745b9ddb-513a-4a1a-a17b-549b56788b95"]},{"id":"ITEM-10","itemData":{"author":[{"dropping-particle":"","family":"Kaffas","given":"Ahmed","non-dropping-particle":"El","parse-names":false,"suffix":""},{"dropping-particle":"","family":"Sagreiya","given":"Hersh","non-dropping-particle":"","parse-names":false,"suffix":""},{"dropping-particle":"","family":"Hoogi","given":"Assaf","non-dropping-particle":"","parse-names":false,"suffix":""},{"dropping-particle":"","family":"Zhou","given":"Jianhua","non-dropping-particle":"","parse-names":false,"suffix":""},{"dropping-particle":"","family":"Hristov","given":"Dimitre","non-dropping-particle":"","parse-names":false,"suffix":""},{"dropping-particle":"","family":"Rubin","given":"Daniel","non-dropping-particle":"","parse-names":false,"suffix":""},{"dropping-particle":"","family":"Willmann","given":"Juergen","non-dropping-particle":"","parse-names":false,"suffix":""}],"container-title":"World Molecular Imaging Conference","id":"ITEM-10","issued":{"date-parts":[["2016"]]},"publisher-place":"New York, NY","title":"Quantitative Image Features from 3D Contrast-Enhanced Ultrasound Parametric Maps as Surrogate of Treatment Response","type":"paper-conference"},"uris":["http://www.mendeley.com/documents/?uuid=7fc9ba28-7a24-4034-84f9-296a4755132a"]},{"id":"ITEM-11","itemData":{"DOI":"10.1371/journal.pone.0110300","ISBN":"1932-6203 (Electronic)\\r1932-6203 (Linking)","ISSN":"19326203","PMID":"25330171","abstract":"BACKGROUND Many techniques are proposed for the quantification of tumor heterogeneity as an imaging biomarker for differentiation between tumor types, tumor grading, response monitoring and outcome prediction. However, in clinical practice these methods are barely used. This study evaluates the reported performance of the described methods and identifies barriers to their implementation in clinical practice. METHODOLOGY The Ovid, Embase, and Cochrane Central databases were searched up to 20 September 2013. Heterogeneity analysis methods were classified into four categories, i.e., non-spatial methods (NSM), spatial grey level methods (SGLM), fractal analysis (FA) methods, and filters and transforms (F&amp;T). The performance of the different methods was compared. PRINCIPAL FINDINGS Of the 7351 potentially relevant publications, 209 were included. Of these studies, 58% reported the use of NSM, 49% SGLM, 10% FA, and 28% F&amp;T. Differentiation between tumor types, tumor grading and/or outcome prediction was the goal in 87% of the studies. Overall, the reported area under the curve (AUC) ranged from 0.5 to 1 (median 0.87). No relation was found between the performance and the quantification methods used, or between the performance and the imaging modality. A negative correlation was found between the tumor-feature ratio and the AUC, which is presumably caused by overfitting in small datasets. Cross-validation was reported in 63% of the classification studies. Retrospective analyses were conducted in 57% of the studies without a clear description. CONCLUSIONS In a research setting, heterogeneity quantification methods can differentiate between tumor types, grade tumors, and predict outcome and monitor treatment effects. To translate these methods to clinical practice, more prospective studies are required that use external datasets for validation: these datasets should be made available to the community to facilitate the development of new and improved methods.","author":[{"dropping-particle":"","family":"Alic","given":"Lejla","non-dropping-particle":"","parse-names":false,"suffix":""},{"dropping-particle":"","family":"Niessen","given":"Wiro J.","non-dropping-particle":"","parse-names":false,"suffix":""},{"dropping-particle":"","family":"Veenland","given":"Jifke F.","non-dropping-particle":"","parse-names":false,"suffix":""}],"container-title":"PLoS ONE","id":"ITEM-11","issue":"10","issued":{"date-parts":[["2014"]]},"page":"1-15","title":"Quantification of heterogeneity as a biomarker in tumor imaging: A systematic review","type":"article-journal","volume":"9"},"uris":["http://www.mendeley.com/documents/?uuid=38abbeb1-9fa0-4b91-940f-fdff7548a631"]},{"id":"ITEM-12","itemData":{"DOI":"10.1158/1078-0432.CCR-14-0990","ISBN":"1078-0432 (Print)\\r1078-0432 (Linking)","ISSN":"15573265","PMID":"25421725","abstract":"Tumors exhibit genomic and phenotypic heterogeneity, which has prognostic significance and may influence response to therapy. Imaging can quantify the spatial variation in architecture and function of individual tumors through quantifying basic biophysical parameters such as CT density or MRI signal relaxation rate; through measurements of blood flow, hypoxia, metabolism, cell death, and other phenotypic features; and through mapping the spatial distribution of biochemical pathways and cell signaling networks using PET, MRI, and other emerging molecular imaging techniques. These methods can establish whether one tumor is more or less heterogeneous than another and can identify subregions with differing biology. In this article, we review the image analysis methods currently used to quantify spatial heterogeneity within tumors. We discuss how analysis of intratumor heterogeneity can provide benefit over more simple biomarkers such as tumor size and average function. We consider how imaging methods can be integrated with genomic and pathology data, instead of being developed in isolation. Finally, we identify the challenges that must be overcome before measurements of intratumoral heterogeneity can be used routinely to guide patient care.","author":[{"dropping-particle":"","family":"O'Connor","given":"James P B","non-dropping-particle":"","parse-names":false,"suffix":""},{"dropping-particle":"","family":"Rose","given":"Chris J.","non-dropping-particle":"","parse-names":false,"suffix":""},{"dropping-particle":"","family":"Waterton","given":"John C.","non-dropping-particle":"","parse-names":false,"suffix":""},{"dropping-particle":"","family":"Carano","given":"Richard A D","non-dropping-particle":"","parse-names":false,"suffix":""},{"dropping-particle":"","family":"Parker","given":"Geoff J M","non-dropping-particle":"","parse-names":false,"suffix":""},{"dropping-particle":"","family":"Jackson","given":"Alan","non-dropping-particle":"","parse-names":false,"suffix":""}],"container-title":"Clinical Cancer Research","id":"ITEM-12","issue":"2","issued":{"date-parts":[["2015"]]},"page":"249-257","title":"Imaging intratumor heterogeneity: Role in therapy response, resistance, and clinical outcome","type":"article-journal","volume":"21"},"uris":["http://www.mendeley.com/documents/?uuid=cfc3f0bd-2ef8-4491-ba27-7686fa8c2e62"]},{"id":"ITEM-13","itemData":{"DOI":"10.1136/amiajnl-2012-001540","ISBN":"1527-974X (Electronic)\\r1067-5027 (Linking)","ISSN":"1527-974X","PMID":"23959844","abstract":"OBJECTIVES: With the objective of bringing clinical decision support systems to reality, this article reviews histopathological whole-slide imaging informatics methods, associated challenges, and future research opportunities.\\n\\nTARGET AUDIENCE: This review targets pathologists and informaticians who have a limited understanding of the key aspects of whole-slide image (WSI) analysis and/or a limited knowledge of state-of-the-art technologies and analysis methods.\\n\\nSCOPE: First, we discuss the importance of imaging informatics in pathology and highlight the challenges posed by histopathological WSI. Next, we provide a thorough review of current methods for: quality control of histopathological images; feature extraction that captures image properties at the pixel, object, and semantic levels; predictive modeling that utilizes image features for diagnostic or prognostic applications; and data and information visualization that explores WSI for de novo discovery. In addition, we highlight future research directions and discuss the impact of large public repositories of histopathological data, such as the Cancer Genome Atlas, on the field of pathology informatics. Following the review, we present a case study to illustrate a clinical decision support system that begins with quality control and ends with predictive modeling for several cancer endpoints. Currently, state-of-the-art software tools only provide limited image processing capabilities instead of complete data analysis for clinical decision-making. We aim to inspire researchers to conduct more research in pathology imaging informatics so that clinical decision support can become a reality.","author":[{"dropping-particle":"","family":"Kothari","given":"Sonal","non-dropping-particle":"","parse-names":false,"suffix":""},{"dropping-particle":"","family":"Phan","given":"John H","non-dropping-particle":"","parse-names":false,"suffix":""},{"dropping-particle":"","family":"Stokes","given":"Todd H","non-dropping-particle":"","parse-names":false,"suffix":""},{"dropping-particle":"","family":"Wang","given":"May D","non-dropping-particle":"","parse-names":false,"suffix":""}],"container-title":"Journal of the American Medical Informatics Association : JAMIA","id":"ITEM-13","issue":"6","issued":{"date-parts":[["2013"]]},"page":"1099-108","title":"Pathology imaging informatics for quantitative analysis of whole-slide images.","type":"article-journal","volume":"20"},"uris":["http://www.mendeley.com/documents/?uuid=86bd75bc-9de5-40ac-a748-393e1d960cc6"]},{"id":"ITEM-14","itemData":{"DOI":"10.1038/srep27988","ISBN":"2045-2322 (Electronic)\\r2045-2322 (Linking)","ISSN":"2045-2322","PMID":"27306927","abstract":"Automatic recognition of different tissue types in histological images is an essential part in the digital pathology toolbox. Texture analysis is commonly used to address this problem; mainly in the context of estimating the tumour/stroma ratio on histological samples. However, although histological images typically contain more than two tissue types, only few studies have addressed the multi-class problem. For colorectal cancer, one of the most prevalent tumour types, there are in fact no published results on multiclass texture separation. In this paper we present a new dataset of 5,000 histological images of human colorectal cancer including eight different types of tissue. We used this set to assess the classification performance of a wide range of texture descriptors and classifiers. As a result, we found an optimal classification strategy that markedly outperformed traditional methods, improving the state of the art for tumour-stroma separation from 96.9% to 98.6% accuracy and setting a new standard for multiclass tissue separation (87.4% accuracy for eight classes). We make our dataset of histological images publicly available under a Creative Commons license and encourage other researchers to use it as a benchmark for their studies.","author":[{"dropping-particle":"","family":"Kather","given":"Jakob Nikolas","non-dropping-particle":"","parse-names":false,"suffix":""},{"dropping-particle":"","family":"Weis","given":"Cleo-Aron","non-dropping-particle":"","parse-names":false,"suffix":""},{"dropping-particle":"","family":"Bianconi","given":"Francesco","non-dropping-particle":"","parse-names":false,"suffix":""},{"dropping-particle":"","family":"Melchers","given":"Susanne M","non-dropping-particle":"","parse-names":false,"suffix":""},{"dropping-particle":"","family":"Schad","given":"Lothar R","non-dropping-particle":"","parse-names":false,"suffix":""},{"dropping-particle":"","family":"Gaiser","given":"Timo","non-dropping-particle":"","parse-names":false,"suffix":""},{"dropping-particle":"","family":"Marx","given":"Alexander","non-dropping-particle":"","parse-names":false,"suffix":""},{"dropping-particle":"","family":"Zöllner","given":"Frank Gerrit","non-dropping-particle":"","parse-names":false,"suffix":""}],"container-title":"Scientific reports","id":"ITEM-14","issued":{"date-parts":[["2016"]]},"page":"27988","publisher":"Nature Publishing Group","title":"Multi-class texture analysis in colorectal cancer histology.","type":"article-journal","volume":"6"},"uris":["http://www.mendeley.com/documents/?uuid=0bf40346-9fdc-4e66-906c-d0f897555466"]},{"id":"ITEM-15","itemData":{"DOI":"10.1002/jmri.23971","ISSN":"10531807","author":[{"dropping-particle":"","family":"Ahmed","given":"Arfan","non-dropping-particle":"","parse-names":false,"suffix":""},{"dropping-particle":"","family":"Gibbs","given":"Peter","non-dropping-particle":"","parse-names":false,"suffix":""},{"dropping-particle":"","family":"Pickles","given":"Martin","non-dropping-particle":"","parse-names":false,"suffix":""},{"dropping-particle":"","family":"Turnbull","given":"Lindsay","non-dropping-particle":"","parse-names":false,"suffix":""}],"container-title":"Journal of Magnetic Resonance Imaging","id":"ITEM-15","issue":"1","issued":{"date-parts":[["2013","7"]]},"page":"89-101","title":"Texture analysis in assessment and prediction of chemotherapy response in breast cancer","type":"article-journal","volume":"38"},"uris":["http://www.mendeley.com/documents/?uuid=60883fce-709a-3d80-83a3-5de43d49e38c"]},{"id":"ITEM-16","itemData":{"DOI":"10.1002/mrm.22003","ISSN":"07403194","author":[{"dropping-particle":"","family":"Rose","given":"Chris J.","non-dropping-particle":"","parse-names":false,"suffix":""},{"dropping-particle":"","family":"Mills","given":"Samantha J.","non-dropping-particle":"","parse-names":false,"suffix":""},{"dropping-particle":"","family":"O'Connor","given":"James P. B.","non-dropping-particle":"","parse-names":false,"suffix":""},{"dropping-particle":"","family":"Buonaccorsi","given":"Giovanni A.","non-dropping-particle":"","parse-names":false,"suffix":""},{"dropping-particle":"","family":"Roberts","given":"Caleb","non-dropping-particle":"","parse-names":false,"suffix":""},{"dropping-particle":"","family":"Watson","given":"Yvonne","non-dropping-particle":"","parse-names":false,"suffix":""},{"dropping-particle":"","family":"Cheung","given":"Susan","non-dropping-particle":"","parse-names":false,"suffix":""},{"dropping-particle":"","family":"Zhao","given":"Sha","non-dropping-particle":"","parse-names":false,"suffix":""},{"dropping-particle":"","family":"Whitcher","given":"Brandon","non-dropping-particle":"","parse-names":false,"suffix":""},{"dropping-particle":"","family":"Jackson","given":"Alan","non-dropping-particle":"","parse-names":false,"suffix":""},{"dropping-particle":"","family":"Parker","given":"Geoffrey J. M.","non-dropping-particle":"","parse-names":false,"suffix":""}],"container-title":"Magnetic Resonance in Medicine","id":"ITEM-16","issue":"2","issued":{"date-parts":[["2009","8"]]},"page":"488-499","publisher":"Wiley Subscription Services, Inc., A Wiley Company","title":"Quantifying spatial heterogeneity in dynamic contrast-enhanced MRI parameter maps","type":"article-journal","volume":"62"},"uris":["http://www.mendeley.com/documents/?uuid=88f42b6f-a74a-3aca-8b0d-d5cbcce50195"]},{"id":"ITEM-17","itemData":{"DOI":"10.1016/j.ejrad.2012.10.023","ISSN":"0720048X","abstract":"OBJECTIVE\nTo determine if there is a difference between contrast enhanced CT texture features from the largest cross-sectional area versus the whole tumor, and its effect on clinical outcome prediction. \n\nMETHODS\nEntropy (E) and uniformity (U) were derived for different filter values (1.0–2.5: fine to coarse textures) for the largest primary tumor cross-sectional area and the whole tumor of the staging contrast enhanced CT in 55 patients with primary colorectal cancer. Parameters were compared using non-parametric Wilcoxon test. Kaplan–Meier analysis was performed to determine the relationship between CT texture and 5-year overall survival. \n\nRESULTS\nE was higher and U lower for the whole tumor indicating greater heterogeneity at all filter levels (1.0–2.5): median (range) for E and U for whole tumor versus largest cross-sectional area of 7.89 (7.43–8.31) versus 7.62 (6.94–8.08) and 0.005 (0.004–0.01) versus 0.006 (0.005–0.01) for filter 1.0; 7.88 (7.22–8.48) versus 7.54 (6.86–8.1) and 0.005 (0.003–0.01) versus 0.007 (0.004–0.01) for filter 1.5; 7.88 (7.17–8.54) versus 7.48 (5.84–8.25) and 0.005 (0.003–0.01) versus 0.007 (0.004–0.02) for filter 2.0; and 7.83 (7.03–8.57) versus 7.42 (5.19–8.26) and 0.005 (0.003–0.01) versus 0.006 (0.004–0.03) for filter 2.5 respectively (p≤0.001). Kaplan–Meier analysis demonstrated better separation of E and U for whole tumor analysis for 5-year overall survival. \n\nCONCLUSION\nWhole tumor analysis appears more representative of tumor heterogeneity.","author":[{"dropping-particle":"","family":"Ng","given":"Francesca","non-dropping-particle":"","parse-names":false,"suffix":""},{"dropping-particle":"","family":"Kozarski","given":"Robert","non-dropping-particle":"","parse-names":false,"suffix":""},{"dropping-particle":"","family":"Ganeshan","given":"Balaji","non-dropping-particle":"","parse-names":false,"suffix":""},{"dropping-particle":"","family":"Goh","given":"Vicky","non-dropping-particle":"","parse-names":false,"suffix":""}],"container-title":"European Journal of Radiology","id":"ITEM-17","issue":"2","issued":{"date-parts":[["2013"]]},"page":"342-348","title":"Assessment of tumor heterogeneity by CT texture analysis: Can the largest cross-sectional area be used as an alternative to whole tumor analysis?","type":"article-journal","volume":"82"},"uris":["http://www.mendeley.com/documents/?uuid=d7abe9de-5cdc-3127-953e-237abbcc1505"]},{"id":"ITEM-18","itemData":{"DOI":"10.1148/radiol.12120254","ISSN":"0033-8419","abstract":"Fine-texture features (lower entropy, kurtosis, and standard deviation; higher uniformity and skewness) were associated with a poorer 5-year overall survival rate in patients with colorectal cancer.","author":[{"dropping-particle":"","family":"Ng","given":"Francesca","non-dropping-particle":"","parse-names":false,"suffix":""},{"dropping-particle":"","family":"Ganeshan","given":"Balaji","non-dropping-particle":"","parse-names":false,"suffix":""},{"dropping-particle":"","family":"Kozarski","given":"Robert","non-dropping-particle":"","parse-names":false,"suffix":""},{"dropping-particle":"","family":"Miles","given":"Kenneth A.","non-dropping-particle":"","parse-names":false,"suffix":""},{"dropping-particle":"","family":"Goh","given":"Vicky","non-dropping-particle":"","parse-names":false,"suffix":""}],"container-title":"Radiology","id":"ITEM-18","issue":"1","issued":{"date-parts":[["2013","1"]]},"page":"177-184","publisher":"Radiological Society of North America, Inc.","title":"Assessment of Primary Colorectal Cancer Heterogeneity by Using Whole-Tumor Texture Analysis: Contrast-enhanced CT Texture as a Biomarker of 5-year Survival","type":"article-journal","volume":"266"},"uris":["http://www.mendeley.com/documents/?uuid=46c3f936-f0f4-362e-a6ba-8cdbe5ee4ed1"]},{"id":"ITEM-19","itemData":{"DOI":"10.1007/s00259-012-2247-0","ISBN":"0025901222","ISSN":"16197070","PMID":"23064544","abstract":"(18)F-Fluorodeoxyglucose positron emission tomography/computed tomography ((18)F-FDG PET/CT) is now routinely used in oncological imaging for diagnosis and staging and increasingly to determine early response to treatment, often employing semiquantitative measures of lesion activity such as the standardized uptake value (SUV). However, the ability to predict the behaviour of a tumour in terms of future therapy response or prognosis using SUVs from a baseline scan prior to treatment is limited. It is recognized that medical images contain more useful information than may be perceived with the naked eye, leading to the field of \"radiomics\" whereby additional features can be extracted by computational postprocessing techniques. In recent years, evidence has slowly accumulated showing that parameters obtained by texture analysis of radiological images, reflecting the underlying spatial variation and heterogeneity of voxel intensities within a tumour, may yield additional predictive and prognostic information. It is hoped that measurement of these textural features may allow better tissue characterization as well as better stratification of treatment in clinical trials, or individualization of future cancer treatment in the clinic, than is possible with current imaging biomarkers. In this review we focus on the literature describing the emerging methods of texture analysis in (18)FDG PET/CT, as well as other imaging modalities, and how the measurement of spatial variation of voxel grey-scale intensity within an image may provide additional predictive and prognostic information, and postulate the underlying biological mechanisms.","author":[{"dropping-particle":"","family":"Chicklore","given":"Sugama","non-dropping-particle":"","parse-names":false,"suffix":""},{"dropping-particle":"","family":"Goh","given":"Vicky","non-dropping-particle":"","parse-names":false,"suffix":""},{"dropping-particle":"","family":"Siddique","given":"Musib","non-dropping-particle":"","parse-names":false,"suffix":""},{"dropping-particle":"","family":"Roy","given":"Arunabha","non-dropping-particle":"","parse-names":false,"suffix":""},{"dropping-particle":"","family":"Marsden","given":"Paul K.","non-dropping-particle":"","parse-names":false,"suffix":""},{"dropping-particle":"","family":"Cook","given":"Gary J. R.","non-dropping-particle":"","parse-names":false,"suffix":""}],"container-title":"European Journal of Nuclear Medicine and Molecular Imaging","id":"ITEM-19","issue":"1","issued":{"date-parts":[["2013","1","13"]]},"page":"133-140","publisher":"Springer-Verlag","title":"Quantifying tumour heterogeneity in 18F-FDG PET/CT imaging by texture analysis","type":"article","volume":"40"},"uris":["http://www.mendeley.com/documents/?uuid=d7aa5e60-580c-3679-b4ee-99e5985d67c9"]},{"id":"ITEM-20","itemData":{"DOI":"10.1109/CBMS.2003.1212785","ISBN":"0-7695-1901-6","ISSN":"1063-71258","author":[{"dropping-particle":"","family":"Felipe","given":"J.C.","non-dropping-particle":"","parse-names":false,"suffix":""},{"dropping-particle":"","family":"Traina","given":"A.J.M.","non-dropping-particle":"","parse-names":false,"suffix":""},{"dropping-particle":"","family":"Traina","given":"C.","non-dropping-particle":"","parse-names":false,"suffix":""}],"container-title":"16th IEEE Symposium Computer-Based Medical Systems, 2003. Proceedings.","id":"ITEM-20","issued":{"date-parts":[["0"]]},"language":"English","page":"175-180","publisher":"IEEE","title":"Retrieval by content of medical images using texture for tissue identification","type":"paper-conference"},"uris":["http://www.mendeley.com/documents/?uuid=7ce2bd0c-b1ca-48b4-ba62-7bbe1f11a8e1"]},{"id":"ITEM-21","itemData":{"DOI":"10.3233/BME-130922","ISSN":"1878-3619","abstract":"Ultrasound as a noninvasive imaging technique is widely used to diagnose liver diseases. Texture analysis and classification of ultrasound liver images have become an important research topic across the world. In this study, GLGCM (Gray Level Gradient Co-Occurrence Matrix) was implemented for texture analysis of ultrasound liver images first, followed by the use of GLCM (Gray Level Co-occurrence Matrix) at the second stage. Twenty two features were obtained using the two methods, and seven most powerful features were selected for classification using BP (Back Propagation) neural network. Fibrosis was divided into five stages (S0-S4) in this study. The classification accuracies of S0-S4 were 100%, 90%, 70%, 90% and 100%, respectively.","author":[{"dropping-particle":"","family":"Gao","given":"Shuang","non-dropping-particle":"","parse-names":false,"suffix":""},{"dropping-particle":"","family":"Peng","given":"Yuhua","non-dropping-particle":"","parse-names":false,"suffix":""},{"dropping-particle":"","family":"Guo","given":"Huizhi","non-dropping-particle":"","parse-names":false,"suffix":""},{"dropping-particle":"","family":"Liu","given":"Weifeng","non-dropping-particle":"","parse-names":false,"suffix":""},{"dropping-particle":"","family":"Gao","given":"Tianxin","non-dropping-particle":"","parse-names":false,"suffix":""},{"dropping-particle":"","family":"Xu","given":"Yuanqing","non-dropping-particle":"","parse-names":false,"suffix":""},{"dropping-particle":"","family":"Tang","given":"Xiaoying","non-dropping-particle":"","parse-names":false,"suffix":""}],"container-title":"Bio-medical materials and engineering","id":"ITEM-21","issue":"1","issued":{"date-parts":[["2014"]]},"page":"1209-16","title":"Texture analysis and classification of ultrasound liver images.","type":"article-journal","volume":"24"},"uris":["http://www.mendeley.com/documents/?uuid=7a367e07-433e-4cae-add7-70ae0bd10659"]},{"id":"ITEM-22","itemData":{"DOI":"10.1109/21.44046","ISBN":"0018-9472 VO - 19","ISSN":"00189472","PMID":"15502404","abstract":"Five properties of texture, namely, coarseness, contrast, business, complexity, and texture strength, are given conceptual definitions in terms of spatial changes in intensity. These conceptual definitions are then approximated in computational forms. In comparison with human perceptual measurements, the computational measures have shown good correspondences in the rank ordering of ten natural textures. The extent to which the measures approximate visual perception was investigated in the form of texture similarity measurements. These results were also encouraging, although not as good as in the rank ordering of the textures. The differences may be due to the complex mechanism of human usage of multiple cues. Improved classification results were obtained using the above features as compared with two existing texture analysis techniques. The application of the features in agricultural land-use classification is considered","author":[{"dropping-particle":"","family":"Amadasun","given":"Moses","non-dropping-particle":"","parse-names":false,"suffix":""},{"dropping-particle":"","family":"King","given":"Robert","non-dropping-particle":"","parse-names":false,"suffix":""}],"container-title":"IEEE Transactions on Systems, Man, and Cybernetics","id":"ITEM-22","issue":"5","issued":{"date-parts":[["1989"]]},"page":"1264-1274","title":"Textural features corresponding to textural properties","type":"article-journal","volume":"19"},"uris":["http://www.mendeley.com/documents/?uuid=ec64b12e-520a-4a76-abfa-6b197cdc7feb"]},{"id":"ITEM-23","itemData":{"DOI":"10.1016/j.clinimag.2004.11.024","ISSN":"0899-7071","PMID":"15967313","abstract":"Fractal analyses have been applied successfully for the image compression, texture analysis, and texture image segmentation. The fractal dimension could be used to quantify the texture information. In this study, the differences of gray value of neighboring pixels are used to estimate the fractal dimension of an ultrasound image of breast lesion by using the fractal Brownian motion. Furthermore, a computer-aided diagnosis (CAD) system based on the fractal analysis is proposed to classify the breast lesions into two classes: benign and malignant. To improve the classification performances, the ultrasound images are preprocessed by using morphology operations and histogram equalization. Finally, the k-means classification method is used to classify benign tumors from malignant ones. The US breast image databases include only histologically confirmed cases: 110 malignant and 140 benign tumors, which were recorded. All the digital images were obtained prior to biopsy using by an ATL HDI 3000 system. The receiver operator characteristic (ROC) area index AZ is 0.9218, which represents the diagnostic performance.","author":[{"dropping-particle":"","family":"Chen","given":"Dar-Ren","non-dropping-particle":"","parse-names":false,"suffix":""},{"dropping-particle":"","family":"Chang","given":"Ruey-Feng","non-dropping-particle":"","parse-names":false,"suffix":""},{"dropping-particle":"","family":"Chen","given":"Chii-Jen","non-dropping-particle":"","parse-names":false,"suffix":""},{"dropping-particle":"","family":"Ho","given":"Ming-Feng","non-dropping-particle":"","parse-names":false,"suffix":""},{"dropping-particle":"","family":"Kuo","given":"Shou-Jen","non-dropping-particle":"","parse-names":false,"suffix":""},{"dropping-particle":"","family":"Chen","given":"Shou-Tung","non-dropping-particle":"","parse-names":false,"suffix":""},{"dropping-particle":"","family":"Hung","given":"Shin-Jer","non-dropping-particle":"","parse-names":false,"suffix":""},{"dropping-particle":"","family":"Moon","given":"Woo Kyung","non-dropping-particle":"","parse-names":false,"suffix":""}],"container-title":"Clinical imaging","id":"ITEM-23","issue":"4","issued":{"date-parts":[["2005"]]},"page":"235-45","title":"Classification of breast ultrasound images using fractal feature.","type":"article-journal","volume":"29"},"uris":["http://www.mendeley.com/documents/?uuid=045f4b88-8f56-49c1-ad20-4683bcec8a0e"]}],"mendeley":{"formattedCitation":"&lt;sup&gt;17,18,28–32,38–42,19,43–45,21–27&lt;/sup&gt;","plainTextFormattedCitation":"17,18,28–32,38–42,19,43–45,21–27","previouslyFormattedCitation":"&lt;i&gt;(17, 18, 28–32, 38–42, 19, 43–45, 21–27)&lt;/i&gt;"},"properties":{"noteIndex":0},"schema":"https://github.com/citation-style-language/schema/raw/master/csl-citation.json"}</w:instrText>
      </w:r>
      <w:r w:rsidRPr="00A14B67">
        <w:rPr>
          <w:rFonts w:ascii="Arial" w:hAnsi="Arial" w:cs="Arial"/>
          <w:color w:val="000000" w:themeColor="text1"/>
          <w:sz w:val="20"/>
          <w:szCs w:val="20"/>
        </w:rPr>
        <w:fldChar w:fldCharType="separate"/>
      </w:r>
      <w:r w:rsidR="003F04EF" w:rsidRPr="00A14B67">
        <w:rPr>
          <w:rFonts w:ascii="Arial" w:hAnsi="Arial" w:cs="Arial"/>
          <w:noProof/>
          <w:color w:val="000000" w:themeColor="text1"/>
          <w:sz w:val="20"/>
          <w:szCs w:val="20"/>
          <w:vertAlign w:val="superscript"/>
        </w:rPr>
        <w:t>17,18,28–32,38–42,19,43–45,21–27</w:t>
      </w:r>
      <w:r w:rsidRPr="00A14B67">
        <w:rPr>
          <w:rFonts w:ascii="Arial" w:hAnsi="Arial" w:cs="Arial"/>
          <w:color w:val="000000" w:themeColor="text1"/>
          <w:sz w:val="20"/>
          <w:szCs w:val="20"/>
        </w:rPr>
        <w:fldChar w:fldCharType="end"/>
      </w:r>
      <w:r w:rsidRPr="00A14B67">
        <w:rPr>
          <w:rFonts w:ascii="Arial" w:hAnsi="Arial" w:cs="Arial"/>
          <w:color w:val="000000" w:themeColor="text1"/>
          <w:sz w:val="20"/>
          <w:szCs w:val="20"/>
        </w:rPr>
        <w:t>.</w:t>
      </w:r>
    </w:p>
    <w:p w14:paraId="376E70A5" w14:textId="2361D150" w:rsidR="00CE6A17" w:rsidRPr="00A14B67" w:rsidRDefault="00996573" w:rsidP="00A06A7D">
      <w:pPr>
        <w:spacing w:line="420" w:lineRule="auto"/>
        <w:jc w:val="both"/>
        <w:rPr>
          <w:rFonts w:ascii="Arial" w:hAnsi="Arial" w:cs="Arial"/>
          <w:sz w:val="20"/>
          <w:szCs w:val="20"/>
        </w:rPr>
      </w:pPr>
      <w:r w:rsidRPr="00A14B67">
        <w:rPr>
          <w:rFonts w:ascii="Arial" w:hAnsi="Arial" w:cs="Arial"/>
          <w:sz w:val="20"/>
          <w:szCs w:val="20"/>
        </w:rPr>
        <w:t xml:space="preserve">Histogram and texture features were extracted from each perfusion and intensity projection map from 3D DCE-US data, for each animal or patient data on each scan day. </w:t>
      </w:r>
      <w:r w:rsidR="00E262AE" w:rsidRPr="00A14B67">
        <w:rPr>
          <w:rFonts w:ascii="Arial" w:hAnsi="Arial" w:cs="Arial"/>
          <w:sz w:val="20"/>
          <w:szCs w:val="20"/>
        </w:rPr>
        <w:t xml:space="preserve">For histogram features, the mean, median, mode, standard deviation, skewness and kurtosis of the intensity distribution were extracted. For texture features, </w:t>
      </w:r>
      <w:r w:rsidR="00A556E4" w:rsidRPr="00A14B67">
        <w:rPr>
          <w:rFonts w:ascii="Arial" w:hAnsi="Arial" w:cs="Arial"/>
          <w:sz w:val="20"/>
          <w:szCs w:val="20"/>
        </w:rPr>
        <w:t xml:space="preserve">all </w:t>
      </w:r>
      <w:r w:rsidR="005114EA" w:rsidRPr="00A14B67">
        <w:rPr>
          <w:rFonts w:ascii="Arial" w:hAnsi="Arial" w:cs="Arial"/>
          <w:sz w:val="20"/>
          <w:szCs w:val="20"/>
        </w:rPr>
        <w:t>parametric</w:t>
      </w:r>
      <w:r w:rsidR="00A556E4" w:rsidRPr="00A14B67">
        <w:rPr>
          <w:rFonts w:ascii="Arial" w:hAnsi="Arial" w:cs="Arial"/>
          <w:sz w:val="20"/>
          <w:szCs w:val="20"/>
        </w:rPr>
        <w:t xml:space="preserve"> maps were quantified exactly </w:t>
      </w:r>
      <w:r w:rsidR="005114EA" w:rsidRPr="00A14B67">
        <w:rPr>
          <w:rFonts w:ascii="Arial" w:hAnsi="Arial" w:cs="Arial"/>
          <w:sz w:val="20"/>
          <w:szCs w:val="20"/>
        </w:rPr>
        <w:t>t</w:t>
      </w:r>
      <w:r w:rsidR="00A556E4" w:rsidRPr="00A14B67">
        <w:rPr>
          <w:rFonts w:ascii="Arial" w:hAnsi="Arial" w:cs="Arial"/>
          <w:sz w:val="20"/>
          <w:szCs w:val="20"/>
        </w:rPr>
        <w:t xml:space="preserve">he same by: </w:t>
      </w:r>
      <w:r w:rsidR="001C6E72" w:rsidRPr="00A14B67">
        <w:rPr>
          <w:rFonts w:ascii="Arial" w:hAnsi="Arial" w:cs="Arial"/>
          <w:sz w:val="20"/>
          <w:szCs w:val="20"/>
        </w:rPr>
        <w:t xml:space="preserve">i) confining the ROI to the smallest box/region possible in image to speed up the computation, ii) </w:t>
      </w:r>
      <w:r w:rsidR="00101258" w:rsidRPr="00A14B67">
        <w:rPr>
          <w:rFonts w:ascii="Arial" w:hAnsi="Arial" w:cs="Arial"/>
          <w:sz w:val="20"/>
          <w:szCs w:val="20"/>
        </w:rPr>
        <w:t>normalization,</w:t>
      </w:r>
      <w:r w:rsidR="001C6E72" w:rsidRPr="00A14B67">
        <w:rPr>
          <w:rFonts w:ascii="Arial" w:hAnsi="Arial" w:cs="Arial"/>
          <w:sz w:val="20"/>
          <w:szCs w:val="20"/>
        </w:rPr>
        <w:t xml:space="preserve"> </w:t>
      </w:r>
      <w:r w:rsidR="00E051F9" w:rsidRPr="00A14B67">
        <w:rPr>
          <w:rFonts w:ascii="Arial" w:hAnsi="Arial" w:cs="Arial"/>
          <w:sz w:val="20"/>
          <w:szCs w:val="20"/>
        </w:rPr>
        <w:t xml:space="preserve">iii) isotropic resampling of pixels, iv) quantizing of pixels (lloyd </w:t>
      </w:r>
      <w:r w:rsidR="00F356A0" w:rsidRPr="00A14B67">
        <w:rPr>
          <w:rFonts w:ascii="Arial" w:hAnsi="Arial" w:cs="Arial"/>
          <w:sz w:val="20"/>
          <w:szCs w:val="20"/>
        </w:rPr>
        <w:t>quantization</w:t>
      </w:r>
      <w:r w:rsidR="00E051F9" w:rsidRPr="00A14B67">
        <w:rPr>
          <w:rFonts w:ascii="Arial" w:hAnsi="Arial" w:cs="Arial"/>
          <w:sz w:val="20"/>
          <w:szCs w:val="20"/>
        </w:rPr>
        <w:t>)</w:t>
      </w:r>
      <w:r w:rsidR="00D138FB" w:rsidRPr="00A14B67">
        <w:rPr>
          <w:rFonts w:ascii="Arial" w:hAnsi="Arial" w:cs="Arial"/>
          <w:sz w:val="20"/>
          <w:szCs w:val="20"/>
        </w:rPr>
        <w:t xml:space="preserve"> (</w:t>
      </w:r>
      <w:r w:rsidR="00D138FB" w:rsidRPr="00A14B67">
        <w:rPr>
          <w:rFonts w:ascii="Arial" w:hAnsi="Arial" w:cs="Arial"/>
          <w:b/>
          <w:sz w:val="20"/>
          <w:szCs w:val="20"/>
        </w:rPr>
        <w:t>Figure 1B</w:t>
      </w:r>
      <w:r w:rsidR="00D138FB" w:rsidRPr="00A14B67">
        <w:rPr>
          <w:rFonts w:ascii="Arial" w:hAnsi="Arial" w:cs="Arial"/>
          <w:sz w:val="20"/>
          <w:szCs w:val="20"/>
        </w:rPr>
        <w:t>)</w:t>
      </w:r>
      <w:r w:rsidR="00751C2F" w:rsidRPr="00A14B67">
        <w:rPr>
          <w:rFonts w:ascii="Arial" w:hAnsi="Arial" w:cs="Arial"/>
          <w:sz w:val="20"/>
          <w:szCs w:val="20"/>
        </w:rPr>
        <w:t xml:space="preserve"> </w:t>
      </w:r>
      <w:r w:rsidR="00751C2F" w:rsidRPr="00A14B67">
        <w:rPr>
          <w:rFonts w:ascii="Arial" w:hAnsi="Arial" w:cs="Arial"/>
          <w:sz w:val="20"/>
          <w:szCs w:val="20"/>
        </w:rPr>
        <w:fldChar w:fldCharType="begin" w:fldLock="1"/>
      </w:r>
      <w:r w:rsidR="003F04EF" w:rsidRPr="00A14B67">
        <w:rPr>
          <w:rFonts w:ascii="Arial" w:hAnsi="Arial" w:cs="Arial"/>
          <w:sz w:val="20"/>
          <w:szCs w:val="20"/>
        </w:rPr>
        <w:instrText>ADDIN CSL_CITATION {"citationItems":[{"id":"ITEM-1","itemData":{"DOI":"10.1109/TIT.1982.1056489","ISSN":"0018-9448","author":[{"dropping-particle":"","family":"Lloyd","given":"S.","non-dropping-particle":"","parse-names":false,"suffix":""}],"container-title":"IEEE Transactions on Information Theory","id":"ITEM-1","issue":"2","issued":{"date-parts":[["1982","3"]]},"page":"129-137","title":"Least squares quantization in PCM","type":"article-journal","volume":"28"},"uris":["http://www.mendeley.com/documents/?uuid=e05a3977-9dc4-37f7-9dd3-56503341b10e"]},{"id":"ITEM-2","itemData":{"DOI":"10.1016/j.mri.2003.09.001","ISSN":"0730725X","PMID":"14972397","abstract":"Texture analysis methods quantify the spatial variations in gray level values within an image and thus can provide useful information on the structures observed. However, they are sensitive to acquisition conditions due to the use of different protocols and to intra- and interscanner variations in the case of MRI. The influence was studied of two protocols and four different conditions of normalization of gray levels on the discrimination power of texture analysis methods applied to soft cheeses. Thirty-two samples of soft cheese were chosen at two different ripening periods (16 young and 16 old samples) in order to obtain two different microscopic structures of the protein gel. Proton density and T(2)-weighted MR images were acquired using a spin echo sequence on a 0.2 T scanner. Gray levels were normalized according to four methods: original gray levels, same maximum for all images, same mean for all images, and dynamics limited to micro +/- 3sigma. Regions of interest were automatically defined, and texture descriptors were then computed for the co-occurrence matrix, run length matrix, gradient matrix, autoregressive model, and wavelet transform. The features with the lowest probability of error and average correlation coefficient were selected and used for classification with 1-nearest neighbor (1-NN) classifier. The best results were obtained when using the limitation of dynamics to micro +/- 3sigma, which enhanced the differences between the two classes. The results demonstrated the influence of the normalization method and of the acquisition protocol on the effectiveness of the classification and also on the parameters selected for classification. These results indicate the need to evaluate sensitivity to MR acquisition protocols and to gray level normalization methods when texture analysis is required.","author":[{"dropping-particle":"","family":"Collewet","given":"G.","non-dropping-particle":"","parse-names":false,"suffix":""},{"dropping-particle":"","family":"Strzelecki","given":"M.","non-dropping-particle":"","parse-names":false,"suffix":""},{"dropping-particle":"","family":"Mariette","given":"F.","non-dropping-particle":"","parse-names":false,"suffix":""}],"container-title":"Magnetic Resonance Imaging","id":"ITEM-2","issue":"1","issued":{"date-parts":[["2004","1"]]},"page":"81-91","title":"Influence of MRI acquisition protocols and image intensity normalization methods on texture classification","type":"article-journal","volume":"22"},"uris":["http://www.mendeley.com/documents/?uuid=bae5c672-f274-3acd-94bb-fb0b51973539"]}],"mendeley":{"formattedCitation":"&lt;sup&gt;46,47&lt;/sup&gt;","plainTextFormattedCitation":"46,47","previouslyFormattedCitation":"&lt;i&gt;(46, 47)&lt;/i&gt;"},"properties":{"noteIndex":0},"schema":"https://github.com/citation-style-language/schema/raw/master/csl-citation.json"}</w:instrText>
      </w:r>
      <w:r w:rsidR="00751C2F" w:rsidRPr="00A14B67">
        <w:rPr>
          <w:rFonts w:ascii="Arial" w:hAnsi="Arial" w:cs="Arial"/>
          <w:sz w:val="20"/>
          <w:szCs w:val="20"/>
        </w:rPr>
        <w:fldChar w:fldCharType="separate"/>
      </w:r>
      <w:r w:rsidR="003F04EF" w:rsidRPr="00A14B67">
        <w:rPr>
          <w:rFonts w:ascii="Arial" w:hAnsi="Arial" w:cs="Arial"/>
          <w:noProof/>
          <w:sz w:val="20"/>
          <w:szCs w:val="20"/>
          <w:vertAlign w:val="superscript"/>
        </w:rPr>
        <w:t>46,47</w:t>
      </w:r>
      <w:r w:rsidR="00751C2F" w:rsidRPr="00A14B67">
        <w:rPr>
          <w:rFonts w:ascii="Arial" w:hAnsi="Arial" w:cs="Arial"/>
          <w:sz w:val="20"/>
          <w:szCs w:val="20"/>
        </w:rPr>
        <w:fldChar w:fldCharType="end"/>
      </w:r>
      <w:r w:rsidR="00E262AE" w:rsidRPr="00A14B67">
        <w:rPr>
          <w:rFonts w:ascii="Arial" w:hAnsi="Arial" w:cs="Arial"/>
          <w:sz w:val="20"/>
          <w:szCs w:val="20"/>
        </w:rPr>
        <w:t xml:space="preserve">. </w:t>
      </w:r>
      <w:r w:rsidR="003F32B8" w:rsidRPr="00A14B67">
        <w:rPr>
          <w:rFonts w:ascii="Arial" w:hAnsi="Arial" w:cs="Arial"/>
          <w:sz w:val="20"/>
          <w:szCs w:val="20"/>
        </w:rPr>
        <w:t>Features were extracted at the following 3 length scales by resampling the isotropic voxel size to the following dimension: 0.3, 0.6 and 0.9</w:t>
      </w:r>
      <w:r w:rsidR="001642FA" w:rsidRPr="00A14B67">
        <w:rPr>
          <w:rFonts w:ascii="Arial" w:hAnsi="Arial" w:cs="Arial"/>
          <w:sz w:val="20"/>
          <w:szCs w:val="20"/>
        </w:rPr>
        <w:t xml:space="preserve"> mm</w:t>
      </w:r>
      <w:r w:rsidR="003F32B8" w:rsidRPr="00A14B67">
        <w:rPr>
          <w:rFonts w:ascii="Arial" w:hAnsi="Arial" w:cs="Arial"/>
          <w:sz w:val="20"/>
          <w:szCs w:val="20"/>
        </w:rPr>
        <w:t xml:space="preserve">, in all possible directions. </w:t>
      </w:r>
      <w:r w:rsidR="00E262AE" w:rsidRPr="00A14B67">
        <w:rPr>
          <w:rFonts w:ascii="Arial" w:hAnsi="Arial" w:cs="Arial"/>
          <w:sz w:val="20"/>
          <w:szCs w:val="20"/>
        </w:rPr>
        <w:t>Four different categories of</w:t>
      </w:r>
      <w:r w:rsidR="003A3AFB" w:rsidRPr="00A14B67">
        <w:rPr>
          <w:rFonts w:ascii="Arial" w:hAnsi="Arial" w:cs="Arial"/>
          <w:sz w:val="20"/>
          <w:szCs w:val="20"/>
        </w:rPr>
        <w:t xml:space="preserve"> second-order</w:t>
      </w:r>
      <w:r w:rsidR="00E262AE" w:rsidRPr="00A14B67">
        <w:rPr>
          <w:rFonts w:ascii="Arial" w:hAnsi="Arial" w:cs="Arial"/>
          <w:sz w:val="20"/>
          <w:szCs w:val="20"/>
        </w:rPr>
        <w:t xml:space="preserve"> texture features were extracted as described in </w:t>
      </w:r>
      <w:r w:rsidR="003A3AFB" w:rsidRPr="00A14B67">
        <w:rPr>
          <w:rFonts w:ascii="Arial" w:hAnsi="Arial" w:cs="Arial"/>
          <w:b/>
          <w:sz w:val="20"/>
          <w:szCs w:val="20"/>
        </w:rPr>
        <w:t xml:space="preserve">Supplementary </w:t>
      </w:r>
      <w:r w:rsidR="00E262AE" w:rsidRPr="00A14B67">
        <w:rPr>
          <w:rFonts w:ascii="Arial" w:hAnsi="Arial" w:cs="Arial"/>
          <w:b/>
          <w:sz w:val="20"/>
          <w:szCs w:val="20"/>
        </w:rPr>
        <w:t xml:space="preserve">Table </w:t>
      </w:r>
      <w:r w:rsidR="003A3AFB" w:rsidRPr="00A14B67">
        <w:rPr>
          <w:rFonts w:ascii="Arial" w:hAnsi="Arial" w:cs="Arial"/>
          <w:b/>
          <w:sz w:val="20"/>
          <w:szCs w:val="20"/>
        </w:rPr>
        <w:t>1</w:t>
      </w:r>
      <w:r w:rsidR="00E262AE" w:rsidRPr="00A14B67">
        <w:rPr>
          <w:rFonts w:ascii="Arial" w:hAnsi="Arial" w:cs="Arial"/>
          <w:b/>
          <w:sz w:val="20"/>
          <w:szCs w:val="20"/>
        </w:rPr>
        <w:t>.</w:t>
      </w:r>
      <w:r w:rsidR="00E262AE" w:rsidRPr="00A14B67">
        <w:rPr>
          <w:rFonts w:ascii="Arial" w:hAnsi="Arial" w:cs="Arial"/>
          <w:sz w:val="20"/>
          <w:szCs w:val="20"/>
        </w:rPr>
        <w:t xml:space="preserve"> </w:t>
      </w:r>
      <w:r w:rsidR="000121CE" w:rsidRPr="00A14B67">
        <w:rPr>
          <w:rFonts w:ascii="Arial" w:hAnsi="Arial" w:cs="Arial"/>
          <w:sz w:val="20"/>
          <w:szCs w:val="20"/>
        </w:rPr>
        <w:t>T</w:t>
      </w:r>
      <w:r w:rsidR="00E262AE" w:rsidRPr="00A14B67">
        <w:rPr>
          <w:rFonts w:ascii="Arial" w:hAnsi="Arial" w:cs="Arial"/>
          <w:sz w:val="20"/>
          <w:szCs w:val="20"/>
        </w:rPr>
        <w:t>hese include the</w:t>
      </w:r>
      <w:r w:rsidR="000121CE" w:rsidRPr="00A14B67">
        <w:rPr>
          <w:rFonts w:ascii="Arial" w:hAnsi="Arial" w:cs="Arial"/>
          <w:sz w:val="20"/>
          <w:szCs w:val="20"/>
        </w:rPr>
        <w:t xml:space="preserve"> Grey Level Co-Occurrence Matrix</w:t>
      </w:r>
      <w:r w:rsidR="00E262AE" w:rsidRPr="00A14B67">
        <w:rPr>
          <w:rFonts w:ascii="Arial" w:hAnsi="Arial" w:cs="Arial"/>
          <w:sz w:val="20"/>
          <w:szCs w:val="20"/>
        </w:rPr>
        <w:t xml:space="preserve">, Grey Level Size-Zone Metric, Grey Level Run-Length Matrix and Neighborhood Grey Tone Difference Matrix. </w:t>
      </w:r>
    </w:p>
    <w:p w14:paraId="6F191A8B" w14:textId="2D640AF0" w:rsidR="00032727" w:rsidRPr="00A14B67" w:rsidRDefault="00E262AE" w:rsidP="00A06A7D">
      <w:pPr>
        <w:spacing w:line="420" w:lineRule="auto"/>
        <w:jc w:val="both"/>
        <w:rPr>
          <w:rFonts w:ascii="Arial" w:hAnsi="Arial" w:cs="Arial"/>
          <w:sz w:val="20"/>
          <w:szCs w:val="20"/>
        </w:rPr>
      </w:pPr>
      <w:r w:rsidRPr="00A14B67">
        <w:rPr>
          <w:rFonts w:ascii="Arial" w:hAnsi="Arial" w:cs="Arial"/>
          <w:sz w:val="20"/>
          <w:szCs w:val="20"/>
        </w:rPr>
        <w:t xml:space="preserve">For each animal and at each time point, a total of </w:t>
      </w:r>
      <w:r w:rsidR="00E26584" w:rsidRPr="00A14B67">
        <w:rPr>
          <w:rFonts w:ascii="Arial" w:hAnsi="Arial" w:cs="Arial"/>
          <w:sz w:val="20"/>
          <w:szCs w:val="20"/>
        </w:rPr>
        <w:t>11</w:t>
      </w:r>
      <w:r w:rsidR="000F6F1B" w:rsidRPr="00A14B67">
        <w:rPr>
          <w:rFonts w:ascii="Arial" w:hAnsi="Arial" w:cs="Arial"/>
          <w:sz w:val="20"/>
          <w:szCs w:val="20"/>
        </w:rPr>
        <w:t>28</w:t>
      </w:r>
      <w:r w:rsidRPr="00A14B67">
        <w:rPr>
          <w:rFonts w:ascii="Arial" w:hAnsi="Arial" w:cs="Arial"/>
          <w:sz w:val="20"/>
          <w:szCs w:val="20"/>
        </w:rPr>
        <w:t xml:space="preserve"> features were extracted over all </w:t>
      </w:r>
      <w:r w:rsidR="00D138FB" w:rsidRPr="00A14B67">
        <w:rPr>
          <w:rFonts w:ascii="Arial" w:hAnsi="Arial" w:cs="Arial"/>
          <w:sz w:val="20"/>
          <w:szCs w:val="20"/>
        </w:rPr>
        <w:t xml:space="preserve">three </w:t>
      </w:r>
      <w:r w:rsidRPr="00A14B67">
        <w:rPr>
          <w:rFonts w:ascii="Arial" w:hAnsi="Arial" w:cs="Arial"/>
          <w:sz w:val="20"/>
          <w:szCs w:val="20"/>
        </w:rPr>
        <w:t>length scales and all parametric maps/intensity projections. Additional details and the code used to extract parametric maps and features are included in the supplementary data of this text. All features and conventional parameters were evaluated as relative change (</w:t>
      </w:r>
      <w:r w:rsidRPr="00A14B67">
        <w:rPr>
          <w:rFonts w:ascii="Arial" w:hAnsi="Arial" w:cs="Arial"/>
          <w:i/>
          <w:sz w:val="20"/>
          <w:szCs w:val="20"/>
        </w:rPr>
        <w:t>(X</w:t>
      </w:r>
      <w:r w:rsidRPr="00A14B67">
        <w:rPr>
          <w:rFonts w:ascii="Arial" w:hAnsi="Arial" w:cs="Arial"/>
          <w:i/>
          <w:sz w:val="20"/>
          <w:szCs w:val="20"/>
        </w:rPr>
        <w:softHyphen/>
      </w:r>
      <w:r w:rsidRPr="00A14B67">
        <w:rPr>
          <w:rFonts w:ascii="Arial" w:hAnsi="Arial" w:cs="Arial"/>
          <w:i/>
          <w:sz w:val="20"/>
          <w:szCs w:val="20"/>
          <w:vertAlign w:val="subscript"/>
        </w:rPr>
        <w:t>D01</w:t>
      </w:r>
      <w:r w:rsidRPr="00A14B67">
        <w:rPr>
          <w:rFonts w:ascii="Arial" w:hAnsi="Arial" w:cs="Arial"/>
          <w:i/>
          <w:sz w:val="20"/>
          <w:szCs w:val="20"/>
        </w:rPr>
        <w:t xml:space="preserve"> – X</w:t>
      </w:r>
      <w:r w:rsidRPr="00A14B67">
        <w:rPr>
          <w:rFonts w:ascii="Arial" w:hAnsi="Arial" w:cs="Arial"/>
          <w:i/>
          <w:sz w:val="20"/>
          <w:szCs w:val="20"/>
          <w:vertAlign w:val="subscript"/>
        </w:rPr>
        <w:t>D00</w:t>
      </w:r>
      <w:r w:rsidRPr="00A14B67">
        <w:rPr>
          <w:rFonts w:ascii="Arial" w:hAnsi="Arial" w:cs="Arial"/>
          <w:i/>
          <w:sz w:val="20"/>
          <w:szCs w:val="20"/>
        </w:rPr>
        <w:t>)/X</w:t>
      </w:r>
      <w:r w:rsidRPr="00A14B67">
        <w:rPr>
          <w:rFonts w:ascii="Arial" w:hAnsi="Arial" w:cs="Arial"/>
          <w:i/>
          <w:sz w:val="20"/>
          <w:szCs w:val="20"/>
          <w:vertAlign w:val="subscript"/>
        </w:rPr>
        <w:t>D00</w:t>
      </w:r>
      <w:r w:rsidRPr="00A14B67">
        <w:rPr>
          <w:rFonts w:ascii="Arial" w:hAnsi="Arial" w:cs="Arial"/>
          <w:i/>
          <w:sz w:val="20"/>
          <w:szCs w:val="20"/>
        </w:rPr>
        <w:t>; (X</w:t>
      </w:r>
      <w:r w:rsidRPr="00A14B67">
        <w:rPr>
          <w:rFonts w:ascii="Arial" w:hAnsi="Arial" w:cs="Arial"/>
          <w:i/>
          <w:sz w:val="20"/>
          <w:szCs w:val="20"/>
        </w:rPr>
        <w:softHyphen/>
      </w:r>
      <w:r w:rsidRPr="00A14B67">
        <w:rPr>
          <w:rFonts w:ascii="Arial" w:hAnsi="Arial" w:cs="Arial"/>
          <w:i/>
          <w:sz w:val="20"/>
          <w:szCs w:val="20"/>
          <w:vertAlign w:val="subscript"/>
        </w:rPr>
        <w:t>D03</w:t>
      </w:r>
      <w:r w:rsidRPr="00A14B67">
        <w:rPr>
          <w:rFonts w:ascii="Arial" w:hAnsi="Arial" w:cs="Arial"/>
          <w:i/>
          <w:sz w:val="20"/>
          <w:szCs w:val="20"/>
        </w:rPr>
        <w:t xml:space="preserve"> – X</w:t>
      </w:r>
      <w:r w:rsidRPr="00A14B67">
        <w:rPr>
          <w:rFonts w:ascii="Arial" w:hAnsi="Arial" w:cs="Arial"/>
          <w:i/>
          <w:sz w:val="20"/>
          <w:szCs w:val="20"/>
          <w:vertAlign w:val="subscript"/>
        </w:rPr>
        <w:t>D00</w:t>
      </w:r>
      <w:r w:rsidRPr="00A14B67">
        <w:rPr>
          <w:rFonts w:ascii="Arial" w:hAnsi="Arial" w:cs="Arial"/>
          <w:i/>
          <w:sz w:val="20"/>
          <w:szCs w:val="20"/>
        </w:rPr>
        <w:t>)/X</w:t>
      </w:r>
      <w:r w:rsidRPr="00A14B67">
        <w:rPr>
          <w:rFonts w:ascii="Arial" w:hAnsi="Arial" w:cs="Arial"/>
          <w:i/>
          <w:sz w:val="20"/>
          <w:szCs w:val="20"/>
          <w:vertAlign w:val="subscript"/>
        </w:rPr>
        <w:t>D00</w:t>
      </w:r>
      <w:r w:rsidRPr="00A14B67">
        <w:rPr>
          <w:rFonts w:ascii="Arial" w:hAnsi="Arial" w:cs="Arial"/>
          <w:i/>
          <w:sz w:val="20"/>
          <w:szCs w:val="20"/>
        </w:rPr>
        <w:t>; X</w:t>
      </w:r>
      <w:r w:rsidRPr="00A14B67">
        <w:rPr>
          <w:rFonts w:ascii="Arial" w:hAnsi="Arial" w:cs="Arial"/>
          <w:i/>
          <w:sz w:val="20"/>
          <w:szCs w:val="20"/>
        </w:rPr>
        <w:softHyphen/>
      </w:r>
      <w:r w:rsidRPr="00A14B67">
        <w:rPr>
          <w:rFonts w:ascii="Arial" w:hAnsi="Arial" w:cs="Arial"/>
          <w:i/>
          <w:sz w:val="20"/>
          <w:szCs w:val="20"/>
          <w:vertAlign w:val="subscript"/>
        </w:rPr>
        <w:t>D07</w:t>
      </w:r>
      <w:r w:rsidRPr="00A14B67">
        <w:rPr>
          <w:rFonts w:ascii="Arial" w:hAnsi="Arial" w:cs="Arial"/>
          <w:i/>
          <w:sz w:val="20"/>
          <w:szCs w:val="20"/>
        </w:rPr>
        <w:t xml:space="preserve"> – X</w:t>
      </w:r>
      <w:r w:rsidRPr="00A14B67">
        <w:rPr>
          <w:rFonts w:ascii="Arial" w:hAnsi="Arial" w:cs="Arial"/>
          <w:i/>
          <w:sz w:val="20"/>
          <w:szCs w:val="20"/>
          <w:vertAlign w:val="subscript"/>
        </w:rPr>
        <w:t>D00</w:t>
      </w:r>
      <w:r w:rsidRPr="00A14B67">
        <w:rPr>
          <w:rFonts w:ascii="Arial" w:hAnsi="Arial" w:cs="Arial"/>
          <w:i/>
          <w:sz w:val="20"/>
          <w:szCs w:val="20"/>
        </w:rPr>
        <w:t>)/X</w:t>
      </w:r>
      <w:r w:rsidRPr="00A14B67">
        <w:rPr>
          <w:rFonts w:ascii="Arial" w:hAnsi="Arial" w:cs="Arial"/>
          <w:i/>
          <w:sz w:val="20"/>
          <w:szCs w:val="20"/>
          <w:vertAlign w:val="subscript"/>
        </w:rPr>
        <w:t>D00</w:t>
      </w:r>
      <w:r w:rsidRPr="00A14B67">
        <w:rPr>
          <w:rFonts w:ascii="Arial" w:hAnsi="Arial" w:cs="Arial"/>
          <w:i/>
          <w:sz w:val="20"/>
          <w:szCs w:val="20"/>
        </w:rPr>
        <w:t>; X</w:t>
      </w:r>
      <w:r w:rsidRPr="00A14B67">
        <w:rPr>
          <w:rFonts w:ascii="Arial" w:hAnsi="Arial" w:cs="Arial"/>
          <w:i/>
          <w:sz w:val="20"/>
          <w:szCs w:val="20"/>
        </w:rPr>
        <w:softHyphen/>
      </w:r>
      <w:r w:rsidRPr="00A14B67">
        <w:rPr>
          <w:rFonts w:ascii="Arial" w:hAnsi="Arial" w:cs="Arial"/>
          <w:i/>
          <w:sz w:val="20"/>
          <w:szCs w:val="20"/>
          <w:vertAlign w:val="subscript"/>
        </w:rPr>
        <w:t>D10</w:t>
      </w:r>
      <w:r w:rsidRPr="00A14B67">
        <w:rPr>
          <w:rFonts w:ascii="Arial" w:hAnsi="Arial" w:cs="Arial"/>
          <w:i/>
          <w:sz w:val="20"/>
          <w:szCs w:val="20"/>
        </w:rPr>
        <w:t xml:space="preserve"> – X</w:t>
      </w:r>
      <w:r w:rsidRPr="00A14B67">
        <w:rPr>
          <w:rFonts w:ascii="Arial" w:hAnsi="Arial" w:cs="Arial"/>
          <w:i/>
          <w:sz w:val="20"/>
          <w:szCs w:val="20"/>
          <w:vertAlign w:val="subscript"/>
        </w:rPr>
        <w:t>D00</w:t>
      </w:r>
      <w:r w:rsidRPr="00A14B67">
        <w:rPr>
          <w:rFonts w:ascii="Arial" w:hAnsi="Arial" w:cs="Arial"/>
          <w:i/>
          <w:sz w:val="20"/>
          <w:szCs w:val="20"/>
        </w:rPr>
        <w:t>)/X</w:t>
      </w:r>
      <w:r w:rsidRPr="00A14B67">
        <w:rPr>
          <w:rFonts w:ascii="Arial" w:hAnsi="Arial" w:cs="Arial"/>
          <w:i/>
          <w:sz w:val="20"/>
          <w:szCs w:val="20"/>
          <w:vertAlign w:val="subscript"/>
        </w:rPr>
        <w:t>D00</w:t>
      </w:r>
      <w:r w:rsidRPr="00A14B67">
        <w:rPr>
          <w:rFonts w:ascii="Arial" w:hAnsi="Arial" w:cs="Arial"/>
          <w:sz w:val="20"/>
          <w:szCs w:val="20"/>
        </w:rPr>
        <w:t>), except wh</w:t>
      </w:r>
      <w:r w:rsidR="00447375" w:rsidRPr="00A14B67">
        <w:rPr>
          <w:rFonts w:ascii="Arial" w:hAnsi="Arial" w:cs="Arial"/>
          <w:sz w:val="20"/>
          <w:szCs w:val="20"/>
        </w:rPr>
        <w:t>en correlated to histopathology, where absolute measurements of features were obtained on</w:t>
      </w:r>
      <w:r w:rsidR="0009704A" w:rsidRPr="00A14B67">
        <w:rPr>
          <w:rFonts w:ascii="Arial" w:hAnsi="Arial" w:cs="Arial"/>
          <w:sz w:val="20"/>
          <w:szCs w:val="20"/>
        </w:rPr>
        <w:t xml:space="preserve"> data acquired on</w:t>
      </w:r>
      <w:r w:rsidR="00447375" w:rsidRPr="00A14B67">
        <w:rPr>
          <w:rFonts w:ascii="Arial" w:hAnsi="Arial" w:cs="Arial"/>
          <w:sz w:val="20"/>
          <w:szCs w:val="20"/>
        </w:rPr>
        <w:t xml:space="preserve"> the day of animal sacrifice for histology. </w:t>
      </w:r>
      <w:r w:rsidR="00996328" w:rsidRPr="00A14B67">
        <w:rPr>
          <w:rFonts w:ascii="Arial" w:hAnsi="Arial" w:cs="Arial"/>
          <w:sz w:val="20"/>
          <w:szCs w:val="20"/>
        </w:rPr>
        <w:t xml:space="preserve">Features were selected as </w:t>
      </w:r>
      <w:r w:rsidR="003A4390" w:rsidRPr="00A14B67">
        <w:rPr>
          <w:rFonts w:ascii="Arial" w:hAnsi="Arial" w:cs="Arial"/>
          <w:sz w:val="20"/>
          <w:szCs w:val="20"/>
        </w:rPr>
        <w:t>described and</w:t>
      </w:r>
      <w:r w:rsidR="00AF1D4C" w:rsidRPr="00A14B67">
        <w:rPr>
          <w:rFonts w:ascii="Arial" w:hAnsi="Arial" w:cs="Arial"/>
          <w:sz w:val="20"/>
          <w:szCs w:val="20"/>
        </w:rPr>
        <w:t xml:space="preserve"> </w:t>
      </w:r>
      <w:r w:rsidR="00996328" w:rsidRPr="00A14B67">
        <w:rPr>
          <w:rFonts w:ascii="Arial" w:hAnsi="Arial" w:cs="Arial"/>
          <w:sz w:val="20"/>
          <w:szCs w:val="20"/>
        </w:rPr>
        <w:t xml:space="preserve">are presented in </w:t>
      </w:r>
      <w:r w:rsidR="00996328" w:rsidRPr="00A14B67">
        <w:rPr>
          <w:rFonts w:ascii="Arial" w:hAnsi="Arial" w:cs="Arial"/>
          <w:b/>
          <w:sz w:val="20"/>
          <w:szCs w:val="20"/>
        </w:rPr>
        <w:t>Supplementary Table 2</w:t>
      </w:r>
      <w:r w:rsidR="00996328" w:rsidRPr="00A14B67">
        <w:rPr>
          <w:rFonts w:ascii="Arial" w:hAnsi="Arial" w:cs="Arial"/>
          <w:sz w:val="20"/>
          <w:szCs w:val="20"/>
        </w:rPr>
        <w:t>.</w:t>
      </w:r>
    </w:p>
    <w:p w14:paraId="68AFABE2" w14:textId="72C0F237" w:rsidR="003F503B" w:rsidRPr="00A14B67" w:rsidRDefault="003F503B" w:rsidP="00A06A7D">
      <w:pPr>
        <w:spacing w:line="420" w:lineRule="auto"/>
        <w:jc w:val="both"/>
        <w:rPr>
          <w:rFonts w:ascii="Arial" w:hAnsi="Arial" w:cs="Arial"/>
          <w:b/>
          <w:sz w:val="20"/>
          <w:szCs w:val="20"/>
        </w:rPr>
      </w:pPr>
      <w:r w:rsidRPr="00A14B67">
        <w:rPr>
          <w:rFonts w:ascii="Arial" w:hAnsi="Arial" w:cs="Arial"/>
          <w:b/>
          <w:sz w:val="20"/>
          <w:szCs w:val="20"/>
        </w:rPr>
        <w:t>Patient Data</w:t>
      </w:r>
    </w:p>
    <w:p w14:paraId="36A29F06" w14:textId="64B35DF7" w:rsidR="00A91450" w:rsidRPr="00A14B67" w:rsidRDefault="00A45E3F" w:rsidP="00A06A7D">
      <w:pPr>
        <w:spacing w:line="420" w:lineRule="auto"/>
        <w:jc w:val="both"/>
        <w:rPr>
          <w:rFonts w:ascii="Arial" w:hAnsi="Arial"/>
          <w:sz w:val="20"/>
          <w:szCs w:val="20"/>
        </w:rPr>
      </w:pPr>
      <w:r w:rsidRPr="00A14B67">
        <w:rPr>
          <w:rFonts w:ascii="Arial" w:hAnsi="Arial" w:cs="Arial"/>
          <w:sz w:val="20"/>
          <w:szCs w:val="20"/>
        </w:rPr>
        <w:t>Patient data from ongoing HIPPA compliant prospective clinical studies</w:t>
      </w:r>
      <w:r w:rsidR="00BD6E7D" w:rsidRPr="00A14B67">
        <w:rPr>
          <w:rFonts w:ascii="Arial" w:hAnsi="Arial" w:cs="Arial"/>
          <w:sz w:val="20"/>
          <w:szCs w:val="20"/>
        </w:rPr>
        <w:t xml:space="preserve"> at our institution (</w:t>
      </w:r>
      <w:r w:rsidRPr="00A14B67">
        <w:rPr>
          <w:rFonts w:ascii="Arial" w:hAnsi="Arial" w:cs="Arial"/>
          <w:sz w:val="20"/>
          <w:szCs w:val="20"/>
        </w:rPr>
        <w:t>approved by the Institutional Review Board of our institution</w:t>
      </w:r>
      <w:r w:rsidR="00BD6E7D" w:rsidRPr="00A14B67">
        <w:rPr>
          <w:rFonts w:ascii="Arial" w:hAnsi="Arial" w:cs="Arial"/>
          <w:sz w:val="20"/>
          <w:szCs w:val="20"/>
        </w:rPr>
        <w:t xml:space="preserve"> and </w:t>
      </w:r>
      <w:r w:rsidRPr="00A14B67">
        <w:rPr>
          <w:rFonts w:ascii="Arial" w:hAnsi="Arial" w:cs="Arial"/>
          <w:sz w:val="20"/>
          <w:szCs w:val="20"/>
        </w:rPr>
        <w:t>written consent was obtained from all participating patients)</w:t>
      </w:r>
      <w:r w:rsidR="00BD6E7D" w:rsidRPr="00A14B67">
        <w:rPr>
          <w:rFonts w:ascii="Arial" w:hAnsi="Arial" w:cs="Arial"/>
          <w:sz w:val="20"/>
          <w:szCs w:val="20"/>
        </w:rPr>
        <w:t xml:space="preserve"> using </w:t>
      </w:r>
      <w:r w:rsidRPr="00A14B67">
        <w:rPr>
          <w:rFonts w:ascii="Arial" w:hAnsi="Arial" w:cs="Arial"/>
          <w:sz w:val="20"/>
          <w:szCs w:val="20"/>
        </w:rPr>
        <w:t xml:space="preserve">3D DCE-US was used as pilot </w:t>
      </w:r>
      <w:r w:rsidR="007405FE" w:rsidRPr="00A14B67">
        <w:rPr>
          <w:rFonts w:ascii="Arial" w:hAnsi="Arial" w:cs="Arial"/>
          <w:sz w:val="20"/>
          <w:szCs w:val="20"/>
        </w:rPr>
        <w:t xml:space="preserve">proof-of-concept </w:t>
      </w:r>
      <w:r w:rsidRPr="00A14B67">
        <w:rPr>
          <w:rFonts w:ascii="Arial" w:hAnsi="Arial" w:cs="Arial"/>
          <w:sz w:val="20"/>
          <w:szCs w:val="20"/>
        </w:rPr>
        <w:t xml:space="preserve">preliminary </w:t>
      </w:r>
      <w:r w:rsidR="00BD6E7D" w:rsidRPr="00A14B67">
        <w:rPr>
          <w:rFonts w:ascii="Arial" w:hAnsi="Arial" w:cs="Arial"/>
          <w:sz w:val="20"/>
          <w:szCs w:val="20"/>
        </w:rPr>
        <w:t xml:space="preserve">data </w:t>
      </w:r>
      <w:r w:rsidRPr="00A14B67">
        <w:rPr>
          <w:rFonts w:ascii="Arial" w:hAnsi="Arial" w:cs="Arial"/>
          <w:sz w:val="20"/>
          <w:szCs w:val="20"/>
        </w:rPr>
        <w:t xml:space="preserve">for this study to determine if treatment response could be predicted based on perfusion changes assessed with 3D DCE-US </w:t>
      </w:r>
      <w:r w:rsidR="00BD6E7D" w:rsidRPr="00A14B67">
        <w:rPr>
          <w:rFonts w:ascii="Arial" w:hAnsi="Arial" w:cs="Arial"/>
          <w:sz w:val="20"/>
          <w:szCs w:val="20"/>
        </w:rPr>
        <w:t>radiomics in patients with meta</w:t>
      </w:r>
      <w:r w:rsidRPr="00A14B67">
        <w:rPr>
          <w:rFonts w:ascii="Arial" w:hAnsi="Arial" w:cs="Arial"/>
          <w:sz w:val="20"/>
          <w:szCs w:val="20"/>
        </w:rPr>
        <w:t>st</w:t>
      </w:r>
      <w:r w:rsidR="00BD6E7D" w:rsidRPr="00A14B67">
        <w:rPr>
          <w:rFonts w:ascii="Arial" w:hAnsi="Arial" w:cs="Arial"/>
          <w:sz w:val="20"/>
          <w:szCs w:val="20"/>
        </w:rPr>
        <w:t>a</w:t>
      </w:r>
      <w:r w:rsidRPr="00A14B67">
        <w:rPr>
          <w:rFonts w:ascii="Arial" w:hAnsi="Arial" w:cs="Arial"/>
          <w:sz w:val="20"/>
          <w:szCs w:val="20"/>
        </w:rPr>
        <w:t xml:space="preserve">tic liver cancer receiving </w:t>
      </w:r>
      <w:r w:rsidR="00BD6E7D" w:rsidRPr="00A14B67">
        <w:rPr>
          <w:rFonts w:ascii="Arial" w:hAnsi="Arial" w:cs="Arial"/>
          <w:sz w:val="20"/>
          <w:szCs w:val="20"/>
        </w:rPr>
        <w:t>treatment.</w:t>
      </w:r>
      <w:r w:rsidRPr="00A14B67">
        <w:t xml:space="preserve"> </w:t>
      </w:r>
      <w:r w:rsidR="003F503B" w:rsidRPr="00A14B67">
        <w:rPr>
          <w:rFonts w:ascii="Arial" w:hAnsi="Arial" w:cs="Arial"/>
          <w:sz w:val="20"/>
          <w:szCs w:val="20"/>
        </w:rPr>
        <w:t xml:space="preserve">For this purpose, data from </w:t>
      </w:r>
      <w:r w:rsidR="007405FE" w:rsidRPr="00A14B67">
        <w:rPr>
          <w:rFonts w:ascii="Arial" w:hAnsi="Arial" w:cs="Arial"/>
          <w:sz w:val="20"/>
          <w:szCs w:val="20"/>
        </w:rPr>
        <w:t>9</w:t>
      </w:r>
      <w:r w:rsidR="003F503B" w:rsidRPr="00A14B67">
        <w:rPr>
          <w:rFonts w:ascii="Arial" w:hAnsi="Arial" w:cs="Arial"/>
          <w:sz w:val="20"/>
          <w:szCs w:val="20"/>
        </w:rPr>
        <w:t xml:space="preserve"> adults were </w:t>
      </w:r>
      <w:r w:rsidR="002F334D" w:rsidRPr="00A14B67">
        <w:rPr>
          <w:rFonts w:ascii="Arial" w:hAnsi="Arial" w:cs="Arial"/>
          <w:sz w:val="20"/>
          <w:szCs w:val="20"/>
        </w:rPr>
        <w:t xml:space="preserve">used. </w:t>
      </w:r>
      <w:r w:rsidR="003F503B" w:rsidRPr="00A14B67">
        <w:rPr>
          <w:rFonts w:ascii="Arial" w:hAnsi="Arial" w:cs="Arial"/>
          <w:sz w:val="20"/>
          <w:szCs w:val="20"/>
        </w:rPr>
        <w:t xml:space="preserve">Inclusion criteria were: provide written consent, willing to comply with protocol, at least 18 years of age or older, and at least one liver metastasis </w:t>
      </w:r>
      <w:r w:rsidR="007A3563" w:rsidRPr="00A14B67">
        <w:rPr>
          <w:rFonts w:ascii="Arial" w:hAnsi="Arial" w:cs="Arial"/>
          <w:sz w:val="20"/>
          <w:szCs w:val="20"/>
        </w:rPr>
        <w:t xml:space="preserve">from a gastrointestinal or pancreatic primary tumor </w:t>
      </w:r>
      <w:r w:rsidR="003F503B" w:rsidRPr="00A14B67">
        <w:rPr>
          <w:rFonts w:ascii="Arial" w:hAnsi="Arial" w:cs="Arial"/>
          <w:sz w:val="20"/>
          <w:szCs w:val="20"/>
        </w:rPr>
        <w:t>confirmed with MRI</w:t>
      </w:r>
      <w:r w:rsidR="007A3563" w:rsidRPr="00A14B67">
        <w:rPr>
          <w:rFonts w:ascii="Arial" w:hAnsi="Arial" w:cs="Arial"/>
          <w:sz w:val="20"/>
          <w:szCs w:val="20"/>
        </w:rPr>
        <w:t xml:space="preserve"> or </w:t>
      </w:r>
      <w:r w:rsidR="003F503B" w:rsidRPr="00A14B67">
        <w:rPr>
          <w:rFonts w:ascii="Arial" w:hAnsi="Arial" w:cs="Arial"/>
          <w:sz w:val="20"/>
          <w:szCs w:val="20"/>
        </w:rPr>
        <w:t xml:space="preserve">CT. A clinical oncologist referred each patient after introducing the study to the patient. Exclusion criteria were: documented anaphylactic or other severe reaction to any contrast media; pregnant or lactating patients; and patients with cardiac shunts or presence of severe pulmonary hypertension. Exclusions are based on contraindication for ultrasound contrast agent. No patient was excluded due to the exclusion criteria. </w:t>
      </w:r>
      <w:r w:rsidR="00C87986" w:rsidRPr="00A14B67">
        <w:rPr>
          <w:rFonts w:ascii="Arial" w:hAnsi="Arial" w:cs="Arial"/>
          <w:sz w:val="20"/>
          <w:szCs w:val="20"/>
        </w:rPr>
        <w:t xml:space="preserve">Included patients </w:t>
      </w:r>
      <w:r w:rsidR="006C0683" w:rsidRPr="00A14B67">
        <w:rPr>
          <w:rFonts w:ascii="Arial" w:hAnsi="Arial" w:cs="Arial"/>
          <w:sz w:val="20"/>
          <w:szCs w:val="20"/>
        </w:rPr>
        <w:t>are summarized in Table 2</w:t>
      </w:r>
      <w:r w:rsidR="00C87986" w:rsidRPr="00A14B67">
        <w:rPr>
          <w:rFonts w:ascii="Arial" w:hAnsi="Arial" w:cs="Arial"/>
          <w:sz w:val="20"/>
          <w:szCs w:val="20"/>
        </w:rPr>
        <w:t xml:space="preserve">. </w:t>
      </w:r>
      <w:r w:rsidR="00FE35B6" w:rsidRPr="00A14B67">
        <w:rPr>
          <w:rFonts w:ascii="Arial" w:hAnsi="Arial" w:cs="Arial"/>
          <w:sz w:val="20"/>
          <w:szCs w:val="20"/>
        </w:rPr>
        <w:t>All</w:t>
      </w:r>
      <w:r w:rsidR="007A3563" w:rsidRPr="00A14B67">
        <w:rPr>
          <w:rFonts w:ascii="Arial" w:hAnsi="Arial" w:cs="Arial"/>
          <w:sz w:val="20"/>
          <w:szCs w:val="20"/>
        </w:rPr>
        <w:t>l</w:t>
      </w:r>
      <w:r w:rsidR="003F503B" w:rsidRPr="00A14B67">
        <w:rPr>
          <w:rFonts w:ascii="Arial" w:hAnsi="Arial" w:cs="Arial"/>
          <w:sz w:val="20"/>
          <w:szCs w:val="20"/>
        </w:rPr>
        <w:t xml:space="preserve"> patients</w:t>
      </w:r>
      <w:r w:rsidR="007A3563" w:rsidRPr="00A14B67">
        <w:rPr>
          <w:rFonts w:ascii="Arial" w:hAnsi="Arial" w:cs="Arial"/>
          <w:sz w:val="20"/>
          <w:szCs w:val="20"/>
        </w:rPr>
        <w:t xml:space="preserve"> were scanned on Day 0 before initiating treatment</w:t>
      </w:r>
      <w:r w:rsidR="003F503B" w:rsidRPr="00A14B67">
        <w:rPr>
          <w:rFonts w:ascii="Arial" w:hAnsi="Arial" w:cs="Arial"/>
          <w:sz w:val="20"/>
          <w:szCs w:val="20"/>
        </w:rPr>
        <w:t xml:space="preserve">, </w:t>
      </w:r>
      <w:r w:rsidR="002F4CC0" w:rsidRPr="00A14B67">
        <w:rPr>
          <w:rFonts w:ascii="Arial" w:hAnsi="Arial" w:cs="Arial"/>
          <w:sz w:val="20"/>
          <w:szCs w:val="20"/>
        </w:rPr>
        <w:t>and</w:t>
      </w:r>
      <w:r w:rsidR="007A3563" w:rsidRPr="00A14B67">
        <w:rPr>
          <w:rFonts w:ascii="Arial" w:hAnsi="Arial" w:cs="Arial"/>
          <w:sz w:val="20"/>
          <w:szCs w:val="20"/>
        </w:rPr>
        <w:t xml:space="preserve"> </w:t>
      </w:r>
      <w:r w:rsidR="00254AD8" w:rsidRPr="00A14B67">
        <w:rPr>
          <w:rFonts w:ascii="Arial" w:hAnsi="Arial" w:cs="Arial"/>
          <w:sz w:val="20"/>
          <w:szCs w:val="20"/>
        </w:rPr>
        <w:t xml:space="preserve">within 14 days </w:t>
      </w:r>
      <m:oMath>
        <m:r>
          <w:rPr>
            <w:rFonts w:ascii="Cambria Math" w:hAnsi="Cambria Math" w:cs="Arial"/>
            <w:sz w:val="20"/>
            <w:szCs w:val="20"/>
          </w:rPr>
          <m:t>±</m:t>
        </m:r>
      </m:oMath>
      <w:r w:rsidR="00254AD8" w:rsidRPr="00A14B67">
        <w:rPr>
          <w:rFonts w:ascii="Arial" w:eastAsiaTheme="minorEastAsia" w:hAnsi="Arial" w:cs="Arial"/>
          <w:sz w:val="20"/>
          <w:szCs w:val="20"/>
        </w:rPr>
        <w:t xml:space="preserve"> 5 days </w:t>
      </w:r>
      <w:r w:rsidR="007A3563" w:rsidRPr="00A14B67">
        <w:rPr>
          <w:rFonts w:ascii="Arial" w:hAnsi="Arial" w:cs="Arial"/>
          <w:sz w:val="20"/>
          <w:szCs w:val="20"/>
        </w:rPr>
        <w:t xml:space="preserve">after </w:t>
      </w:r>
      <w:r w:rsidR="00C87986" w:rsidRPr="00A14B67">
        <w:rPr>
          <w:rFonts w:ascii="Arial" w:hAnsi="Arial" w:cs="Arial"/>
          <w:sz w:val="20"/>
          <w:szCs w:val="20"/>
        </w:rPr>
        <w:t>therapy start</w:t>
      </w:r>
      <w:r w:rsidR="003F503B" w:rsidRPr="00A14B67">
        <w:rPr>
          <w:rFonts w:ascii="Arial" w:hAnsi="Arial" w:cs="Arial"/>
          <w:sz w:val="20"/>
          <w:szCs w:val="20"/>
        </w:rPr>
        <w:t xml:space="preserve">. </w:t>
      </w:r>
      <w:r w:rsidR="00C87986" w:rsidRPr="00A14B67">
        <w:rPr>
          <w:rFonts w:ascii="Arial" w:hAnsi="Arial" w:cs="Arial"/>
          <w:sz w:val="20"/>
          <w:szCs w:val="20"/>
        </w:rPr>
        <w:t xml:space="preserve">At the end of the </w:t>
      </w:r>
      <w:r w:rsidR="002F4CC0" w:rsidRPr="00A14B67">
        <w:rPr>
          <w:rFonts w:ascii="Arial" w:hAnsi="Arial" w:cs="Arial"/>
          <w:sz w:val="20"/>
          <w:szCs w:val="20"/>
        </w:rPr>
        <w:t>treatment</w:t>
      </w:r>
      <w:r w:rsidR="00C87986" w:rsidRPr="00A14B67">
        <w:rPr>
          <w:rFonts w:ascii="Arial" w:hAnsi="Arial" w:cs="Arial"/>
          <w:sz w:val="20"/>
          <w:szCs w:val="20"/>
        </w:rPr>
        <w:t xml:space="preserve"> cycle (around 60 days), treatment response was evaluated with a</w:t>
      </w:r>
      <w:r w:rsidR="002F4CC0" w:rsidRPr="00A14B67">
        <w:rPr>
          <w:rFonts w:ascii="Arial" w:hAnsi="Arial" w:cs="Arial"/>
          <w:sz w:val="20"/>
          <w:szCs w:val="20"/>
        </w:rPr>
        <w:t>n MRI/</w:t>
      </w:r>
      <w:r w:rsidR="00C87986" w:rsidRPr="00A14B67">
        <w:rPr>
          <w:rFonts w:ascii="Arial" w:hAnsi="Arial" w:cs="Arial"/>
          <w:sz w:val="20"/>
          <w:szCs w:val="20"/>
        </w:rPr>
        <w:t xml:space="preserve">CT scan using </w:t>
      </w:r>
      <w:r w:rsidR="00C87986" w:rsidRPr="00A14B67">
        <w:rPr>
          <w:rFonts w:ascii="Arial" w:hAnsi="Arial"/>
          <w:sz w:val="20"/>
          <w:szCs w:val="20"/>
        </w:rPr>
        <w:t>“Response Evaluation Criteria in Solid Tumors (RECIST 1.1)” which is based on visible anatomical changes in size of the lesion</w:t>
      </w:r>
      <w:r w:rsidR="00BD6E7D" w:rsidRPr="00A14B67">
        <w:rPr>
          <w:rFonts w:ascii="Arial" w:hAnsi="Arial"/>
          <w:sz w:val="20"/>
          <w:szCs w:val="20"/>
        </w:rPr>
        <w:t>s</w:t>
      </w:r>
      <w:r w:rsidR="00FE35B6" w:rsidRPr="00A14B67">
        <w:rPr>
          <w:rFonts w:ascii="Arial" w:hAnsi="Arial"/>
          <w:sz w:val="20"/>
          <w:szCs w:val="20"/>
        </w:rPr>
        <w:t xml:space="preserve"> </w:t>
      </w:r>
      <w:r w:rsidR="00FE35B6" w:rsidRPr="00A14B67">
        <w:rPr>
          <w:rFonts w:ascii="Arial" w:hAnsi="Arial"/>
          <w:sz w:val="20"/>
          <w:szCs w:val="20"/>
        </w:rPr>
        <w:fldChar w:fldCharType="begin" w:fldLock="1"/>
      </w:r>
      <w:r w:rsidR="003F04EF" w:rsidRPr="00A14B67">
        <w:rPr>
          <w:rFonts w:ascii="Arial" w:hAnsi="Arial"/>
          <w:sz w:val="20"/>
          <w:szCs w:val="20"/>
        </w:rPr>
        <w:instrText xml:space="preserve">ADDIN CSL_CITATION {"citationItems":[{"id":"ITEM-1","itemData":{"DOI":"10.1016/j.ejca.2008.10.026","ISSN":"09598049","abstract":"BACKGROUND\nAssessment of the change in tumour burden is an important feature of the clinical evaluation of cancer therapeutics: both tumour shrinkage (objective response) and disease progression are useful endpoints in clinical trials. Since RECIST was published in 2000, many investigators, cooperative groups, industry and government authorities have adopted these criteria in the assessment of treatment outcomes. However, a number of questions and issues have arisen which have led to the development of a revised RECIST guideline (version 1.1). Evidence for changes, summarised in separate papers in this special issue, has come from assessment of a large data warehouse (&gt;6500 patients), simulation studies and literature reviews. \n\nHIGHLIGHTS OF REVISED RECIST 1.1\nMajor changes include: Number of lesions to be assessed: based on evidence from numerous trial databases merged into a data warehouse for analysis purposes, the number of lesions required to assess tumour burden for response determination has been reduced from a maximum of 10 to a maximum of five total (and from five to two per organ, maximum). Assessment of pathological lymph nodes is now incorporated: nodes with a short axis of </w:instrText>
      </w:r>
      <w:r w:rsidR="003F04EF" w:rsidRPr="00A14B67">
        <w:rPr>
          <w:rFonts w:ascii="Cambria Math" w:hAnsi="Cambria Math" w:cs="Cambria Math"/>
          <w:sz w:val="20"/>
          <w:szCs w:val="20"/>
        </w:rPr>
        <w:instrText>⩾</w:instrText>
      </w:r>
      <w:r w:rsidR="003F04EF" w:rsidRPr="00A14B67">
        <w:rPr>
          <w:rFonts w:ascii="Arial" w:hAnsi="Arial"/>
          <w:sz w:val="20"/>
          <w:szCs w:val="20"/>
        </w:rPr>
        <w:instrText>15mm are considered measurable and assessable as target lesions. The short axis measurement should be included in the sum of lesions in calculation of tumour response. Nodes that shrink to &lt;10mm short axis are considered normal. Confirmation of response is required for trials with response primary endpoint but is no longer required in randomised studies since the control arm serves as appropriate means of interpretation of data. Disease progression is clarified in several aspects: in addition to the previous definition of progression in target disease of 20% increase in sum, a 5mm absolute increase is now required as well to guard against over calling PD when the total sum is very small. Furthermore, there is guidance offered on what constitutes ‘unequivocal progression’ of non-measurable/non-target disease, a source of confusion in the original RECIST guideline. Finally, a section on detection of new lesions, including the interpretation of FDG-PET scan assessment is included. Imaging guidance: the revised RECIST includes a new imaging appendix with updated recommendations on the optimal anatomical assessment of lesions. \n\nFUTURE WORK\nA key question considered by the RECIST Working Group in developing RECIST 1.1 was whether it was appropriate to move from anatomic unid…","author":[{"dropping-particle":"","family":"Eisenhauer","given":"E.A.","non-dropping-particle":"","parse-names":false,"suffix":""},{"dropping-particle":"","family":"Therasse","given":"P.","non-dropping-particle":"","parse-names":false,"suffix":""},{"dropping-particle":"","family":"Bogaerts","given":"J.","non-dropping-particle":"","parse-names":false,"suffix":""},{"dropping-particle":"","family":"Schwartz","given":"L.H.","non-dropping-particle":"","parse-names":false,"suffix":""},{"dropping-particle":"","family":"Sargent","given":"D.","non-dropping-particle":"","parse-names":false,"suffix":""},{"dropping-particle":"","family":"Ford","given":"R.","non-dropping-particle":"","parse-names":false,"suffix":""},{"dropping-particle":"","family":"Dancey","given":"J.","non-dropping-particle":"","parse-names":false,"suffix":""},{"dropping-particle":"","family":"Arbuck","given":"S.","non-dropping-particle":"","parse-names":false,"suffix":""},{"dropping-particle":"","family":"Gwyther","given":"S.","non-dropping-particle":"","parse-names":false,"suffix":""},{"dropping-particle":"","family":"Mooney","given":"M.","non-dropping-particle":"","parse-names":false,"suffix":""},{"dropping-particle":"","family":"Rubinstein","given":"L.","non-dropping-particle":"","parse-names":false,"suffix":""},{"dropping-particle":"","family":"Shankar","given":"L.","non-dropping-particle":"","parse-names":false,"suffix":""},{"dropping-particle":"","family":"Dodd","given":"L.","non-dropping-particle":"","parse-names":false,"suffix":""},{"dropping-particle":"","family":"Kaplan","given":"R.","non-dropping-particle":"","parse-names":false,"suffix":""},{"dropping-particle":"","family":"Lacombe","given":"D.","non-dropping-particle":"","parse-names":false,"suffix":""},{"dropping-particle":"","family":"Verweij","given":"J.","non-dropping-particle":"","parse-names":false,"suffix":""}],"container-title":"European Journal of Cancer","id":"ITEM-1","issue":"2","issued":{"date-parts":[["2009"]]},"page":"228-247","title":"New response evaluation criteria in solid tumours: Revised RECIST guideline (version 1.1)","type":"article-journal","volume":"45"},"uris":["http://www.mendeley.com/documents/?uuid=56a1e97a-493b-3d55-8987-80d81cfff7b0"]}],"mendeley":{"formattedCitation":"&lt;sup&gt;48&lt;/sup&gt;","plainTextFormattedCitation":"48","previouslyFormattedCitation":"&lt;i&gt;(48)&lt;/i&gt;"},"properties":{"noteIndex":0},"schema":"https://github.com/citation-style-language/schema/raw/master/csl-citation.json"}</w:instrText>
      </w:r>
      <w:r w:rsidR="00FE35B6" w:rsidRPr="00A14B67">
        <w:rPr>
          <w:rFonts w:ascii="Arial" w:hAnsi="Arial"/>
          <w:sz w:val="20"/>
          <w:szCs w:val="20"/>
        </w:rPr>
        <w:fldChar w:fldCharType="separate"/>
      </w:r>
      <w:r w:rsidR="003F04EF" w:rsidRPr="00A14B67">
        <w:rPr>
          <w:rFonts w:ascii="Arial" w:hAnsi="Arial"/>
          <w:noProof/>
          <w:sz w:val="20"/>
          <w:szCs w:val="20"/>
          <w:vertAlign w:val="superscript"/>
        </w:rPr>
        <w:t>48</w:t>
      </w:r>
      <w:r w:rsidR="00FE35B6" w:rsidRPr="00A14B67">
        <w:rPr>
          <w:rFonts w:ascii="Arial" w:hAnsi="Arial"/>
          <w:sz w:val="20"/>
          <w:szCs w:val="20"/>
        </w:rPr>
        <w:fldChar w:fldCharType="end"/>
      </w:r>
      <w:r w:rsidR="00C87986" w:rsidRPr="00A14B67">
        <w:rPr>
          <w:rFonts w:ascii="Arial" w:hAnsi="Arial"/>
          <w:sz w:val="20"/>
          <w:szCs w:val="20"/>
        </w:rPr>
        <w:t xml:space="preserve">. </w:t>
      </w:r>
      <w:r w:rsidR="00FE35B6" w:rsidRPr="00A14B67">
        <w:rPr>
          <w:rFonts w:ascii="Arial" w:hAnsi="Arial"/>
          <w:sz w:val="20"/>
          <w:szCs w:val="20"/>
        </w:rPr>
        <w:t>Briefly, t</w:t>
      </w:r>
      <w:r w:rsidR="00C87986" w:rsidRPr="00A14B67">
        <w:rPr>
          <w:rFonts w:ascii="Arial" w:hAnsi="Arial"/>
          <w:sz w:val="20"/>
          <w:szCs w:val="20"/>
        </w:rPr>
        <w:t xml:space="preserve">he </w:t>
      </w:r>
      <w:r w:rsidR="00BD6E7D" w:rsidRPr="00A14B67">
        <w:rPr>
          <w:rFonts w:ascii="Arial" w:hAnsi="Arial"/>
          <w:sz w:val="20"/>
          <w:szCs w:val="20"/>
        </w:rPr>
        <w:t xml:space="preserve">3D DCE US </w:t>
      </w:r>
      <w:r w:rsidR="00C87986" w:rsidRPr="00A14B67">
        <w:rPr>
          <w:rFonts w:ascii="Arial" w:hAnsi="Arial"/>
          <w:sz w:val="20"/>
          <w:szCs w:val="20"/>
        </w:rPr>
        <w:t>scanned</w:t>
      </w:r>
      <w:r w:rsidR="00BD6E7D" w:rsidRPr="00A14B67">
        <w:rPr>
          <w:rFonts w:ascii="Arial" w:hAnsi="Arial"/>
          <w:sz w:val="20"/>
          <w:szCs w:val="20"/>
        </w:rPr>
        <w:t xml:space="preserve"> liver</w:t>
      </w:r>
      <w:r w:rsidR="00C87986" w:rsidRPr="00A14B67">
        <w:rPr>
          <w:rFonts w:ascii="Arial" w:hAnsi="Arial"/>
          <w:sz w:val="20"/>
          <w:szCs w:val="20"/>
        </w:rPr>
        <w:t xml:space="preserve"> metastasis, among other tumor relevant lesions in the liver and</w:t>
      </w:r>
      <w:r w:rsidR="00BD6E7D" w:rsidRPr="00A14B67">
        <w:rPr>
          <w:rFonts w:ascii="Arial" w:hAnsi="Arial"/>
          <w:sz w:val="20"/>
          <w:szCs w:val="20"/>
        </w:rPr>
        <w:t>/or</w:t>
      </w:r>
      <w:r w:rsidR="00C87986" w:rsidRPr="00A14B67">
        <w:rPr>
          <w:rFonts w:ascii="Arial" w:hAnsi="Arial"/>
          <w:sz w:val="20"/>
          <w:szCs w:val="20"/>
        </w:rPr>
        <w:t xml:space="preserve"> other organs, was identified in the baseline CT scan</w:t>
      </w:r>
      <w:r w:rsidR="00BD6E7D" w:rsidRPr="00A14B67">
        <w:rPr>
          <w:rFonts w:ascii="Arial" w:hAnsi="Arial"/>
          <w:sz w:val="20"/>
          <w:szCs w:val="20"/>
        </w:rPr>
        <w:t xml:space="preserve"> before treatment start</w:t>
      </w:r>
      <w:r w:rsidR="00C87986" w:rsidRPr="00A14B67">
        <w:rPr>
          <w:rFonts w:ascii="Arial" w:hAnsi="Arial"/>
          <w:sz w:val="20"/>
          <w:szCs w:val="20"/>
        </w:rPr>
        <w:t xml:space="preserve"> as “</w:t>
      </w:r>
      <w:r w:rsidR="008A7A4E" w:rsidRPr="00A14B67">
        <w:rPr>
          <w:rFonts w:ascii="Arial" w:hAnsi="Arial"/>
          <w:sz w:val="20"/>
          <w:szCs w:val="20"/>
        </w:rPr>
        <w:t>t</w:t>
      </w:r>
      <w:r w:rsidR="00C87986" w:rsidRPr="00A14B67">
        <w:rPr>
          <w:rFonts w:ascii="Arial" w:hAnsi="Arial"/>
          <w:sz w:val="20"/>
          <w:szCs w:val="20"/>
        </w:rPr>
        <w:t xml:space="preserve">arget </w:t>
      </w:r>
      <w:r w:rsidR="008A7A4E" w:rsidRPr="00A14B67">
        <w:rPr>
          <w:rFonts w:ascii="Arial" w:hAnsi="Arial"/>
          <w:sz w:val="20"/>
          <w:szCs w:val="20"/>
        </w:rPr>
        <w:t>l</w:t>
      </w:r>
      <w:r w:rsidR="00C87986" w:rsidRPr="00A14B67">
        <w:rPr>
          <w:rFonts w:ascii="Arial" w:hAnsi="Arial"/>
          <w:sz w:val="20"/>
          <w:szCs w:val="20"/>
        </w:rPr>
        <w:t>esion” and</w:t>
      </w:r>
      <w:r w:rsidR="003953F5" w:rsidRPr="00A14B67">
        <w:rPr>
          <w:rFonts w:ascii="Arial" w:hAnsi="Arial"/>
          <w:sz w:val="20"/>
          <w:szCs w:val="20"/>
        </w:rPr>
        <w:t xml:space="preserve"> the size of </w:t>
      </w:r>
      <w:r w:rsidR="008A7A4E" w:rsidRPr="00A14B67">
        <w:rPr>
          <w:rFonts w:ascii="Arial" w:hAnsi="Arial"/>
          <w:sz w:val="20"/>
          <w:szCs w:val="20"/>
        </w:rPr>
        <w:t>all</w:t>
      </w:r>
      <w:r w:rsidR="003953F5" w:rsidRPr="00A14B67">
        <w:rPr>
          <w:rFonts w:ascii="Arial" w:hAnsi="Arial"/>
          <w:sz w:val="20"/>
          <w:szCs w:val="20"/>
        </w:rPr>
        <w:t xml:space="preserve"> </w:t>
      </w:r>
      <w:r w:rsidR="008A7A4E" w:rsidRPr="00A14B67">
        <w:rPr>
          <w:rFonts w:ascii="Arial" w:hAnsi="Arial"/>
          <w:sz w:val="20"/>
          <w:szCs w:val="20"/>
        </w:rPr>
        <w:t>t</w:t>
      </w:r>
      <w:r w:rsidR="003953F5" w:rsidRPr="00A14B67">
        <w:rPr>
          <w:rFonts w:ascii="Arial" w:hAnsi="Arial"/>
          <w:sz w:val="20"/>
          <w:szCs w:val="20"/>
        </w:rPr>
        <w:t xml:space="preserve">arget </w:t>
      </w:r>
      <w:r w:rsidR="008A7A4E" w:rsidRPr="00A14B67">
        <w:rPr>
          <w:rFonts w:ascii="Arial" w:hAnsi="Arial"/>
          <w:sz w:val="20"/>
          <w:szCs w:val="20"/>
        </w:rPr>
        <w:t>l</w:t>
      </w:r>
      <w:r w:rsidR="003953F5" w:rsidRPr="00A14B67">
        <w:rPr>
          <w:rFonts w:ascii="Arial" w:hAnsi="Arial"/>
          <w:sz w:val="20"/>
          <w:szCs w:val="20"/>
        </w:rPr>
        <w:t xml:space="preserve">esions was again evaluated in the follow-up scan. The </w:t>
      </w:r>
      <w:r w:rsidR="008A7A4E" w:rsidRPr="00A14B67">
        <w:rPr>
          <w:rFonts w:ascii="Arial" w:hAnsi="Arial"/>
          <w:sz w:val="20"/>
          <w:szCs w:val="20"/>
        </w:rPr>
        <w:t xml:space="preserve">sum of </w:t>
      </w:r>
      <w:r w:rsidR="003953F5" w:rsidRPr="00A14B67">
        <w:rPr>
          <w:rFonts w:ascii="Arial" w:hAnsi="Arial"/>
          <w:sz w:val="20"/>
          <w:szCs w:val="20"/>
        </w:rPr>
        <w:t xml:space="preserve">diameter of all </w:t>
      </w:r>
      <w:r w:rsidR="008A7A4E" w:rsidRPr="00A14B67">
        <w:rPr>
          <w:rFonts w:ascii="Arial" w:hAnsi="Arial"/>
          <w:sz w:val="20"/>
          <w:szCs w:val="20"/>
        </w:rPr>
        <w:t>t</w:t>
      </w:r>
      <w:r w:rsidR="003953F5" w:rsidRPr="00A14B67">
        <w:rPr>
          <w:rFonts w:ascii="Arial" w:hAnsi="Arial"/>
          <w:sz w:val="20"/>
          <w:szCs w:val="20"/>
        </w:rPr>
        <w:t xml:space="preserve">arget </w:t>
      </w:r>
      <w:r w:rsidR="008A7A4E" w:rsidRPr="00A14B67">
        <w:rPr>
          <w:rFonts w:ascii="Arial" w:hAnsi="Arial"/>
          <w:sz w:val="20"/>
          <w:szCs w:val="20"/>
        </w:rPr>
        <w:t>l</w:t>
      </w:r>
      <w:r w:rsidR="003953F5" w:rsidRPr="00A14B67">
        <w:rPr>
          <w:rFonts w:ascii="Arial" w:hAnsi="Arial"/>
          <w:sz w:val="20"/>
          <w:szCs w:val="20"/>
        </w:rPr>
        <w:t>esions was assessed and treatment response</w:t>
      </w:r>
      <w:r w:rsidR="004F159C" w:rsidRPr="00A14B67">
        <w:rPr>
          <w:rFonts w:ascii="Arial" w:hAnsi="Arial"/>
          <w:sz w:val="20"/>
          <w:szCs w:val="20"/>
        </w:rPr>
        <w:t xml:space="preserve"> classified as “Progressive Disease” (&gt;</w:t>
      </w:r>
      <w:r w:rsidR="008A7A4E" w:rsidRPr="00A14B67">
        <w:rPr>
          <w:rFonts w:ascii="Arial" w:hAnsi="Arial"/>
          <w:sz w:val="20"/>
          <w:szCs w:val="20"/>
        </w:rPr>
        <w:t>+</w:t>
      </w:r>
      <w:r w:rsidR="004F159C" w:rsidRPr="00A14B67">
        <w:rPr>
          <w:rFonts w:ascii="Arial" w:hAnsi="Arial"/>
          <w:sz w:val="20"/>
          <w:szCs w:val="20"/>
        </w:rPr>
        <w:t>20% or new lesion), “Stable Disease”(&lt;</w:t>
      </w:r>
      <w:r w:rsidR="008A7A4E" w:rsidRPr="00A14B67">
        <w:rPr>
          <w:rFonts w:ascii="Arial" w:hAnsi="Arial"/>
          <w:sz w:val="20"/>
          <w:szCs w:val="20"/>
        </w:rPr>
        <w:t>+</w:t>
      </w:r>
      <w:r w:rsidR="004F159C" w:rsidRPr="00A14B67">
        <w:rPr>
          <w:rFonts w:ascii="Arial" w:hAnsi="Arial"/>
          <w:sz w:val="20"/>
          <w:szCs w:val="20"/>
        </w:rPr>
        <w:t xml:space="preserve">20% to -30%), “Partial </w:t>
      </w:r>
      <w:r w:rsidR="008A7A4E" w:rsidRPr="00A14B67">
        <w:rPr>
          <w:rFonts w:ascii="Arial" w:hAnsi="Arial"/>
          <w:sz w:val="20"/>
          <w:szCs w:val="20"/>
        </w:rPr>
        <w:t>Response</w:t>
      </w:r>
      <w:r w:rsidR="004F159C" w:rsidRPr="00A14B67">
        <w:rPr>
          <w:rFonts w:ascii="Arial" w:hAnsi="Arial"/>
          <w:sz w:val="20"/>
          <w:szCs w:val="20"/>
        </w:rPr>
        <w:t xml:space="preserve">”(&gt;-30%), or </w:t>
      </w:r>
      <w:r w:rsidR="004F159C" w:rsidRPr="00A14B67">
        <w:rPr>
          <w:rFonts w:ascii="Arial" w:hAnsi="Arial"/>
          <w:sz w:val="20"/>
          <w:szCs w:val="20"/>
        </w:rPr>
        <w:lastRenderedPageBreak/>
        <w:t xml:space="preserve">“Complete </w:t>
      </w:r>
      <w:r w:rsidR="008A7A4E" w:rsidRPr="00A14B67">
        <w:rPr>
          <w:rFonts w:ascii="Arial" w:hAnsi="Arial"/>
          <w:sz w:val="20"/>
          <w:szCs w:val="20"/>
        </w:rPr>
        <w:t>Response</w:t>
      </w:r>
      <w:r w:rsidR="004F159C" w:rsidRPr="00A14B67">
        <w:rPr>
          <w:rFonts w:ascii="Arial" w:hAnsi="Arial"/>
          <w:sz w:val="20"/>
          <w:szCs w:val="20"/>
        </w:rPr>
        <w:t>”(all target lesions disappeared).</w:t>
      </w:r>
      <w:r w:rsidR="00C87986" w:rsidRPr="00A14B67">
        <w:rPr>
          <w:rFonts w:ascii="Arial" w:hAnsi="Arial"/>
          <w:sz w:val="20"/>
          <w:szCs w:val="20"/>
        </w:rPr>
        <w:t xml:space="preserve"> Based on that, patients</w:t>
      </w:r>
      <w:r w:rsidR="004F159C" w:rsidRPr="00A14B67">
        <w:rPr>
          <w:rFonts w:ascii="Arial" w:hAnsi="Arial"/>
          <w:sz w:val="20"/>
          <w:szCs w:val="20"/>
        </w:rPr>
        <w:t xml:space="preserve"> with “Progressive Disease” </w:t>
      </w:r>
      <w:r w:rsidR="00C87986" w:rsidRPr="00A14B67">
        <w:rPr>
          <w:rFonts w:ascii="Arial" w:hAnsi="Arial"/>
          <w:sz w:val="20"/>
          <w:szCs w:val="20"/>
        </w:rPr>
        <w:t xml:space="preserve">were categorized </w:t>
      </w:r>
      <w:r w:rsidR="004F159C" w:rsidRPr="00A14B67">
        <w:rPr>
          <w:rFonts w:ascii="Arial" w:hAnsi="Arial"/>
          <w:sz w:val="20"/>
          <w:szCs w:val="20"/>
        </w:rPr>
        <w:t xml:space="preserve">in </w:t>
      </w:r>
      <w:r w:rsidR="00BD6E7D" w:rsidRPr="00A14B67">
        <w:rPr>
          <w:rFonts w:ascii="Arial" w:hAnsi="Arial"/>
          <w:sz w:val="20"/>
          <w:szCs w:val="20"/>
        </w:rPr>
        <w:t>the current</w:t>
      </w:r>
      <w:r w:rsidR="004F159C" w:rsidRPr="00A14B67">
        <w:rPr>
          <w:rFonts w:ascii="Arial" w:hAnsi="Arial"/>
          <w:sz w:val="20"/>
          <w:szCs w:val="20"/>
        </w:rPr>
        <w:t xml:space="preserve"> study </w:t>
      </w:r>
      <w:r w:rsidR="00C87986" w:rsidRPr="00A14B67">
        <w:rPr>
          <w:rFonts w:ascii="Arial" w:hAnsi="Arial"/>
          <w:sz w:val="20"/>
          <w:szCs w:val="20"/>
        </w:rPr>
        <w:t>as non-responder (</w:t>
      </w:r>
      <w:r w:rsidR="004F159C" w:rsidRPr="00A14B67">
        <w:rPr>
          <w:rFonts w:ascii="Arial" w:hAnsi="Arial"/>
          <w:sz w:val="20"/>
          <w:szCs w:val="20"/>
        </w:rPr>
        <w:t>n=</w:t>
      </w:r>
      <w:r w:rsidR="001F308B" w:rsidRPr="00A14B67">
        <w:rPr>
          <w:rFonts w:ascii="Arial" w:hAnsi="Arial"/>
          <w:sz w:val="20"/>
          <w:szCs w:val="20"/>
        </w:rPr>
        <w:t>3</w:t>
      </w:r>
      <w:r w:rsidR="00C87986" w:rsidRPr="00A14B67">
        <w:rPr>
          <w:rFonts w:ascii="Arial" w:hAnsi="Arial"/>
          <w:sz w:val="20"/>
          <w:szCs w:val="20"/>
        </w:rPr>
        <w:t>)</w:t>
      </w:r>
      <w:r w:rsidR="004F159C" w:rsidRPr="00A14B67">
        <w:rPr>
          <w:rFonts w:ascii="Arial" w:hAnsi="Arial"/>
          <w:sz w:val="20"/>
          <w:szCs w:val="20"/>
        </w:rPr>
        <w:t>, and the rest as treatment responders (n=</w:t>
      </w:r>
      <w:r w:rsidR="001F308B" w:rsidRPr="00A14B67">
        <w:rPr>
          <w:rFonts w:ascii="Arial" w:hAnsi="Arial"/>
          <w:sz w:val="20"/>
          <w:szCs w:val="20"/>
        </w:rPr>
        <w:t>4</w:t>
      </w:r>
      <w:r w:rsidR="004F159C" w:rsidRPr="00A14B67">
        <w:rPr>
          <w:rFonts w:ascii="Arial" w:hAnsi="Arial"/>
          <w:sz w:val="20"/>
          <w:szCs w:val="20"/>
        </w:rPr>
        <w:t>)</w:t>
      </w:r>
      <w:r w:rsidR="00C87986" w:rsidRPr="00A14B67">
        <w:rPr>
          <w:rFonts w:ascii="Arial" w:hAnsi="Arial"/>
          <w:sz w:val="20"/>
          <w:szCs w:val="20"/>
        </w:rPr>
        <w:t>.</w:t>
      </w:r>
    </w:p>
    <w:p w14:paraId="1DEB5E7A" w14:textId="4869857E" w:rsidR="00915DA2" w:rsidRPr="00A14B67" w:rsidRDefault="00915DA2" w:rsidP="00915DA2">
      <w:pPr>
        <w:spacing w:line="420" w:lineRule="auto"/>
        <w:jc w:val="both"/>
        <w:rPr>
          <w:rFonts w:ascii="Arial" w:hAnsi="Arial" w:cs="Arial"/>
          <w:b/>
          <w:bCs/>
          <w:sz w:val="20"/>
          <w:szCs w:val="20"/>
        </w:rPr>
      </w:pPr>
      <w:r w:rsidRPr="00A14B67">
        <w:rPr>
          <w:rFonts w:ascii="Arial" w:hAnsi="Arial" w:cs="Arial"/>
          <w:b/>
          <w:bCs/>
          <w:sz w:val="20"/>
          <w:szCs w:val="20"/>
        </w:rPr>
        <w:t>SUPPLEMENTARY RESULTS</w:t>
      </w:r>
    </w:p>
    <w:p w14:paraId="74E18056" w14:textId="65233860" w:rsidR="00915DA2" w:rsidRPr="00A14B67" w:rsidRDefault="00915DA2" w:rsidP="00915DA2">
      <w:pPr>
        <w:spacing w:line="420" w:lineRule="auto"/>
        <w:jc w:val="both"/>
        <w:rPr>
          <w:rFonts w:ascii="Arial" w:hAnsi="Arial" w:cs="Arial"/>
          <w:b/>
          <w:bCs/>
          <w:sz w:val="20"/>
          <w:szCs w:val="20"/>
        </w:rPr>
      </w:pPr>
      <w:r w:rsidRPr="00A14B67">
        <w:rPr>
          <w:rFonts w:ascii="Arial" w:hAnsi="Arial" w:cs="Arial"/>
          <w:b/>
          <w:bCs/>
          <w:sz w:val="20"/>
          <w:szCs w:val="20"/>
        </w:rPr>
        <w:t>Classification rule for LDA model for 2 PCA components</w:t>
      </w:r>
      <w:r w:rsidR="00BD0A1E" w:rsidRPr="00A14B67">
        <w:rPr>
          <w:rFonts w:ascii="Arial" w:hAnsi="Arial" w:cs="Arial"/>
          <w:b/>
          <w:bCs/>
          <w:sz w:val="20"/>
          <w:szCs w:val="20"/>
        </w:rPr>
        <w:t xml:space="preserve"> (PCA-LDA2)</w:t>
      </w:r>
      <w:r w:rsidRPr="00A14B67">
        <w:rPr>
          <w:rFonts w:ascii="Arial" w:hAnsi="Arial" w:cs="Arial"/>
          <w:b/>
          <w:bCs/>
          <w:sz w:val="20"/>
          <w:szCs w:val="20"/>
        </w:rPr>
        <w:t>:</w:t>
      </w:r>
    </w:p>
    <w:p w14:paraId="087AA422" w14:textId="3522B79A" w:rsidR="00915DA2" w:rsidRPr="00A14B67" w:rsidRDefault="00915DA2" w:rsidP="00915DA2">
      <w:pPr>
        <w:jc w:val="center"/>
        <w:rPr>
          <w:rFonts w:ascii="Arial" w:hAnsi="Arial" w:cs="Arial"/>
        </w:rPr>
      </w:pPr>
      <m:oMathPara>
        <m:oMath>
          <m:r>
            <w:rPr>
              <w:rFonts w:ascii="Cambria Math" w:hAnsi="Cambria Math" w:cs="Arial"/>
            </w:rPr>
            <m:t>Y= (1.89)+(0.05)×X1+(-0.05)×X2</m:t>
          </m:r>
        </m:oMath>
      </m:oMathPara>
    </w:p>
    <w:p w14:paraId="26714BD7" w14:textId="77777777" w:rsidR="00915DA2" w:rsidRPr="00A14B67" w:rsidRDefault="00915DA2" w:rsidP="00915DA2">
      <w:pPr>
        <w:spacing w:line="420" w:lineRule="auto"/>
        <w:jc w:val="both"/>
        <w:rPr>
          <w:rFonts w:ascii="Arial" w:hAnsi="Arial" w:cs="Arial"/>
          <w:b/>
          <w:bCs/>
          <w:sz w:val="20"/>
          <w:szCs w:val="20"/>
        </w:rPr>
      </w:pPr>
    </w:p>
    <w:p w14:paraId="630B99AC" w14:textId="4F1349B4" w:rsidR="001F308B" w:rsidRPr="00A14B67" w:rsidRDefault="001F308B" w:rsidP="00A06A7D">
      <w:pPr>
        <w:spacing w:line="420" w:lineRule="auto"/>
        <w:jc w:val="both"/>
        <w:rPr>
          <w:rFonts w:ascii="Arial" w:hAnsi="Arial"/>
          <w:sz w:val="20"/>
          <w:szCs w:val="20"/>
        </w:rPr>
      </w:pPr>
    </w:p>
    <w:p w14:paraId="31FF5FA6" w14:textId="2D05344E" w:rsidR="001F308B" w:rsidRPr="00A14B67" w:rsidRDefault="001F308B" w:rsidP="00A06A7D">
      <w:pPr>
        <w:spacing w:line="420" w:lineRule="auto"/>
        <w:jc w:val="both"/>
        <w:rPr>
          <w:rFonts w:ascii="Arial" w:hAnsi="Arial"/>
          <w:sz w:val="20"/>
          <w:szCs w:val="20"/>
        </w:rPr>
      </w:pPr>
    </w:p>
    <w:p w14:paraId="3BB45560" w14:textId="085228A7" w:rsidR="001F308B" w:rsidRPr="00A14B67" w:rsidRDefault="001F308B" w:rsidP="00A06A7D">
      <w:pPr>
        <w:spacing w:line="420" w:lineRule="auto"/>
        <w:jc w:val="both"/>
        <w:rPr>
          <w:rFonts w:ascii="Arial" w:hAnsi="Arial"/>
          <w:sz w:val="20"/>
          <w:szCs w:val="20"/>
        </w:rPr>
      </w:pPr>
    </w:p>
    <w:p w14:paraId="52EE4391" w14:textId="19A2F4A9" w:rsidR="00BE5E43" w:rsidRPr="00A14B67" w:rsidRDefault="00BE5E43" w:rsidP="00A06A7D">
      <w:pPr>
        <w:spacing w:line="420" w:lineRule="auto"/>
        <w:jc w:val="both"/>
        <w:rPr>
          <w:rFonts w:ascii="Arial" w:hAnsi="Arial"/>
          <w:sz w:val="20"/>
          <w:szCs w:val="20"/>
        </w:rPr>
      </w:pPr>
    </w:p>
    <w:p w14:paraId="1B90A8DA" w14:textId="23862791" w:rsidR="00BE5E43" w:rsidRPr="00A14B67" w:rsidRDefault="00BE5E43" w:rsidP="00A06A7D">
      <w:pPr>
        <w:spacing w:line="420" w:lineRule="auto"/>
        <w:jc w:val="both"/>
        <w:rPr>
          <w:rFonts w:ascii="Arial" w:hAnsi="Arial"/>
          <w:sz w:val="20"/>
          <w:szCs w:val="20"/>
        </w:rPr>
      </w:pPr>
    </w:p>
    <w:p w14:paraId="7DC95167" w14:textId="41EDDDBD" w:rsidR="001F308B" w:rsidRPr="00A14B67" w:rsidRDefault="001F308B" w:rsidP="00A06A7D">
      <w:pPr>
        <w:spacing w:line="420" w:lineRule="auto"/>
        <w:jc w:val="both"/>
        <w:rPr>
          <w:rFonts w:ascii="Arial" w:hAnsi="Arial" w:cs="Arial"/>
          <w:sz w:val="20"/>
          <w:szCs w:val="20"/>
        </w:rPr>
      </w:pPr>
    </w:p>
    <w:p w14:paraId="5D6069BC" w14:textId="1B9CBD4F" w:rsidR="00D95CFE" w:rsidRPr="00A14B67" w:rsidRDefault="00D95CFE" w:rsidP="00A06A7D">
      <w:pPr>
        <w:spacing w:line="420" w:lineRule="auto"/>
        <w:jc w:val="both"/>
        <w:rPr>
          <w:rFonts w:ascii="Arial" w:hAnsi="Arial" w:cs="Arial"/>
          <w:sz w:val="20"/>
          <w:szCs w:val="20"/>
        </w:rPr>
      </w:pPr>
    </w:p>
    <w:p w14:paraId="67173E43" w14:textId="01BC83E2" w:rsidR="00E06B99" w:rsidRPr="00A14B67" w:rsidRDefault="00E06B99" w:rsidP="00A06A7D">
      <w:pPr>
        <w:spacing w:line="420" w:lineRule="auto"/>
        <w:jc w:val="both"/>
        <w:rPr>
          <w:rFonts w:ascii="Arial" w:hAnsi="Arial" w:cs="Arial"/>
          <w:sz w:val="20"/>
          <w:szCs w:val="20"/>
        </w:rPr>
      </w:pPr>
    </w:p>
    <w:p w14:paraId="381C2C06" w14:textId="2BD1C17E" w:rsidR="00E06B99" w:rsidRPr="00A14B67" w:rsidRDefault="00E06B99" w:rsidP="00A06A7D">
      <w:pPr>
        <w:spacing w:line="420" w:lineRule="auto"/>
        <w:jc w:val="both"/>
        <w:rPr>
          <w:rFonts w:ascii="Arial" w:hAnsi="Arial" w:cs="Arial"/>
          <w:sz w:val="20"/>
          <w:szCs w:val="20"/>
        </w:rPr>
      </w:pPr>
    </w:p>
    <w:p w14:paraId="28F8CB0D" w14:textId="6B92881D" w:rsidR="00E06B99" w:rsidRPr="00A14B67" w:rsidRDefault="00E06B99" w:rsidP="00A06A7D">
      <w:pPr>
        <w:spacing w:line="420" w:lineRule="auto"/>
        <w:jc w:val="both"/>
        <w:rPr>
          <w:rFonts w:ascii="Arial" w:hAnsi="Arial" w:cs="Arial"/>
          <w:sz w:val="20"/>
          <w:szCs w:val="20"/>
        </w:rPr>
      </w:pPr>
    </w:p>
    <w:p w14:paraId="6F7CAAEE" w14:textId="1CB669F8" w:rsidR="00E06B99" w:rsidRPr="00A14B67" w:rsidRDefault="00E06B99" w:rsidP="00A06A7D">
      <w:pPr>
        <w:spacing w:line="420" w:lineRule="auto"/>
        <w:jc w:val="both"/>
        <w:rPr>
          <w:rFonts w:ascii="Arial" w:hAnsi="Arial" w:cs="Arial"/>
          <w:sz w:val="20"/>
          <w:szCs w:val="20"/>
        </w:rPr>
      </w:pPr>
    </w:p>
    <w:p w14:paraId="1D0C0C2A" w14:textId="723B5C28" w:rsidR="00E06B99" w:rsidRPr="00A14B67" w:rsidRDefault="00E06B99" w:rsidP="00A06A7D">
      <w:pPr>
        <w:spacing w:line="420" w:lineRule="auto"/>
        <w:jc w:val="both"/>
        <w:rPr>
          <w:rFonts w:ascii="Arial" w:hAnsi="Arial" w:cs="Arial"/>
          <w:sz w:val="20"/>
          <w:szCs w:val="20"/>
        </w:rPr>
      </w:pPr>
    </w:p>
    <w:p w14:paraId="6A4B4D82" w14:textId="65E9727B" w:rsidR="00E06B99" w:rsidRPr="00A14B67" w:rsidRDefault="00E06B99" w:rsidP="00A06A7D">
      <w:pPr>
        <w:spacing w:line="420" w:lineRule="auto"/>
        <w:jc w:val="both"/>
        <w:rPr>
          <w:rFonts w:ascii="Arial" w:hAnsi="Arial" w:cs="Arial"/>
          <w:sz w:val="20"/>
          <w:szCs w:val="20"/>
        </w:rPr>
      </w:pPr>
    </w:p>
    <w:p w14:paraId="47D9B4FF" w14:textId="06016C16" w:rsidR="00E06B99" w:rsidRPr="00A14B67" w:rsidRDefault="00E06B99" w:rsidP="00A06A7D">
      <w:pPr>
        <w:spacing w:line="420" w:lineRule="auto"/>
        <w:jc w:val="both"/>
        <w:rPr>
          <w:rFonts w:ascii="Arial" w:hAnsi="Arial" w:cs="Arial"/>
          <w:sz w:val="20"/>
          <w:szCs w:val="20"/>
        </w:rPr>
      </w:pPr>
    </w:p>
    <w:p w14:paraId="7F9C4C79" w14:textId="2A2EBEE9" w:rsidR="00E06B99" w:rsidRPr="00A14B67" w:rsidRDefault="00E06B99" w:rsidP="00A06A7D">
      <w:pPr>
        <w:spacing w:line="420" w:lineRule="auto"/>
        <w:jc w:val="both"/>
        <w:rPr>
          <w:rFonts w:ascii="Arial" w:hAnsi="Arial" w:cs="Arial"/>
          <w:sz w:val="20"/>
          <w:szCs w:val="20"/>
        </w:rPr>
      </w:pPr>
    </w:p>
    <w:p w14:paraId="5E5EBB59" w14:textId="734622D7" w:rsidR="00E06B99" w:rsidRPr="00A14B67" w:rsidRDefault="00E06B99" w:rsidP="00A06A7D">
      <w:pPr>
        <w:spacing w:line="420" w:lineRule="auto"/>
        <w:jc w:val="both"/>
        <w:rPr>
          <w:rFonts w:ascii="Arial" w:hAnsi="Arial" w:cs="Arial"/>
          <w:sz w:val="20"/>
          <w:szCs w:val="20"/>
        </w:rPr>
      </w:pPr>
    </w:p>
    <w:p w14:paraId="64B38651" w14:textId="5634C723" w:rsidR="00E06B99" w:rsidRPr="00A14B67" w:rsidRDefault="00E06B99" w:rsidP="00A06A7D">
      <w:pPr>
        <w:spacing w:line="420" w:lineRule="auto"/>
        <w:jc w:val="both"/>
        <w:rPr>
          <w:rFonts w:ascii="Arial" w:hAnsi="Arial" w:cs="Arial"/>
          <w:sz w:val="20"/>
          <w:szCs w:val="20"/>
        </w:rPr>
      </w:pPr>
    </w:p>
    <w:p w14:paraId="41C87144" w14:textId="41AE1897" w:rsidR="00E06B99" w:rsidRPr="00A14B67" w:rsidRDefault="00E06B99" w:rsidP="00A06A7D">
      <w:pPr>
        <w:spacing w:line="420" w:lineRule="auto"/>
        <w:jc w:val="both"/>
        <w:rPr>
          <w:rFonts w:ascii="Arial" w:hAnsi="Arial" w:cs="Arial"/>
          <w:sz w:val="20"/>
          <w:szCs w:val="20"/>
        </w:rPr>
      </w:pPr>
    </w:p>
    <w:p w14:paraId="4EF23F5B" w14:textId="3E75727B" w:rsidR="00E06B99" w:rsidRPr="00A14B67" w:rsidRDefault="00E06B99" w:rsidP="00A06A7D">
      <w:pPr>
        <w:spacing w:line="420" w:lineRule="auto"/>
        <w:jc w:val="both"/>
        <w:rPr>
          <w:rFonts w:ascii="Arial" w:hAnsi="Arial" w:cs="Arial"/>
          <w:sz w:val="20"/>
          <w:szCs w:val="20"/>
        </w:rPr>
      </w:pPr>
    </w:p>
    <w:p w14:paraId="3AB5AC28" w14:textId="669A3B58" w:rsidR="00E06B99" w:rsidRPr="00A14B67" w:rsidRDefault="00E06B99" w:rsidP="00A06A7D">
      <w:pPr>
        <w:spacing w:line="420" w:lineRule="auto"/>
        <w:jc w:val="both"/>
        <w:rPr>
          <w:rFonts w:ascii="Arial" w:hAnsi="Arial" w:cs="Arial"/>
          <w:sz w:val="20"/>
          <w:szCs w:val="20"/>
        </w:rPr>
      </w:pPr>
    </w:p>
    <w:p w14:paraId="45E37D61" w14:textId="434DC6FB" w:rsidR="00E06B99" w:rsidRPr="00A14B67" w:rsidRDefault="00E06B99" w:rsidP="00A06A7D">
      <w:pPr>
        <w:spacing w:line="420" w:lineRule="auto"/>
        <w:jc w:val="both"/>
        <w:rPr>
          <w:rFonts w:ascii="Arial" w:hAnsi="Arial" w:cs="Arial"/>
          <w:sz w:val="20"/>
          <w:szCs w:val="20"/>
        </w:rPr>
      </w:pPr>
    </w:p>
    <w:p w14:paraId="19D775BC" w14:textId="79CC6C02" w:rsidR="00E06B99" w:rsidRPr="00A14B67" w:rsidRDefault="00E06B99" w:rsidP="00A06A7D">
      <w:pPr>
        <w:spacing w:line="420" w:lineRule="auto"/>
        <w:jc w:val="both"/>
        <w:rPr>
          <w:rFonts w:ascii="Arial" w:hAnsi="Arial" w:cs="Arial"/>
          <w:sz w:val="20"/>
          <w:szCs w:val="20"/>
        </w:rPr>
      </w:pPr>
    </w:p>
    <w:p w14:paraId="32588A34" w14:textId="09BAC1F0" w:rsidR="00E06B99" w:rsidRPr="00A14B67" w:rsidRDefault="00E06B99" w:rsidP="00A06A7D">
      <w:pPr>
        <w:spacing w:line="420" w:lineRule="auto"/>
        <w:jc w:val="both"/>
        <w:rPr>
          <w:rFonts w:ascii="Arial" w:hAnsi="Arial" w:cs="Arial"/>
          <w:sz w:val="20"/>
          <w:szCs w:val="20"/>
        </w:rPr>
      </w:pPr>
    </w:p>
    <w:p w14:paraId="5CAECDE2" w14:textId="391D2BB2" w:rsidR="00E06B99" w:rsidRPr="00A14B67" w:rsidRDefault="00E06B99" w:rsidP="00A06A7D">
      <w:pPr>
        <w:spacing w:line="420" w:lineRule="auto"/>
        <w:jc w:val="both"/>
        <w:rPr>
          <w:rFonts w:ascii="Arial" w:hAnsi="Arial" w:cs="Arial"/>
          <w:sz w:val="20"/>
          <w:szCs w:val="20"/>
        </w:rPr>
      </w:pPr>
    </w:p>
    <w:p w14:paraId="2F222847" w14:textId="4C6FF2C0" w:rsidR="00E06B99" w:rsidRPr="00A14B67" w:rsidRDefault="00E06B99" w:rsidP="00A06A7D">
      <w:pPr>
        <w:spacing w:line="420" w:lineRule="auto"/>
        <w:jc w:val="both"/>
        <w:rPr>
          <w:rFonts w:ascii="Arial" w:hAnsi="Arial" w:cs="Arial"/>
          <w:sz w:val="20"/>
          <w:szCs w:val="20"/>
        </w:rPr>
      </w:pPr>
    </w:p>
    <w:p w14:paraId="7DC08A1C" w14:textId="5E7F569F" w:rsidR="00E06B99" w:rsidRPr="00A14B67" w:rsidRDefault="00E06B99" w:rsidP="00A06A7D">
      <w:pPr>
        <w:spacing w:line="420" w:lineRule="auto"/>
        <w:jc w:val="both"/>
        <w:rPr>
          <w:rFonts w:ascii="Arial" w:hAnsi="Arial" w:cs="Arial"/>
          <w:sz w:val="20"/>
          <w:szCs w:val="20"/>
        </w:rPr>
      </w:pPr>
    </w:p>
    <w:p w14:paraId="562AF4BE" w14:textId="48FBF4D7" w:rsidR="00E06B99" w:rsidRPr="00A14B67" w:rsidRDefault="00E06B99" w:rsidP="00A06A7D">
      <w:pPr>
        <w:spacing w:line="420" w:lineRule="auto"/>
        <w:jc w:val="both"/>
        <w:rPr>
          <w:rFonts w:ascii="Arial" w:hAnsi="Arial" w:cs="Arial"/>
          <w:sz w:val="20"/>
          <w:szCs w:val="20"/>
        </w:rPr>
      </w:pPr>
    </w:p>
    <w:p w14:paraId="04ECB174" w14:textId="07605E59" w:rsidR="00E06B99" w:rsidRPr="00A14B67" w:rsidRDefault="00E06B99" w:rsidP="00A06A7D">
      <w:pPr>
        <w:spacing w:line="420" w:lineRule="auto"/>
        <w:jc w:val="both"/>
        <w:rPr>
          <w:rFonts w:ascii="Arial" w:hAnsi="Arial" w:cs="Arial"/>
          <w:sz w:val="20"/>
          <w:szCs w:val="20"/>
        </w:rPr>
      </w:pPr>
    </w:p>
    <w:p w14:paraId="17104072" w14:textId="65850D29" w:rsidR="00E06B99" w:rsidRPr="00A14B67" w:rsidRDefault="00E06B99" w:rsidP="00A06A7D">
      <w:pPr>
        <w:spacing w:line="420" w:lineRule="auto"/>
        <w:jc w:val="both"/>
        <w:rPr>
          <w:rFonts w:ascii="Arial" w:hAnsi="Arial" w:cs="Arial"/>
          <w:sz w:val="20"/>
          <w:szCs w:val="20"/>
        </w:rPr>
      </w:pPr>
    </w:p>
    <w:p w14:paraId="01662A8D" w14:textId="705E9142" w:rsidR="00930109" w:rsidRPr="00A14B67" w:rsidRDefault="00930109" w:rsidP="00B47606">
      <w:pPr>
        <w:pStyle w:val="Caption"/>
        <w:keepNext/>
        <w:spacing w:after="0"/>
        <w:rPr>
          <w:rFonts w:ascii="Arial" w:hAnsi="Arial" w:cs="Arial"/>
          <w:color w:val="000000" w:themeColor="text1"/>
          <w:sz w:val="20"/>
          <w:szCs w:val="20"/>
        </w:rPr>
      </w:pPr>
      <w:r w:rsidRPr="00A14B67">
        <w:rPr>
          <w:rFonts w:ascii="Arial" w:hAnsi="Arial" w:cs="Arial"/>
          <w:color w:val="000000" w:themeColor="text1"/>
          <w:sz w:val="20"/>
          <w:szCs w:val="20"/>
        </w:rPr>
        <w:lastRenderedPageBreak/>
        <w:t>SUPPLEMENTARY TABLES</w:t>
      </w:r>
    </w:p>
    <w:p w14:paraId="6AF4F130" w14:textId="77777777" w:rsidR="00930109" w:rsidRPr="00A14B67" w:rsidRDefault="00930109" w:rsidP="00B47606"/>
    <w:p w14:paraId="0AB6A745" w14:textId="61A7E76D" w:rsidR="00D95CFE" w:rsidRPr="00A14B67" w:rsidRDefault="00E06B99" w:rsidP="00B47606">
      <w:pPr>
        <w:pStyle w:val="Caption"/>
        <w:keepNext/>
        <w:spacing w:after="0"/>
        <w:rPr>
          <w:rFonts w:ascii="Arial" w:hAnsi="Arial" w:cs="Arial"/>
          <w:color w:val="000000" w:themeColor="text1"/>
        </w:rPr>
      </w:pPr>
      <w:r w:rsidRPr="00A14B67">
        <w:rPr>
          <w:rFonts w:ascii="Arial" w:hAnsi="Arial" w:cs="Arial"/>
          <w:color w:val="000000" w:themeColor="text1"/>
        </w:rPr>
        <w:t xml:space="preserve">Supplementary Table </w:t>
      </w:r>
      <w:r w:rsidRPr="00A14B67">
        <w:rPr>
          <w:rFonts w:ascii="Arial" w:hAnsi="Arial" w:cs="Arial"/>
          <w:color w:val="000000" w:themeColor="text1"/>
        </w:rPr>
        <w:fldChar w:fldCharType="begin"/>
      </w:r>
      <w:r w:rsidRPr="00A14B67">
        <w:rPr>
          <w:rFonts w:ascii="Arial" w:hAnsi="Arial" w:cs="Arial"/>
          <w:color w:val="000000" w:themeColor="text1"/>
        </w:rPr>
        <w:instrText xml:space="preserve"> SEQ Table \* ARABIC </w:instrText>
      </w:r>
      <w:r w:rsidRPr="00A14B67">
        <w:rPr>
          <w:rFonts w:ascii="Arial" w:hAnsi="Arial" w:cs="Arial"/>
          <w:color w:val="000000" w:themeColor="text1"/>
        </w:rPr>
        <w:fldChar w:fldCharType="separate"/>
      </w:r>
      <w:r w:rsidRPr="00A14B67">
        <w:rPr>
          <w:rFonts w:ascii="Arial" w:hAnsi="Arial" w:cs="Arial"/>
          <w:noProof/>
          <w:color w:val="000000" w:themeColor="text1"/>
        </w:rPr>
        <w:t>1</w:t>
      </w:r>
      <w:r w:rsidRPr="00A14B67">
        <w:rPr>
          <w:rFonts w:ascii="Arial" w:hAnsi="Arial" w:cs="Arial"/>
          <w:color w:val="000000" w:themeColor="text1"/>
        </w:rPr>
        <w:fldChar w:fldCharType="end"/>
      </w:r>
      <w:r w:rsidRPr="00A14B67">
        <w:rPr>
          <w:rFonts w:ascii="Arial" w:hAnsi="Arial" w:cs="Arial"/>
          <w:color w:val="000000" w:themeColor="text1"/>
        </w:rPr>
        <w:t>: Summary of texture features</w:t>
      </w:r>
    </w:p>
    <w:tbl>
      <w:tblPr>
        <w:tblStyle w:val="TableGrid"/>
        <w:tblpPr w:leftFromText="180" w:rightFromText="180" w:vertAnchor="text" w:horzAnchor="page" w:tblpX="820" w:tblpY="365"/>
        <w:tblW w:w="10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2"/>
        <w:gridCol w:w="2410"/>
        <w:gridCol w:w="4961"/>
      </w:tblGrid>
      <w:tr w:rsidR="00A91450" w:rsidRPr="00A14B67" w14:paraId="24FC2C72" w14:textId="77777777" w:rsidTr="00A91450">
        <w:tc>
          <w:tcPr>
            <w:tcW w:w="3532" w:type="dxa"/>
            <w:tcBorders>
              <w:bottom w:val="single" w:sz="4" w:space="0" w:color="auto"/>
            </w:tcBorders>
          </w:tcPr>
          <w:p w14:paraId="312E38C8" w14:textId="77777777" w:rsidR="00A91450" w:rsidRPr="00A14B67" w:rsidRDefault="00A91450" w:rsidP="00B47606">
            <w:pPr>
              <w:widowControl w:val="0"/>
              <w:autoSpaceDE w:val="0"/>
              <w:autoSpaceDN w:val="0"/>
              <w:adjustRightInd w:val="0"/>
              <w:rPr>
                <w:rFonts w:ascii="Arial" w:hAnsi="Arial" w:cs="Arial"/>
                <w:b/>
                <w:color w:val="000000"/>
                <w:sz w:val="18"/>
                <w:szCs w:val="18"/>
              </w:rPr>
            </w:pPr>
            <w:r w:rsidRPr="00A14B67">
              <w:rPr>
                <w:rFonts w:ascii="Arial" w:hAnsi="Arial" w:cs="Arial"/>
                <w:b/>
                <w:color w:val="000000"/>
                <w:sz w:val="18"/>
                <w:szCs w:val="18"/>
              </w:rPr>
              <w:t>Type</w:t>
            </w:r>
          </w:p>
        </w:tc>
        <w:tc>
          <w:tcPr>
            <w:tcW w:w="2410" w:type="dxa"/>
            <w:tcBorders>
              <w:bottom w:val="single" w:sz="4" w:space="0" w:color="auto"/>
            </w:tcBorders>
          </w:tcPr>
          <w:p w14:paraId="5545246D" w14:textId="77777777" w:rsidR="00A91450" w:rsidRPr="00A14B67" w:rsidRDefault="00A91450" w:rsidP="00B47606">
            <w:pPr>
              <w:widowControl w:val="0"/>
              <w:autoSpaceDE w:val="0"/>
              <w:autoSpaceDN w:val="0"/>
              <w:rPr>
                <w:rFonts w:ascii="Arial" w:hAnsi="Arial" w:cs="Arial"/>
                <w:b/>
                <w:sz w:val="18"/>
                <w:szCs w:val="18"/>
              </w:rPr>
            </w:pPr>
            <w:r w:rsidRPr="00A14B67">
              <w:rPr>
                <w:rFonts w:ascii="Arial" w:hAnsi="Arial" w:cs="Arial"/>
                <w:b/>
                <w:sz w:val="18"/>
                <w:szCs w:val="18"/>
              </w:rPr>
              <w:t>Description and Reference</w:t>
            </w:r>
          </w:p>
        </w:tc>
        <w:tc>
          <w:tcPr>
            <w:tcW w:w="4961" w:type="dxa"/>
            <w:tcBorders>
              <w:bottom w:val="single" w:sz="4" w:space="0" w:color="auto"/>
            </w:tcBorders>
          </w:tcPr>
          <w:p w14:paraId="58934648" w14:textId="77777777" w:rsidR="00A91450" w:rsidRPr="00A14B67" w:rsidRDefault="00A91450" w:rsidP="00B47606">
            <w:pPr>
              <w:widowControl w:val="0"/>
              <w:autoSpaceDE w:val="0"/>
              <w:autoSpaceDN w:val="0"/>
              <w:jc w:val="both"/>
              <w:rPr>
                <w:rFonts w:ascii="Arial" w:hAnsi="Arial" w:cs="Arial"/>
                <w:b/>
                <w:sz w:val="18"/>
                <w:szCs w:val="18"/>
              </w:rPr>
            </w:pPr>
            <w:r w:rsidRPr="00A14B67">
              <w:rPr>
                <w:rFonts w:ascii="Arial" w:hAnsi="Arial" w:cs="Arial"/>
                <w:b/>
                <w:sz w:val="18"/>
                <w:szCs w:val="18"/>
              </w:rPr>
              <w:t>Features</w:t>
            </w:r>
          </w:p>
        </w:tc>
      </w:tr>
      <w:tr w:rsidR="00A91450" w:rsidRPr="00A14B67" w14:paraId="619ED908" w14:textId="77777777" w:rsidTr="00A91450">
        <w:trPr>
          <w:trHeight w:val="1590"/>
        </w:trPr>
        <w:tc>
          <w:tcPr>
            <w:tcW w:w="3532" w:type="dxa"/>
            <w:tcBorders>
              <w:top w:val="single" w:sz="4" w:space="0" w:color="auto"/>
              <w:bottom w:val="single" w:sz="4" w:space="0" w:color="auto"/>
            </w:tcBorders>
          </w:tcPr>
          <w:p w14:paraId="7941E7A7" w14:textId="2AF75777" w:rsidR="00A91450" w:rsidRPr="00A14B67" w:rsidRDefault="00A91450" w:rsidP="00B47606">
            <w:pPr>
              <w:widowControl w:val="0"/>
              <w:autoSpaceDE w:val="0"/>
              <w:autoSpaceDN w:val="0"/>
              <w:adjustRightInd w:val="0"/>
              <w:rPr>
                <w:rFonts w:ascii="Arial" w:hAnsi="Arial" w:cs="Arial"/>
                <w:b/>
                <w:color w:val="000000"/>
                <w:sz w:val="18"/>
                <w:szCs w:val="18"/>
              </w:rPr>
            </w:pPr>
            <w:r w:rsidRPr="00A14B67">
              <w:rPr>
                <w:rFonts w:ascii="Arial" w:hAnsi="Arial" w:cs="Arial"/>
                <w:b/>
                <w:color w:val="000000"/>
                <w:sz w:val="18"/>
                <w:szCs w:val="18"/>
              </w:rPr>
              <w:t xml:space="preserve">Global features (first-order gray-level statistics) </w:t>
            </w:r>
          </w:p>
          <w:p w14:paraId="7060F47D" w14:textId="77777777" w:rsidR="00A91450" w:rsidRPr="00A14B67" w:rsidRDefault="00A91450" w:rsidP="00B47606">
            <w:pPr>
              <w:widowControl w:val="0"/>
              <w:autoSpaceDE w:val="0"/>
              <w:autoSpaceDN w:val="0"/>
              <w:adjustRightInd w:val="0"/>
              <w:rPr>
                <w:rFonts w:ascii="Arial" w:hAnsi="Arial" w:cs="Arial"/>
                <w:b/>
                <w:color w:val="000000"/>
                <w:sz w:val="18"/>
                <w:szCs w:val="18"/>
              </w:rPr>
            </w:pPr>
          </w:p>
          <w:p w14:paraId="5290654E" w14:textId="77777777" w:rsidR="00A91450" w:rsidRPr="00A14B67" w:rsidRDefault="00A91450"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Standard first order histogram-derived features.</w:t>
            </w:r>
          </w:p>
          <w:p w14:paraId="088B51F5" w14:textId="77777777" w:rsidR="00A91450" w:rsidRPr="00A14B67" w:rsidRDefault="00A91450" w:rsidP="00B47606">
            <w:pPr>
              <w:widowControl w:val="0"/>
              <w:autoSpaceDE w:val="0"/>
              <w:autoSpaceDN w:val="0"/>
              <w:adjustRightInd w:val="0"/>
              <w:rPr>
                <w:rFonts w:ascii="Arial" w:hAnsi="Arial" w:cs="Arial"/>
                <w:b/>
                <w:color w:val="000000"/>
                <w:sz w:val="18"/>
                <w:szCs w:val="18"/>
              </w:rPr>
            </w:pPr>
          </w:p>
        </w:tc>
        <w:tc>
          <w:tcPr>
            <w:tcW w:w="2410" w:type="dxa"/>
            <w:tcBorders>
              <w:top w:val="single" w:sz="4" w:space="0" w:color="auto"/>
              <w:bottom w:val="single" w:sz="4" w:space="0" w:color="auto"/>
            </w:tcBorders>
          </w:tcPr>
          <w:p w14:paraId="63D3D7B4" w14:textId="1C3BB432" w:rsidR="00A91450" w:rsidRPr="00A14B67" w:rsidRDefault="00A91450" w:rsidP="00B47606">
            <w:pPr>
              <w:widowControl w:val="0"/>
              <w:autoSpaceDE w:val="0"/>
              <w:autoSpaceDN w:val="0"/>
              <w:jc w:val="both"/>
              <w:rPr>
                <w:rFonts w:ascii="Arial" w:hAnsi="Arial" w:cs="Arial"/>
                <w:sz w:val="18"/>
                <w:szCs w:val="18"/>
              </w:rPr>
            </w:pPr>
          </w:p>
        </w:tc>
        <w:tc>
          <w:tcPr>
            <w:tcW w:w="4961" w:type="dxa"/>
            <w:tcBorders>
              <w:top w:val="single" w:sz="4" w:space="0" w:color="auto"/>
              <w:bottom w:val="single" w:sz="4" w:space="0" w:color="auto"/>
            </w:tcBorders>
          </w:tcPr>
          <w:p w14:paraId="5106FAF7" w14:textId="5BBDAF56"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Mean</w:t>
            </w:r>
          </w:p>
          <w:p w14:paraId="13D6C920" w14:textId="3D9B6AD7"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Median</w:t>
            </w:r>
          </w:p>
          <w:p w14:paraId="31EE799D" w14:textId="6198245D"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Mode</w:t>
            </w:r>
          </w:p>
          <w:p w14:paraId="24BC3D3A" w14:textId="0704093D"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Standard Deviation</w:t>
            </w:r>
          </w:p>
          <w:p w14:paraId="64858E98" w14:textId="2B196216" w:rsidR="00A91450" w:rsidRPr="00A14B67" w:rsidRDefault="00A91450"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Variance (1)</w:t>
            </w:r>
          </w:p>
          <w:p w14:paraId="72BC43B8" w14:textId="6BD7C1EC"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Skewness</w:t>
            </w:r>
          </w:p>
          <w:p w14:paraId="3B7ED644" w14:textId="1E20BEC3"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Kurtosis</w:t>
            </w:r>
          </w:p>
          <w:p w14:paraId="0BEEC240" w14:textId="69430439" w:rsidR="00A91450" w:rsidRPr="00A14B67" w:rsidRDefault="00A91450" w:rsidP="00B47606">
            <w:pPr>
              <w:widowControl w:val="0"/>
              <w:autoSpaceDE w:val="0"/>
              <w:autoSpaceDN w:val="0"/>
              <w:jc w:val="both"/>
              <w:rPr>
                <w:rFonts w:ascii="Arial" w:hAnsi="Arial" w:cs="Arial"/>
                <w:sz w:val="18"/>
                <w:szCs w:val="18"/>
              </w:rPr>
            </w:pPr>
            <w:r w:rsidRPr="00A14B67">
              <w:rPr>
                <w:rFonts w:ascii="Arial" w:hAnsi="Arial" w:cs="Arial"/>
                <w:color w:val="000000"/>
                <w:sz w:val="18"/>
                <w:szCs w:val="18"/>
              </w:rPr>
              <w:t>Entropy (1)</w:t>
            </w:r>
          </w:p>
        </w:tc>
      </w:tr>
      <w:tr w:rsidR="00A91450" w:rsidRPr="00A14B67" w14:paraId="691861E0" w14:textId="77777777" w:rsidTr="00A91450">
        <w:tc>
          <w:tcPr>
            <w:tcW w:w="3532" w:type="dxa"/>
            <w:tcBorders>
              <w:top w:val="single" w:sz="4" w:space="0" w:color="auto"/>
              <w:bottom w:val="single" w:sz="4" w:space="0" w:color="auto"/>
            </w:tcBorders>
          </w:tcPr>
          <w:p w14:paraId="25F8E232" w14:textId="77777777" w:rsidR="00A91450" w:rsidRPr="00A14B67" w:rsidRDefault="00A91450" w:rsidP="00B47606">
            <w:pPr>
              <w:widowControl w:val="0"/>
              <w:autoSpaceDE w:val="0"/>
              <w:autoSpaceDN w:val="0"/>
              <w:adjustRightInd w:val="0"/>
              <w:rPr>
                <w:rFonts w:ascii="Arial" w:hAnsi="Arial" w:cs="Arial"/>
                <w:b/>
                <w:color w:val="000000"/>
                <w:sz w:val="18"/>
                <w:szCs w:val="18"/>
              </w:rPr>
            </w:pPr>
            <w:r w:rsidRPr="00A14B67">
              <w:rPr>
                <w:rFonts w:ascii="Arial" w:hAnsi="Arial" w:cs="Arial"/>
                <w:b/>
                <w:color w:val="000000"/>
                <w:sz w:val="18"/>
                <w:szCs w:val="18"/>
              </w:rPr>
              <w:t xml:space="preserve">Gray-Level Co-occurrence Matrix (GLCM) </w:t>
            </w:r>
          </w:p>
          <w:p w14:paraId="580A6D48" w14:textId="77777777" w:rsidR="00A91450" w:rsidRPr="00A14B67" w:rsidRDefault="00A91450" w:rsidP="00B47606">
            <w:pPr>
              <w:widowControl w:val="0"/>
              <w:autoSpaceDE w:val="0"/>
              <w:autoSpaceDN w:val="0"/>
              <w:adjustRightInd w:val="0"/>
              <w:rPr>
                <w:rFonts w:ascii="Arial" w:hAnsi="Arial" w:cs="Arial"/>
                <w:color w:val="000000"/>
                <w:sz w:val="18"/>
                <w:szCs w:val="18"/>
              </w:rPr>
            </w:pPr>
          </w:p>
          <w:p w14:paraId="230F4A2F"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Most commonly used feature sets; uses a co-occurrence matrix looking at frequency of co-occurrence between two pixels using a set directionality and scale.</w:t>
            </w:r>
          </w:p>
        </w:tc>
        <w:tc>
          <w:tcPr>
            <w:tcW w:w="2410" w:type="dxa"/>
            <w:tcBorders>
              <w:top w:val="single" w:sz="4" w:space="0" w:color="auto"/>
              <w:bottom w:val="single" w:sz="4" w:space="0" w:color="auto"/>
            </w:tcBorders>
          </w:tcPr>
          <w:p w14:paraId="1C9DBD8D" w14:textId="5F6BDC47" w:rsidR="00A91450" w:rsidRPr="00A14B67" w:rsidRDefault="00A91450"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 xml:space="preserve">Haralick </w:t>
            </w:r>
            <w:r w:rsidRPr="00A14B67">
              <w:rPr>
                <w:rFonts w:ascii="Arial" w:hAnsi="Arial" w:cs="Arial"/>
                <w:i/>
                <w:iCs/>
                <w:color w:val="000000"/>
                <w:sz w:val="18"/>
                <w:szCs w:val="18"/>
              </w:rPr>
              <w:t xml:space="preserve">et al </w:t>
            </w:r>
            <w:r w:rsidRPr="00A14B67">
              <w:rPr>
                <w:rFonts w:ascii="Arial" w:hAnsi="Arial" w:cs="Arial"/>
                <w:color w:val="0000FF"/>
                <w:sz w:val="18"/>
                <w:szCs w:val="18"/>
              </w:rPr>
              <w:t>1973.</w:t>
            </w:r>
          </w:p>
        </w:tc>
        <w:tc>
          <w:tcPr>
            <w:tcW w:w="4961" w:type="dxa"/>
            <w:tcBorders>
              <w:top w:val="single" w:sz="4" w:space="0" w:color="auto"/>
              <w:bottom w:val="single" w:sz="4" w:space="0" w:color="auto"/>
            </w:tcBorders>
          </w:tcPr>
          <w:p w14:paraId="6A7D80D8" w14:textId="3B767757"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Energy</w:t>
            </w:r>
          </w:p>
          <w:p w14:paraId="6BC4C844" w14:textId="259E5A0F"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Contrast</w:t>
            </w:r>
            <w:r w:rsidR="00705171" w:rsidRPr="00A14B67">
              <w:rPr>
                <w:rFonts w:ascii="Arial" w:hAnsi="Arial" w:cs="Arial"/>
                <w:color w:val="000000"/>
                <w:sz w:val="18"/>
                <w:szCs w:val="18"/>
              </w:rPr>
              <w:t xml:space="preserve"> (1)</w:t>
            </w:r>
          </w:p>
          <w:p w14:paraId="7743C4D2" w14:textId="30B2E712"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Correlation</w:t>
            </w:r>
          </w:p>
          <w:p w14:paraId="7DE2B0AF" w14:textId="697D0B0B"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Homogeneity</w:t>
            </w:r>
          </w:p>
          <w:p w14:paraId="7CA12846" w14:textId="7D1DA3D9" w:rsidR="00A91450" w:rsidRPr="00A14B67" w:rsidRDefault="00A91450"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Variance (2)</w:t>
            </w:r>
          </w:p>
          <w:p w14:paraId="4D930BA0" w14:textId="742B76E2" w:rsidR="00A91450" w:rsidRPr="00A14B67" w:rsidRDefault="00A567FA"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Sum Average</w:t>
            </w:r>
          </w:p>
          <w:p w14:paraId="1D31DF41" w14:textId="427CAA06" w:rsidR="00A91450" w:rsidRPr="00A14B67" w:rsidRDefault="00A91450"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Entropy (2)</w:t>
            </w:r>
          </w:p>
          <w:p w14:paraId="1D4E8A32" w14:textId="3B8DD18A" w:rsidR="00A91450" w:rsidRPr="00A14B67" w:rsidRDefault="00A91450" w:rsidP="00B47606">
            <w:pPr>
              <w:widowControl w:val="0"/>
              <w:autoSpaceDE w:val="0"/>
              <w:autoSpaceDN w:val="0"/>
              <w:jc w:val="both"/>
              <w:rPr>
                <w:rFonts w:ascii="Arial" w:hAnsi="Arial" w:cs="Arial"/>
                <w:color w:val="000000"/>
                <w:sz w:val="18"/>
                <w:szCs w:val="18"/>
              </w:rPr>
            </w:pPr>
            <w:r w:rsidRPr="00A14B67">
              <w:rPr>
                <w:rFonts w:ascii="Arial" w:hAnsi="Arial" w:cs="Arial"/>
                <w:color w:val="000000"/>
                <w:sz w:val="18"/>
                <w:szCs w:val="18"/>
              </w:rPr>
              <w:t>Dissimilarit</w:t>
            </w:r>
            <w:r w:rsidR="00A567FA" w:rsidRPr="00A14B67">
              <w:rPr>
                <w:rFonts w:ascii="Arial" w:hAnsi="Arial" w:cs="Arial"/>
                <w:color w:val="000000"/>
                <w:sz w:val="18"/>
                <w:szCs w:val="18"/>
              </w:rPr>
              <w:t>y</w:t>
            </w:r>
          </w:p>
        </w:tc>
      </w:tr>
      <w:tr w:rsidR="00A91450" w:rsidRPr="00A14B67" w14:paraId="6088707D" w14:textId="77777777" w:rsidTr="00A91450">
        <w:trPr>
          <w:trHeight w:val="1171"/>
        </w:trPr>
        <w:tc>
          <w:tcPr>
            <w:tcW w:w="3532" w:type="dxa"/>
            <w:vMerge w:val="restart"/>
            <w:tcBorders>
              <w:top w:val="single" w:sz="4" w:space="0" w:color="auto"/>
            </w:tcBorders>
          </w:tcPr>
          <w:p w14:paraId="676FB3AD" w14:textId="77777777" w:rsidR="00A91450" w:rsidRPr="00A14B67" w:rsidRDefault="00A91450" w:rsidP="00B47606">
            <w:pPr>
              <w:widowControl w:val="0"/>
              <w:autoSpaceDE w:val="0"/>
              <w:autoSpaceDN w:val="0"/>
              <w:adjustRightInd w:val="0"/>
              <w:rPr>
                <w:rFonts w:ascii="Arial" w:hAnsi="Arial" w:cs="Arial"/>
                <w:b/>
                <w:color w:val="000000"/>
                <w:sz w:val="18"/>
                <w:szCs w:val="18"/>
              </w:rPr>
            </w:pPr>
            <w:r w:rsidRPr="00A14B67">
              <w:rPr>
                <w:rFonts w:ascii="Arial" w:hAnsi="Arial" w:cs="Arial"/>
                <w:b/>
                <w:color w:val="000000"/>
                <w:sz w:val="18"/>
                <w:szCs w:val="18"/>
              </w:rPr>
              <w:t xml:space="preserve">Gray-Level Run-Length Matrix (GLRLM) </w:t>
            </w:r>
          </w:p>
          <w:p w14:paraId="434CE3DE" w14:textId="77777777" w:rsidR="00A91450" w:rsidRPr="00A14B67" w:rsidRDefault="00A91450" w:rsidP="00B47606">
            <w:pPr>
              <w:widowControl w:val="0"/>
              <w:autoSpaceDE w:val="0"/>
              <w:autoSpaceDN w:val="0"/>
              <w:adjustRightInd w:val="0"/>
              <w:rPr>
                <w:rFonts w:ascii="Arial" w:hAnsi="Arial" w:cs="Arial"/>
                <w:color w:val="000000"/>
                <w:sz w:val="18"/>
                <w:szCs w:val="18"/>
              </w:rPr>
            </w:pPr>
          </w:p>
          <w:p w14:paraId="77CE8453"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The matrix is based on the run-length of voxels with same grey levels given a specific direction. </w:t>
            </w:r>
          </w:p>
        </w:tc>
        <w:tc>
          <w:tcPr>
            <w:tcW w:w="2410" w:type="dxa"/>
            <w:tcBorders>
              <w:top w:val="single" w:sz="4" w:space="0" w:color="auto"/>
              <w:bottom w:val="single" w:sz="4" w:space="0" w:color="auto"/>
            </w:tcBorders>
          </w:tcPr>
          <w:p w14:paraId="48B76BB3"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Galloway </w:t>
            </w:r>
            <w:r w:rsidRPr="00A14B67">
              <w:rPr>
                <w:rFonts w:ascii="Arial" w:hAnsi="Arial" w:cs="Arial"/>
                <w:color w:val="0000FF"/>
                <w:sz w:val="18"/>
                <w:szCs w:val="18"/>
              </w:rPr>
              <w:t>1975</w:t>
            </w:r>
          </w:p>
          <w:p w14:paraId="3FAB7C22" w14:textId="77777777" w:rsidR="00A91450" w:rsidRPr="00A14B67" w:rsidRDefault="00A91450" w:rsidP="00B47606">
            <w:pPr>
              <w:widowControl w:val="0"/>
              <w:autoSpaceDE w:val="0"/>
              <w:autoSpaceDN w:val="0"/>
              <w:jc w:val="both"/>
              <w:rPr>
                <w:rFonts w:ascii="Arial" w:hAnsi="Arial" w:cs="Arial"/>
                <w:sz w:val="18"/>
                <w:szCs w:val="18"/>
              </w:rPr>
            </w:pPr>
          </w:p>
        </w:tc>
        <w:tc>
          <w:tcPr>
            <w:tcW w:w="4961" w:type="dxa"/>
            <w:tcBorders>
              <w:top w:val="single" w:sz="4" w:space="0" w:color="auto"/>
              <w:bottom w:val="single" w:sz="4" w:space="0" w:color="auto"/>
            </w:tcBorders>
          </w:tcPr>
          <w:p w14:paraId="30C5F07B" w14:textId="77777777"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Short Run Emphasis (SRE)</w:t>
            </w:r>
            <w:r w:rsidRPr="00A14B67">
              <w:rPr>
                <w:rFonts w:ascii="MS Mincho" w:eastAsia="MS Mincho" w:hAnsi="MS Mincho" w:cs="MS Mincho"/>
                <w:color w:val="000000"/>
                <w:sz w:val="18"/>
                <w:szCs w:val="18"/>
              </w:rPr>
              <w:t> </w:t>
            </w:r>
          </w:p>
          <w:p w14:paraId="34A76724"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Long Run Emphasis (LRE) </w:t>
            </w:r>
          </w:p>
          <w:p w14:paraId="152C9C5C" w14:textId="751605F8"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Gray-Level Non-uniformity (GLN) </w:t>
            </w:r>
            <w:r w:rsidR="00A567FA" w:rsidRPr="00A14B67">
              <w:rPr>
                <w:rFonts w:ascii="Arial" w:hAnsi="Arial" w:cs="Arial"/>
                <w:color w:val="000000"/>
                <w:sz w:val="18"/>
                <w:szCs w:val="18"/>
              </w:rPr>
              <w:t>(1)</w:t>
            </w:r>
          </w:p>
          <w:p w14:paraId="6B772573"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Run-Length Non-uniformity (RLN) </w:t>
            </w:r>
          </w:p>
          <w:p w14:paraId="54E4972D"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Run Percentage (RP) </w:t>
            </w:r>
          </w:p>
        </w:tc>
      </w:tr>
      <w:tr w:rsidR="00A91450" w:rsidRPr="00A14B67" w14:paraId="430E9293" w14:textId="77777777" w:rsidTr="00A91450">
        <w:tc>
          <w:tcPr>
            <w:tcW w:w="3532" w:type="dxa"/>
            <w:vMerge/>
          </w:tcPr>
          <w:p w14:paraId="6D504EC3"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2410" w:type="dxa"/>
            <w:tcBorders>
              <w:top w:val="single" w:sz="4" w:space="0" w:color="auto"/>
              <w:bottom w:val="single" w:sz="4" w:space="0" w:color="auto"/>
            </w:tcBorders>
          </w:tcPr>
          <w:p w14:paraId="3CEA897F"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Chu </w:t>
            </w:r>
            <w:r w:rsidRPr="00A14B67">
              <w:rPr>
                <w:rFonts w:ascii="Arial" w:hAnsi="Arial" w:cs="Arial"/>
                <w:i/>
                <w:iCs/>
                <w:color w:val="000000"/>
                <w:sz w:val="18"/>
                <w:szCs w:val="18"/>
              </w:rPr>
              <w:t xml:space="preserve">et al </w:t>
            </w:r>
            <w:r w:rsidRPr="00A14B67">
              <w:rPr>
                <w:rFonts w:ascii="Arial" w:hAnsi="Arial" w:cs="Arial"/>
                <w:color w:val="0000FF"/>
                <w:sz w:val="18"/>
                <w:szCs w:val="18"/>
              </w:rPr>
              <w:t>1990</w:t>
            </w:r>
          </w:p>
          <w:p w14:paraId="0CA9B451" w14:textId="77777777" w:rsidR="00A91450" w:rsidRPr="00A14B67" w:rsidRDefault="00A91450" w:rsidP="00B47606">
            <w:pPr>
              <w:widowControl w:val="0"/>
              <w:autoSpaceDE w:val="0"/>
              <w:autoSpaceDN w:val="0"/>
              <w:jc w:val="both"/>
              <w:rPr>
                <w:rFonts w:ascii="Arial" w:hAnsi="Arial" w:cs="Arial"/>
                <w:sz w:val="18"/>
                <w:szCs w:val="18"/>
              </w:rPr>
            </w:pPr>
          </w:p>
        </w:tc>
        <w:tc>
          <w:tcPr>
            <w:tcW w:w="4961" w:type="dxa"/>
            <w:tcBorders>
              <w:top w:val="single" w:sz="4" w:space="0" w:color="auto"/>
              <w:bottom w:val="single" w:sz="4" w:space="0" w:color="auto"/>
            </w:tcBorders>
          </w:tcPr>
          <w:p w14:paraId="65773F78"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Low Gray-Level Run Emphasis (LGRE) </w:t>
            </w:r>
          </w:p>
          <w:p w14:paraId="2ACAD9B4"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High Gray-Level Run Emphasis (HGRE) </w:t>
            </w:r>
          </w:p>
        </w:tc>
      </w:tr>
      <w:tr w:rsidR="00A91450" w:rsidRPr="00A14B67" w14:paraId="7C05991B" w14:textId="77777777" w:rsidTr="00A567FA">
        <w:trPr>
          <w:trHeight w:val="946"/>
        </w:trPr>
        <w:tc>
          <w:tcPr>
            <w:tcW w:w="3532" w:type="dxa"/>
            <w:vMerge/>
          </w:tcPr>
          <w:p w14:paraId="2119F67C"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2410" w:type="dxa"/>
            <w:tcBorders>
              <w:top w:val="single" w:sz="4" w:space="0" w:color="auto"/>
              <w:bottom w:val="single" w:sz="4" w:space="0" w:color="auto"/>
            </w:tcBorders>
          </w:tcPr>
          <w:p w14:paraId="7C11A7CB"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Dasarathy and Holder </w:t>
            </w:r>
            <w:r w:rsidRPr="00A14B67">
              <w:rPr>
                <w:rFonts w:ascii="Arial" w:hAnsi="Arial" w:cs="Arial"/>
                <w:color w:val="0000FF"/>
                <w:sz w:val="18"/>
                <w:szCs w:val="18"/>
              </w:rPr>
              <w:t>1991</w:t>
            </w:r>
          </w:p>
          <w:p w14:paraId="4C5F1227" w14:textId="77777777" w:rsidR="00A91450" w:rsidRPr="00A14B67" w:rsidRDefault="00A91450" w:rsidP="00B47606">
            <w:pPr>
              <w:widowControl w:val="0"/>
              <w:autoSpaceDE w:val="0"/>
              <w:autoSpaceDN w:val="0"/>
              <w:jc w:val="both"/>
              <w:rPr>
                <w:rFonts w:ascii="Arial" w:hAnsi="Arial" w:cs="Arial"/>
                <w:sz w:val="18"/>
                <w:szCs w:val="18"/>
              </w:rPr>
            </w:pPr>
          </w:p>
        </w:tc>
        <w:tc>
          <w:tcPr>
            <w:tcW w:w="4961" w:type="dxa"/>
            <w:tcBorders>
              <w:top w:val="single" w:sz="4" w:space="0" w:color="auto"/>
              <w:bottom w:val="single" w:sz="4" w:space="0" w:color="auto"/>
            </w:tcBorders>
          </w:tcPr>
          <w:p w14:paraId="7648424C"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Short Run Low Gray-Level Emphasis (SRLGE) </w:t>
            </w:r>
          </w:p>
          <w:p w14:paraId="4D245F89"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Short Run High Gray-Level Emphasis (SRHGE) </w:t>
            </w:r>
          </w:p>
          <w:p w14:paraId="0771E36A"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Long Run Low Gray-Level Emphasis (LRLGE) </w:t>
            </w:r>
          </w:p>
          <w:p w14:paraId="372E086A"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Long Run High Gray-Level Emphasis (LRHGE) </w:t>
            </w:r>
          </w:p>
        </w:tc>
      </w:tr>
      <w:tr w:rsidR="00A91450" w:rsidRPr="00A14B67" w14:paraId="11491DF9" w14:textId="77777777" w:rsidTr="00A91450">
        <w:tc>
          <w:tcPr>
            <w:tcW w:w="3532" w:type="dxa"/>
            <w:vMerge/>
            <w:tcBorders>
              <w:bottom w:val="single" w:sz="4" w:space="0" w:color="auto"/>
            </w:tcBorders>
          </w:tcPr>
          <w:p w14:paraId="7DCF8F66"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2410" w:type="dxa"/>
            <w:tcBorders>
              <w:top w:val="single" w:sz="4" w:space="0" w:color="auto"/>
              <w:bottom w:val="single" w:sz="4" w:space="0" w:color="auto"/>
            </w:tcBorders>
          </w:tcPr>
          <w:p w14:paraId="1EBD4028"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Thibault </w:t>
            </w:r>
            <w:r w:rsidRPr="00A14B67">
              <w:rPr>
                <w:rFonts w:ascii="Arial" w:hAnsi="Arial" w:cs="Arial"/>
                <w:i/>
                <w:iCs/>
                <w:color w:val="000000"/>
                <w:sz w:val="18"/>
                <w:szCs w:val="18"/>
              </w:rPr>
              <w:t xml:space="preserve">et al </w:t>
            </w:r>
            <w:r w:rsidRPr="00A14B67">
              <w:rPr>
                <w:rFonts w:ascii="Arial" w:hAnsi="Arial" w:cs="Arial"/>
                <w:color w:val="0000FF"/>
                <w:sz w:val="18"/>
                <w:szCs w:val="18"/>
              </w:rPr>
              <w:t>2009</w:t>
            </w:r>
          </w:p>
          <w:p w14:paraId="5D52FAFF" w14:textId="77777777" w:rsidR="00A91450" w:rsidRPr="00A14B67" w:rsidRDefault="00A91450" w:rsidP="00B47606">
            <w:pPr>
              <w:widowControl w:val="0"/>
              <w:autoSpaceDE w:val="0"/>
              <w:autoSpaceDN w:val="0"/>
              <w:jc w:val="both"/>
              <w:rPr>
                <w:rFonts w:ascii="Arial" w:hAnsi="Arial" w:cs="Arial"/>
                <w:sz w:val="18"/>
                <w:szCs w:val="18"/>
              </w:rPr>
            </w:pPr>
          </w:p>
        </w:tc>
        <w:tc>
          <w:tcPr>
            <w:tcW w:w="4961" w:type="dxa"/>
            <w:tcBorders>
              <w:top w:val="single" w:sz="4" w:space="0" w:color="auto"/>
              <w:bottom w:val="single" w:sz="4" w:space="0" w:color="auto"/>
            </w:tcBorders>
          </w:tcPr>
          <w:p w14:paraId="5373F8E1" w14:textId="58F2EB14"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Gray-Level Variance (GLV) </w:t>
            </w:r>
            <w:r w:rsidR="00A567FA" w:rsidRPr="00A14B67">
              <w:rPr>
                <w:rFonts w:ascii="Arial" w:hAnsi="Arial" w:cs="Arial"/>
                <w:color w:val="000000"/>
                <w:sz w:val="18"/>
                <w:szCs w:val="18"/>
              </w:rPr>
              <w:t>(1)</w:t>
            </w:r>
          </w:p>
          <w:p w14:paraId="231FAD53"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Run-Length Variance (RLV) </w:t>
            </w:r>
          </w:p>
        </w:tc>
      </w:tr>
      <w:tr w:rsidR="00A91450" w:rsidRPr="00A14B67" w14:paraId="7639739A" w14:textId="77777777" w:rsidTr="00A91450">
        <w:tc>
          <w:tcPr>
            <w:tcW w:w="3532" w:type="dxa"/>
            <w:tcBorders>
              <w:top w:val="single" w:sz="4" w:space="0" w:color="auto"/>
            </w:tcBorders>
          </w:tcPr>
          <w:p w14:paraId="3D0FA49C" w14:textId="77777777" w:rsidR="00A91450" w:rsidRPr="00A14B67" w:rsidRDefault="00A91450" w:rsidP="00B47606">
            <w:pPr>
              <w:widowControl w:val="0"/>
              <w:autoSpaceDE w:val="0"/>
              <w:autoSpaceDN w:val="0"/>
              <w:adjustRightInd w:val="0"/>
              <w:rPr>
                <w:rFonts w:ascii="Arial" w:hAnsi="Arial" w:cs="Arial"/>
                <w:b/>
                <w:color w:val="000000"/>
                <w:sz w:val="18"/>
                <w:szCs w:val="18"/>
              </w:rPr>
            </w:pPr>
            <w:r w:rsidRPr="00A14B67">
              <w:rPr>
                <w:rFonts w:ascii="Arial" w:hAnsi="Arial" w:cs="Arial"/>
                <w:b/>
                <w:color w:val="000000"/>
                <w:sz w:val="18"/>
                <w:szCs w:val="18"/>
              </w:rPr>
              <w:t xml:space="preserve">Gray-Level Size Zone Matrix (GLSZM) </w:t>
            </w:r>
          </w:p>
          <w:p w14:paraId="1C2AD5A2" w14:textId="77777777" w:rsidR="00A91450" w:rsidRPr="00A14B67" w:rsidRDefault="00A91450" w:rsidP="00B47606">
            <w:pPr>
              <w:widowControl w:val="0"/>
              <w:autoSpaceDE w:val="0"/>
              <w:autoSpaceDN w:val="0"/>
              <w:adjustRightInd w:val="0"/>
              <w:rPr>
                <w:rFonts w:ascii="Arial" w:hAnsi="Arial" w:cs="Arial"/>
                <w:color w:val="000000"/>
                <w:sz w:val="18"/>
                <w:szCs w:val="18"/>
              </w:rPr>
            </w:pPr>
          </w:p>
          <w:p w14:paraId="32525CFA"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This matrix is independent of direction, and is built on the GLRLM methods as foundation. It estimates the size of zones within an image that have the same grey levels. </w:t>
            </w:r>
          </w:p>
        </w:tc>
        <w:tc>
          <w:tcPr>
            <w:tcW w:w="2410" w:type="dxa"/>
            <w:tcBorders>
              <w:top w:val="single" w:sz="4" w:space="0" w:color="auto"/>
              <w:bottom w:val="single" w:sz="4" w:space="0" w:color="auto"/>
            </w:tcBorders>
          </w:tcPr>
          <w:p w14:paraId="1CC5B458"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Galloway </w:t>
            </w:r>
            <w:r w:rsidRPr="00A14B67">
              <w:rPr>
                <w:rFonts w:ascii="Arial" w:hAnsi="Arial" w:cs="Arial"/>
                <w:color w:val="0000FF"/>
                <w:sz w:val="18"/>
                <w:szCs w:val="18"/>
              </w:rPr>
              <w:t>1975</w:t>
            </w:r>
            <w:r w:rsidRPr="00A14B67">
              <w:rPr>
                <w:rFonts w:ascii="Arial" w:hAnsi="Arial" w:cs="Arial"/>
                <w:color w:val="000000"/>
                <w:sz w:val="18"/>
                <w:szCs w:val="18"/>
              </w:rPr>
              <w:t xml:space="preserve">, Thibault </w:t>
            </w:r>
            <w:r w:rsidRPr="00A14B67">
              <w:rPr>
                <w:rFonts w:ascii="Arial" w:hAnsi="Arial" w:cs="Arial"/>
                <w:i/>
                <w:iCs/>
                <w:color w:val="000000"/>
                <w:sz w:val="18"/>
                <w:szCs w:val="18"/>
              </w:rPr>
              <w:t xml:space="preserve">et al </w:t>
            </w:r>
            <w:r w:rsidRPr="00A14B67">
              <w:rPr>
                <w:rFonts w:ascii="Arial" w:hAnsi="Arial" w:cs="Arial"/>
                <w:color w:val="0000FF"/>
                <w:sz w:val="18"/>
                <w:szCs w:val="18"/>
              </w:rPr>
              <w:t>2009</w:t>
            </w:r>
          </w:p>
        </w:tc>
        <w:tc>
          <w:tcPr>
            <w:tcW w:w="4961" w:type="dxa"/>
            <w:tcBorders>
              <w:top w:val="single" w:sz="4" w:space="0" w:color="auto"/>
              <w:bottom w:val="single" w:sz="4" w:space="0" w:color="auto"/>
            </w:tcBorders>
          </w:tcPr>
          <w:p w14:paraId="67A45F6B" w14:textId="77777777"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Small Zone Emphasis (SZE)</w:t>
            </w:r>
            <w:r w:rsidRPr="00A14B67">
              <w:rPr>
                <w:rFonts w:ascii="MS Mincho" w:eastAsia="MS Mincho" w:hAnsi="MS Mincho" w:cs="MS Mincho"/>
                <w:color w:val="000000"/>
                <w:sz w:val="18"/>
                <w:szCs w:val="18"/>
              </w:rPr>
              <w:t> </w:t>
            </w:r>
          </w:p>
          <w:p w14:paraId="27ED88B4"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Large Zone Emphasis (LZE) </w:t>
            </w:r>
          </w:p>
          <w:p w14:paraId="5EA22C64" w14:textId="68EFF766"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Gray-Level Non-uniformity (GLN) </w:t>
            </w:r>
            <w:r w:rsidR="00A567FA" w:rsidRPr="00A14B67">
              <w:rPr>
                <w:rFonts w:ascii="Arial" w:hAnsi="Arial" w:cs="Arial"/>
                <w:color w:val="000000"/>
                <w:sz w:val="18"/>
                <w:szCs w:val="18"/>
              </w:rPr>
              <w:t>(2)</w:t>
            </w:r>
          </w:p>
          <w:p w14:paraId="0E8DF1B7"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Zone-Size Non-uniformity (ZSN) </w:t>
            </w:r>
          </w:p>
          <w:p w14:paraId="767EB6D8"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Zone Percentage (ZP) </w:t>
            </w:r>
          </w:p>
        </w:tc>
      </w:tr>
      <w:tr w:rsidR="00A91450" w:rsidRPr="00A14B67" w14:paraId="2CB67F89" w14:textId="77777777" w:rsidTr="00A91450">
        <w:trPr>
          <w:trHeight w:val="193"/>
        </w:trPr>
        <w:tc>
          <w:tcPr>
            <w:tcW w:w="3532" w:type="dxa"/>
          </w:tcPr>
          <w:p w14:paraId="1514D3F5"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2410" w:type="dxa"/>
            <w:tcBorders>
              <w:top w:val="single" w:sz="4" w:space="0" w:color="auto"/>
              <w:bottom w:val="single" w:sz="4" w:space="0" w:color="auto"/>
            </w:tcBorders>
          </w:tcPr>
          <w:p w14:paraId="5B141EF7" w14:textId="77777777"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 xml:space="preserve">Chu </w:t>
            </w:r>
            <w:r w:rsidRPr="00A14B67">
              <w:rPr>
                <w:rFonts w:ascii="Arial" w:hAnsi="Arial" w:cs="Arial"/>
                <w:i/>
                <w:iCs/>
                <w:color w:val="000000"/>
                <w:sz w:val="18"/>
                <w:szCs w:val="18"/>
              </w:rPr>
              <w:t xml:space="preserve">et al </w:t>
            </w:r>
            <w:r w:rsidRPr="00A14B67">
              <w:rPr>
                <w:rFonts w:ascii="Arial" w:hAnsi="Arial" w:cs="Arial"/>
                <w:color w:val="0000FF"/>
                <w:sz w:val="18"/>
                <w:szCs w:val="18"/>
              </w:rPr>
              <w:t>1990</w:t>
            </w:r>
            <w:r w:rsidRPr="00A14B67">
              <w:rPr>
                <w:rFonts w:ascii="Arial" w:hAnsi="Arial" w:cs="Arial"/>
                <w:color w:val="000000"/>
                <w:sz w:val="18"/>
                <w:szCs w:val="18"/>
              </w:rPr>
              <w:t>,</w:t>
            </w:r>
            <w:r w:rsidRPr="00A14B67">
              <w:rPr>
                <w:rFonts w:ascii="MS Mincho" w:eastAsia="MS Mincho" w:hAnsi="MS Mincho" w:cs="MS Mincho"/>
                <w:color w:val="000000"/>
                <w:sz w:val="18"/>
                <w:szCs w:val="18"/>
              </w:rPr>
              <w:t> </w:t>
            </w:r>
            <w:r w:rsidRPr="00A14B67">
              <w:rPr>
                <w:rFonts w:ascii="Arial" w:hAnsi="Arial" w:cs="Arial"/>
                <w:color w:val="000000"/>
                <w:sz w:val="18"/>
                <w:szCs w:val="18"/>
              </w:rPr>
              <w:t xml:space="preserve">Thibault </w:t>
            </w:r>
            <w:r w:rsidRPr="00A14B67">
              <w:rPr>
                <w:rFonts w:ascii="Arial" w:hAnsi="Arial" w:cs="Arial"/>
                <w:i/>
                <w:iCs/>
                <w:color w:val="000000"/>
                <w:sz w:val="18"/>
                <w:szCs w:val="18"/>
              </w:rPr>
              <w:t xml:space="preserve">et al </w:t>
            </w:r>
            <w:r w:rsidRPr="00A14B67">
              <w:rPr>
                <w:rFonts w:ascii="Arial" w:hAnsi="Arial" w:cs="Arial"/>
                <w:color w:val="0000FF"/>
                <w:sz w:val="18"/>
                <w:szCs w:val="18"/>
              </w:rPr>
              <w:t>2009</w:t>
            </w:r>
          </w:p>
          <w:p w14:paraId="2DF4D614"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4961" w:type="dxa"/>
            <w:tcBorders>
              <w:top w:val="single" w:sz="4" w:space="0" w:color="auto"/>
              <w:bottom w:val="single" w:sz="4" w:space="0" w:color="auto"/>
            </w:tcBorders>
          </w:tcPr>
          <w:p w14:paraId="24C589C5" w14:textId="77777777"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Low Gray-Level Zone Emphasis (LGZE)</w:t>
            </w:r>
            <w:r w:rsidRPr="00A14B67">
              <w:rPr>
                <w:rFonts w:ascii="MS Mincho" w:eastAsia="MS Mincho" w:hAnsi="MS Mincho" w:cs="MS Mincho"/>
                <w:color w:val="000000"/>
                <w:sz w:val="18"/>
                <w:szCs w:val="18"/>
              </w:rPr>
              <w:t> </w:t>
            </w:r>
          </w:p>
          <w:p w14:paraId="49430F80"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High Gray-Level Zone Emphasis (HGZE)</w:t>
            </w:r>
            <w:r w:rsidRPr="00A14B67">
              <w:rPr>
                <w:rFonts w:ascii="MS Mincho" w:eastAsia="MS Mincho" w:hAnsi="MS Mincho" w:cs="MS Mincho"/>
                <w:color w:val="000000"/>
                <w:sz w:val="18"/>
                <w:szCs w:val="18"/>
              </w:rPr>
              <w:t> </w:t>
            </w:r>
          </w:p>
        </w:tc>
      </w:tr>
      <w:tr w:rsidR="00A91450" w:rsidRPr="00A14B67" w14:paraId="005E53D9" w14:textId="77777777" w:rsidTr="00A91450">
        <w:tc>
          <w:tcPr>
            <w:tcW w:w="3532" w:type="dxa"/>
          </w:tcPr>
          <w:p w14:paraId="70478308"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2410" w:type="dxa"/>
            <w:tcBorders>
              <w:top w:val="single" w:sz="4" w:space="0" w:color="auto"/>
              <w:bottom w:val="single" w:sz="4" w:space="0" w:color="auto"/>
            </w:tcBorders>
          </w:tcPr>
          <w:p w14:paraId="027AC910"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Dasarathy and Holder </w:t>
            </w:r>
            <w:r w:rsidRPr="00A14B67">
              <w:rPr>
                <w:rFonts w:ascii="Arial" w:hAnsi="Arial" w:cs="Arial"/>
                <w:color w:val="0000FF"/>
                <w:sz w:val="18"/>
                <w:szCs w:val="18"/>
              </w:rPr>
              <w:t>1991</w:t>
            </w:r>
            <w:r w:rsidRPr="00A14B67">
              <w:rPr>
                <w:rFonts w:ascii="Arial" w:hAnsi="Arial" w:cs="Arial"/>
                <w:color w:val="000000"/>
                <w:sz w:val="18"/>
                <w:szCs w:val="18"/>
              </w:rPr>
              <w:t xml:space="preserve">, Thibault </w:t>
            </w:r>
            <w:r w:rsidRPr="00A14B67">
              <w:rPr>
                <w:rFonts w:ascii="Arial" w:hAnsi="Arial" w:cs="Arial"/>
                <w:i/>
                <w:iCs/>
                <w:color w:val="000000"/>
                <w:sz w:val="18"/>
                <w:szCs w:val="18"/>
              </w:rPr>
              <w:t xml:space="preserve">et al </w:t>
            </w:r>
            <w:r w:rsidRPr="00A14B67">
              <w:rPr>
                <w:rFonts w:ascii="Arial" w:hAnsi="Arial" w:cs="Arial"/>
                <w:color w:val="0000FF"/>
                <w:sz w:val="18"/>
                <w:szCs w:val="18"/>
              </w:rPr>
              <w:t>2009</w:t>
            </w:r>
          </w:p>
          <w:p w14:paraId="3B8027BB"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4961" w:type="dxa"/>
            <w:tcBorders>
              <w:top w:val="single" w:sz="4" w:space="0" w:color="auto"/>
              <w:bottom w:val="single" w:sz="4" w:space="0" w:color="auto"/>
            </w:tcBorders>
          </w:tcPr>
          <w:p w14:paraId="3E80FE43"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Small Zone Low Gray-Level Emphasis (SZLGE) </w:t>
            </w:r>
          </w:p>
          <w:p w14:paraId="75A72C33" w14:textId="77777777"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Small Zone High Gray-Level Emphasis (SZHGE)</w:t>
            </w:r>
            <w:r w:rsidRPr="00A14B67">
              <w:rPr>
                <w:rFonts w:ascii="MS Mincho" w:eastAsia="MS Mincho" w:hAnsi="MS Mincho" w:cs="MS Mincho"/>
                <w:color w:val="000000"/>
                <w:sz w:val="18"/>
                <w:szCs w:val="18"/>
              </w:rPr>
              <w:t> </w:t>
            </w:r>
          </w:p>
          <w:p w14:paraId="295794E5"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Large Zone Low Gray-Level Emphasis (LZLGE) </w:t>
            </w:r>
          </w:p>
          <w:p w14:paraId="1FF7CC1E"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Large Zone High Gray-Level Emphasis (LZHGE)</w:t>
            </w:r>
            <w:r w:rsidRPr="00A14B67">
              <w:rPr>
                <w:rFonts w:ascii="MS Mincho" w:eastAsia="MS Mincho" w:hAnsi="MS Mincho" w:cs="MS Mincho"/>
                <w:color w:val="000000"/>
                <w:sz w:val="18"/>
                <w:szCs w:val="18"/>
              </w:rPr>
              <w:t> </w:t>
            </w:r>
          </w:p>
        </w:tc>
      </w:tr>
      <w:tr w:rsidR="00A91450" w:rsidRPr="00A14B67" w14:paraId="1EBDA1D4" w14:textId="77777777" w:rsidTr="00A91450">
        <w:tc>
          <w:tcPr>
            <w:tcW w:w="3532" w:type="dxa"/>
            <w:tcBorders>
              <w:bottom w:val="single" w:sz="4" w:space="0" w:color="auto"/>
            </w:tcBorders>
          </w:tcPr>
          <w:p w14:paraId="3DC3611B"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2410" w:type="dxa"/>
            <w:tcBorders>
              <w:top w:val="single" w:sz="4" w:space="0" w:color="auto"/>
              <w:bottom w:val="single" w:sz="4" w:space="0" w:color="auto"/>
            </w:tcBorders>
          </w:tcPr>
          <w:p w14:paraId="0B712846"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Thibault </w:t>
            </w:r>
            <w:r w:rsidRPr="00A14B67">
              <w:rPr>
                <w:rFonts w:ascii="Arial" w:hAnsi="Arial" w:cs="Arial"/>
                <w:i/>
                <w:iCs/>
                <w:color w:val="000000"/>
                <w:sz w:val="18"/>
                <w:szCs w:val="18"/>
              </w:rPr>
              <w:t xml:space="preserve">et al </w:t>
            </w:r>
            <w:r w:rsidRPr="00A14B67">
              <w:rPr>
                <w:rFonts w:ascii="Arial" w:hAnsi="Arial" w:cs="Arial"/>
                <w:color w:val="0000FF"/>
                <w:sz w:val="18"/>
                <w:szCs w:val="18"/>
              </w:rPr>
              <w:t>2009</w:t>
            </w:r>
          </w:p>
          <w:p w14:paraId="0F22B0AB"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4961" w:type="dxa"/>
            <w:tcBorders>
              <w:top w:val="single" w:sz="4" w:space="0" w:color="auto"/>
              <w:bottom w:val="single" w:sz="4" w:space="0" w:color="auto"/>
            </w:tcBorders>
          </w:tcPr>
          <w:p w14:paraId="40E03C2E" w14:textId="347C9CD6"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Gray-Level Variance (GLV)</w:t>
            </w:r>
            <w:r w:rsidR="00A567FA" w:rsidRPr="00A14B67">
              <w:rPr>
                <w:rFonts w:ascii="Arial" w:hAnsi="Arial" w:cs="Arial"/>
                <w:color w:val="000000"/>
                <w:sz w:val="18"/>
                <w:szCs w:val="18"/>
              </w:rPr>
              <w:t xml:space="preserve"> </w:t>
            </w:r>
            <w:r w:rsidR="00A567FA" w:rsidRPr="00A14B67">
              <w:rPr>
                <w:rFonts w:ascii="Arial" w:eastAsia="MS Mincho" w:hAnsi="Arial" w:cs="Arial"/>
                <w:color w:val="000000"/>
                <w:sz w:val="18"/>
                <w:szCs w:val="18"/>
              </w:rPr>
              <w:t>(2)</w:t>
            </w:r>
          </w:p>
          <w:p w14:paraId="7571830E"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Zone-Size Variance (ZSV)</w:t>
            </w:r>
            <w:r w:rsidRPr="00A14B67">
              <w:rPr>
                <w:rFonts w:ascii="MS Mincho" w:eastAsia="MS Mincho" w:hAnsi="MS Mincho" w:cs="MS Mincho"/>
                <w:color w:val="000000"/>
                <w:sz w:val="18"/>
                <w:szCs w:val="18"/>
              </w:rPr>
              <w:t> </w:t>
            </w:r>
          </w:p>
        </w:tc>
      </w:tr>
      <w:tr w:rsidR="00A91450" w:rsidRPr="00A14B67" w14:paraId="35801B6C" w14:textId="77777777" w:rsidTr="00A91450">
        <w:tc>
          <w:tcPr>
            <w:tcW w:w="3532" w:type="dxa"/>
            <w:tcBorders>
              <w:top w:val="single" w:sz="4" w:space="0" w:color="auto"/>
              <w:bottom w:val="single" w:sz="4" w:space="0" w:color="auto"/>
            </w:tcBorders>
          </w:tcPr>
          <w:p w14:paraId="6BF611A9" w14:textId="77777777" w:rsidR="00A91450" w:rsidRPr="00A14B67" w:rsidRDefault="00A91450" w:rsidP="00B47606">
            <w:pPr>
              <w:widowControl w:val="0"/>
              <w:autoSpaceDE w:val="0"/>
              <w:autoSpaceDN w:val="0"/>
              <w:adjustRightInd w:val="0"/>
              <w:rPr>
                <w:rFonts w:ascii="Arial" w:hAnsi="Arial" w:cs="Arial"/>
                <w:b/>
                <w:color w:val="000000"/>
                <w:sz w:val="18"/>
                <w:szCs w:val="18"/>
              </w:rPr>
            </w:pPr>
            <w:r w:rsidRPr="00A14B67">
              <w:rPr>
                <w:rFonts w:ascii="Arial" w:hAnsi="Arial" w:cs="Arial"/>
                <w:b/>
                <w:color w:val="000000"/>
                <w:sz w:val="18"/>
                <w:szCs w:val="18"/>
              </w:rPr>
              <w:t xml:space="preserve">Neighborhood Gray-Tone Difference Matrix (NGTDM) </w:t>
            </w:r>
          </w:p>
          <w:p w14:paraId="5A1083D1" w14:textId="77777777" w:rsidR="00A91450" w:rsidRPr="00A14B67" w:rsidRDefault="00A91450" w:rsidP="00B47606">
            <w:pPr>
              <w:widowControl w:val="0"/>
              <w:autoSpaceDE w:val="0"/>
              <w:autoSpaceDN w:val="0"/>
              <w:adjustRightInd w:val="0"/>
              <w:rPr>
                <w:rFonts w:ascii="Arial" w:hAnsi="Arial" w:cs="Arial"/>
                <w:color w:val="000000"/>
                <w:sz w:val="18"/>
                <w:szCs w:val="18"/>
              </w:rPr>
            </w:pPr>
          </w:p>
          <w:p w14:paraId="469DD9D8"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Aims to capture the grey scale difference between a pixel and neighboring pixels. Features have been shown to capture true nature of texture in images similar to human perception. </w:t>
            </w:r>
          </w:p>
        </w:tc>
        <w:tc>
          <w:tcPr>
            <w:tcW w:w="2410" w:type="dxa"/>
            <w:tcBorders>
              <w:top w:val="single" w:sz="4" w:space="0" w:color="auto"/>
              <w:bottom w:val="single" w:sz="4" w:space="0" w:color="auto"/>
            </w:tcBorders>
          </w:tcPr>
          <w:p w14:paraId="30BB030B" w14:textId="77777777" w:rsidR="00A91450" w:rsidRPr="00A14B67" w:rsidRDefault="00A91450" w:rsidP="00B47606">
            <w:pPr>
              <w:widowControl w:val="0"/>
              <w:autoSpaceDE w:val="0"/>
              <w:autoSpaceDN w:val="0"/>
              <w:adjustRightInd w:val="0"/>
              <w:spacing w:after="240"/>
              <w:rPr>
                <w:rFonts w:ascii="Arial" w:hAnsi="Arial" w:cs="Arial"/>
                <w:color w:val="000000"/>
                <w:sz w:val="18"/>
                <w:szCs w:val="18"/>
              </w:rPr>
            </w:pPr>
            <w:r w:rsidRPr="00A14B67">
              <w:rPr>
                <w:rFonts w:ascii="Arial" w:hAnsi="Arial" w:cs="Arial"/>
                <w:color w:val="000000"/>
                <w:sz w:val="18"/>
                <w:szCs w:val="18"/>
              </w:rPr>
              <w:t xml:space="preserve">Amadasun and King </w:t>
            </w:r>
            <w:r w:rsidRPr="00A14B67">
              <w:rPr>
                <w:rFonts w:ascii="Arial" w:hAnsi="Arial" w:cs="Arial"/>
                <w:color w:val="0000FF"/>
                <w:sz w:val="18"/>
                <w:szCs w:val="18"/>
              </w:rPr>
              <w:t>1989</w:t>
            </w:r>
          </w:p>
          <w:p w14:paraId="11709318" w14:textId="77777777" w:rsidR="00A91450" w:rsidRPr="00A14B67" w:rsidRDefault="00A91450" w:rsidP="00B47606">
            <w:pPr>
              <w:widowControl w:val="0"/>
              <w:autoSpaceDE w:val="0"/>
              <w:autoSpaceDN w:val="0"/>
              <w:adjustRightInd w:val="0"/>
              <w:rPr>
                <w:rFonts w:ascii="Arial" w:hAnsi="Arial" w:cs="Arial"/>
                <w:color w:val="000000"/>
                <w:sz w:val="18"/>
                <w:szCs w:val="18"/>
              </w:rPr>
            </w:pPr>
          </w:p>
        </w:tc>
        <w:tc>
          <w:tcPr>
            <w:tcW w:w="4961" w:type="dxa"/>
            <w:tcBorders>
              <w:top w:val="single" w:sz="4" w:space="0" w:color="auto"/>
              <w:bottom w:val="single" w:sz="4" w:space="0" w:color="auto"/>
            </w:tcBorders>
          </w:tcPr>
          <w:p w14:paraId="26C7A7E2" w14:textId="77777777"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Coarseness</w:t>
            </w:r>
            <w:r w:rsidRPr="00A14B67">
              <w:rPr>
                <w:rFonts w:ascii="MS Mincho" w:eastAsia="MS Mincho" w:hAnsi="MS Mincho" w:cs="MS Mincho"/>
                <w:color w:val="000000"/>
                <w:sz w:val="18"/>
                <w:szCs w:val="18"/>
              </w:rPr>
              <w:t> </w:t>
            </w:r>
          </w:p>
          <w:p w14:paraId="54804A5D" w14:textId="2958C594"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Contrast</w:t>
            </w:r>
            <w:r w:rsidR="00705171" w:rsidRPr="00A14B67">
              <w:rPr>
                <w:rFonts w:ascii="Arial" w:hAnsi="Arial" w:cs="Arial"/>
                <w:color w:val="000000"/>
                <w:sz w:val="18"/>
                <w:szCs w:val="18"/>
              </w:rPr>
              <w:t xml:space="preserve"> (2)</w:t>
            </w:r>
            <w:r w:rsidRPr="00A14B67">
              <w:rPr>
                <w:rFonts w:ascii="MS Mincho" w:eastAsia="MS Mincho" w:hAnsi="MS Mincho" w:cs="MS Mincho"/>
                <w:color w:val="000000"/>
                <w:sz w:val="18"/>
                <w:szCs w:val="18"/>
              </w:rPr>
              <w:t> </w:t>
            </w:r>
          </w:p>
          <w:p w14:paraId="58B1B3A4" w14:textId="77777777"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Busyness</w:t>
            </w:r>
            <w:r w:rsidRPr="00A14B67">
              <w:rPr>
                <w:rFonts w:ascii="MS Mincho" w:eastAsia="MS Mincho" w:hAnsi="MS Mincho" w:cs="MS Mincho"/>
                <w:color w:val="000000"/>
                <w:sz w:val="18"/>
                <w:szCs w:val="18"/>
              </w:rPr>
              <w:t> </w:t>
            </w:r>
          </w:p>
          <w:p w14:paraId="34457CF6" w14:textId="77777777" w:rsidR="00A91450" w:rsidRPr="00A14B67" w:rsidRDefault="00A91450" w:rsidP="00B47606">
            <w:pPr>
              <w:widowControl w:val="0"/>
              <w:autoSpaceDE w:val="0"/>
              <w:autoSpaceDN w:val="0"/>
              <w:adjustRightInd w:val="0"/>
              <w:rPr>
                <w:rFonts w:ascii="Arial" w:eastAsia="MS Mincho" w:hAnsi="Arial" w:cs="Arial"/>
                <w:color w:val="000000"/>
                <w:sz w:val="18"/>
                <w:szCs w:val="18"/>
              </w:rPr>
            </w:pPr>
            <w:r w:rsidRPr="00A14B67">
              <w:rPr>
                <w:rFonts w:ascii="Arial" w:hAnsi="Arial" w:cs="Arial"/>
                <w:color w:val="000000"/>
                <w:sz w:val="18"/>
                <w:szCs w:val="18"/>
              </w:rPr>
              <w:t>Complexity</w:t>
            </w:r>
            <w:r w:rsidRPr="00A14B67">
              <w:rPr>
                <w:rFonts w:ascii="MS Mincho" w:eastAsia="MS Mincho" w:hAnsi="MS Mincho" w:cs="MS Mincho"/>
                <w:color w:val="000000"/>
                <w:sz w:val="18"/>
                <w:szCs w:val="18"/>
              </w:rPr>
              <w:t> </w:t>
            </w:r>
          </w:p>
          <w:p w14:paraId="68D7AFCC" w14:textId="77777777" w:rsidR="00A91450" w:rsidRPr="00A14B67" w:rsidRDefault="00A91450" w:rsidP="00B47606">
            <w:pPr>
              <w:widowControl w:val="0"/>
              <w:autoSpaceDE w:val="0"/>
              <w:autoSpaceDN w:val="0"/>
              <w:adjustRightInd w:val="0"/>
              <w:rPr>
                <w:rFonts w:ascii="Arial" w:hAnsi="Arial" w:cs="Arial"/>
                <w:color w:val="000000"/>
                <w:sz w:val="18"/>
                <w:szCs w:val="18"/>
              </w:rPr>
            </w:pPr>
            <w:r w:rsidRPr="00A14B67">
              <w:rPr>
                <w:rFonts w:ascii="Arial" w:hAnsi="Arial" w:cs="Arial"/>
                <w:color w:val="000000"/>
                <w:sz w:val="18"/>
                <w:szCs w:val="18"/>
              </w:rPr>
              <w:t xml:space="preserve">Strength </w:t>
            </w:r>
          </w:p>
        </w:tc>
      </w:tr>
    </w:tbl>
    <w:p w14:paraId="1E7E2FE9" w14:textId="77777777" w:rsidR="00E262AE" w:rsidRPr="00A14B67" w:rsidRDefault="00E262AE" w:rsidP="00B47606">
      <w:pPr>
        <w:widowControl w:val="0"/>
        <w:autoSpaceDE w:val="0"/>
        <w:autoSpaceDN w:val="0"/>
        <w:jc w:val="both"/>
        <w:rPr>
          <w:rFonts w:ascii="Arial" w:hAnsi="Arial" w:cs="Arial"/>
          <w:sz w:val="20"/>
          <w:szCs w:val="20"/>
        </w:rPr>
      </w:pPr>
    </w:p>
    <w:p w14:paraId="608AC116" w14:textId="142BDDBF" w:rsidR="004A1148" w:rsidRPr="00A14B67" w:rsidRDefault="004A1148" w:rsidP="00B47606">
      <w:pPr>
        <w:pStyle w:val="Caption"/>
        <w:keepNext/>
        <w:rPr>
          <w:rFonts w:ascii="Arial" w:hAnsi="Arial" w:cs="Arial"/>
          <w:color w:val="000000" w:themeColor="text1"/>
        </w:rPr>
      </w:pPr>
      <w:r w:rsidRPr="00A14B67">
        <w:rPr>
          <w:rFonts w:ascii="Arial" w:hAnsi="Arial" w:cs="Arial"/>
          <w:color w:val="000000" w:themeColor="text1"/>
        </w:rPr>
        <w:lastRenderedPageBreak/>
        <w:t xml:space="preserve">Supplementary Table </w:t>
      </w:r>
      <w:r w:rsidR="00996573" w:rsidRPr="00A14B67">
        <w:rPr>
          <w:rFonts w:ascii="Arial" w:hAnsi="Arial" w:cs="Arial"/>
          <w:color w:val="000000" w:themeColor="text1"/>
        </w:rPr>
        <w:t>2</w:t>
      </w:r>
      <w:r w:rsidRPr="00A14B67">
        <w:rPr>
          <w:rFonts w:ascii="Arial" w:hAnsi="Arial" w:cs="Arial"/>
          <w:color w:val="000000" w:themeColor="text1"/>
        </w:rPr>
        <w:t xml:space="preserve"> - List of Selected</w:t>
      </w:r>
      <w:r w:rsidR="00A567FA" w:rsidRPr="00A14B67">
        <w:rPr>
          <w:rFonts w:ascii="Arial" w:hAnsi="Arial" w:cs="Arial"/>
          <w:color w:val="000000" w:themeColor="text1"/>
        </w:rPr>
        <w:t xml:space="preserve"> Features: </w:t>
      </w:r>
      <w:r w:rsidR="006A7900" w:rsidRPr="00A14B67">
        <w:rPr>
          <w:rFonts w:ascii="Arial" w:hAnsi="Arial" w:cs="Arial"/>
          <w:color w:val="000000" w:themeColor="text1"/>
        </w:rPr>
        <w:t>‘</w:t>
      </w:r>
      <w:r w:rsidRPr="00A14B67">
        <w:rPr>
          <w:rFonts w:ascii="Arial" w:hAnsi="Arial" w:cs="Arial"/>
          <w:color w:val="000000" w:themeColor="text1"/>
        </w:rPr>
        <w:t>(</w:t>
      </w:r>
      <w:r w:rsidR="005C6CE1" w:rsidRPr="00A14B67">
        <w:rPr>
          <w:rFonts w:ascii="Arial" w:hAnsi="Arial" w:cs="Arial"/>
          <w:color w:val="000000" w:themeColor="text1"/>
        </w:rPr>
        <w:t xml:space="preserve">Parametric </w:t>
      </w:r>
      <w:r w:rsidRPr="00A14B67">
        <w:rPr>
          <w:rFonts w:ascii="Arial" w:hAnsi="Arial" w:cs="Arial"/>
          <w:color w:val="000000" w:themeColor="text1"/>
        </w:rPr>
        <w:t>Map)-(Feature)</w:t>
      </w:r>
      <w:r w:rsidR="006A7900" w:rsidRPr="00A14B67">
        <w:rPr>
          <w:rFonts w:ascii="Arial" w:hAnsi="Arial" w:cs="Arial"/>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1708"/>
        <w:gridCol w:w="3402"/>
        <w:gridCol w:w="3844"/>
      </w:tblGrid>
      <w:tr w:rsidR="00724DA2" w:rsidRPr="00A14B67" w14:paraId="23104474" w14:textId="77777777" w:rsidTr="00BE5E43">
        <w:trPr>
          <w:trHeight w:val="227"/>
        </w:trPr>
        <w:tc>
          <w:tcPr>
            <w:tcW w:w="3544" w:type="dxa"/>
            <w:gridSpan w:val="2"/>
            <w:tcBorders>
              <w:bottom w:val="single" w:sz="4" w:space="0" w:color="auto"/>
            </w:tcBorders>
          </w:tcPr>
          <w:p w14:paraId="3FAC8C16" w14:textId="36CD17AC" w:rsidR="00724DA2" w:rsidRPr="00A14B67" w:rsidRDefault="00724DA2" w:rsidP="00B47606">
            <w:pPr>
              <w:pStyle w:val="Caption"/>
              <w:keepNext/>
              <w:rPr>
                <w:rFonts w:ascii="Arial" w:hAnsi="Arial" w:cs="Arial"/>
                <w:color w:val="000000" w:themeColor="text1"/>
              </w:rPr>
            </w:pPr>
            <w:r w:rsidRPr="00A14B67">
              <w:rPr>
                <w:rFonts w:ascii="Arial" w:hAnsi="Arial" w:cs="Arial"/>
                <w:color w:val="000000" w:themeColor="text1"/>
              </w:rPr>
              <w:t xml:space="preserve">Selected Features </w:t>
            </w:r>
          </w:p>
          <w:p w14:paraId="02CD9938" w14:textId="077F397D" w:rsidR="00724DA2" w:rsidRPr="00A14B67" w:rsidRDefault="00724DA2" w:rsidP="00B47606">
            <w:pPr>
              <w:pStyle w:val="Caption"/>
              <w:keepNext/>
              <w:rPr>
                <w:rFonts w:ascii="Arial" w:hAnsi="Arial" w:cs="Arial"/>
                <w:color w:val="000000" w:themeColor="text1"/>
              </w:rPr>
            </w:pPr>
            <w:r w:rsidRPr="00A14B67">
              <w:rPr>
                <w:rFonts w:ascii="Arial" w:hAnsi="Arial" w:cs="Arial"/>
                <w:color w:val="000000" w:themeColor="text1"/>
              </w:rPr>
              <w:t>(Length Scale = 0.3 mm)</w:t>
            </w:r>
          </w:p>
        </w:tc>
        <w:tc>
          <w:tcPr>
            <w:tcW w:w="3402" w:type="dxa"/>
            <w:tcBorders>
              <w:bottom w:val="single" w:sz="4" w:space="0" w:color="auto"/>
            </w:tcBorders>
          </w:tcPr>
          <w:p w14:paraId="0D705ED3" w14:textId="77777777" w:rsidR="00724DA2" w:rsidRPr="00A14B67" w:rsidRDefault="00724DA2" w:rsidP="00B47606">
            <w:pPr>
              <w:pStyle w:val="Caption"/>
              <w:keepNext/>
              <w:rPr>
                <w:rFonts w:ascii="Arial" w:hAnsi="Arial" w:cs="Arial"/>
                <w:color w:val="000000" w:themeColor="text1"/>
              </w:rPr>
            </w:pPr>
            <w:r w:rsidRPr="00A14B67">
              <w:rPr>
                <w:rFonts w:ascii="Arial" w:hAnsi="Arial" w:cs="Arial"/>
                <w:color w:val="000000" w:themeColor="text1"/>
              </w:rPr>
              <w:t xml:space="preserve">Selected Features </w:t>
            </w:r>
          </w:p>
          <w:p w14:paraId="14C556B9" w14:textId="2AF27C2D" w:rsidR="00724DA2" w:rsidRPr="00A14B67" w:rsidRDefault="00724DA2" w:rsidP="00B47606">
            <w:pPr>
              <w:pStyle w:val="Caption"/>
              <w:keepNext/>
              <w:rPr>
                <w:rFonts w:ascii="Arial" w:hAnsi="Arial" w:cs="Arial"/>
                <w:color w:val="000000" w:themeColor="text1"/>
              </w:rPr>
            </w:pPr>
            <w:r w:rsidRPr="00A14B67">
              <w:rPr>
                <w:rFonts w:ascii="Arial" w:hAnsi="Arial" w:cs="Arial"/>
                <w:color w:val="000000" w:themeColor="text1"/>
              </w:rPr>
              <w:t>(Length Scale = 0.6 mm)</w:t>
            </w:r>
          </w:p>
        </w:tc>
        <w:tc>
          <w:tcPr>
            <w:tcW w:w="3844" w:type="dxa"/>
            <w:tcBorders>
              <w:bottom w:val="single" w:sz="4" w:space="0" w:color="auto"/>
            </w:tcBorders>
          </w:tcPr>
          <w:p w14:paraId="645540A4" w14:textId="085A5B61" w:rsidR="00724DA2" w:rsidRPr="00A14B67" w:rsidRDefault="00724DA2" w:rsidP="00B47606">
            <w:pPr>
              <w:pStyle w:val="Caption"/>
              <w:keepNext/>
              <w:rPr>
                <w:rFonts w:ascii="Arial" w:hAnsi="Arial" w:cs="Arial"/>
                <w:color w:val="000000" w:themeColor="text1"/>
              </w:rPr>
            </w:pPr>
            <w:r w:rsidRPr="00A14B67">
              <w:rPr>
                <w:rFonts w:ascii="Arial" w:hAnsi="Arial" w:cs="Arial"/>
                <w:color w:val="000000" w:themeColor="text1"/>
              </w:rPr>
              <w:t>Selected Features</w:t>
            </w:r>
          </w:p>
          <w:p w14:paraId="719CAFC6" w14:textId="5ECEF155" w:rsidR="00724DA2" w:rsidRPr="00A14B67" w:rsidRDefault="00724DA2" w:rsidP="00B47606">
            <w:pPr>
              <w:pStyle w:val="Caption"/>
              <w:keepNext/>
              <w:rPr>
                <w:rFonts w:ascii="Arial" w:hAnsi="Arial" w:cs="Arial"/>
                <w:color w:val="000000" w:themeColor="text1"/>
              </w:rPr>
            </w:pPr>
            <w:r w:rsidRPr="00A14B67">
              <w:rPr>
                <w:rFonts w:ascii="Arial" w:hAnsi="Arial" w:cs="Arial"/>
                <w:color w:val="000000" w:themeColor="text1"/>
              </w:rPr>
              <w:t>(Length Scale = 0.9 mm)</w:t>
            </w:r>
          </w:p>
        </w:tc>
      </w:tr>
      <w:tr w:rsidR="00724DA2" w:rsidRPr="00A14B67" w14:paraId="4C72E30F" w14:textId="77777777" w:rsidTr="00BE5E43">
        <w:trPr>
          <w:trHeight w:val="227"/>
        </w:trPr>
        <w:tc>
          <w:tcPr>
            <w:tcW w:w="1836" w:type="dxa"/>
            <w:tcBorders>
              <w:top w:val="single" w:sz="4" w:space="0" w:color="auto"/>
            </w:tcBorders>
          </w:tcPr>
          <w:p w14:paraId="421EE3FE" w14:textId="4E0BF1B2" w:rsidR="00724DA2" w:rsidRPr="00A14B67" w:rsidRDefault="006A7900" w:rsidP="00B47606">
            <w:pPr>
              <w:pStyle w:val="Caption"/>
              <w:keepNext/>
              <w:rPr>
                <w:rFonts w:ascii="Arial" w:hAnsi="Arial" w:cs="Arial"/>
                <w:b w:val="0"/>
                <w:color w:val="000000" w:themeColor="text1"/>
              </w:rPr>
            </w:pPr>
            <w:r w:rsidRPr="00A14B67">
              <w:rPr>
                <w:rFonts w:ascii="Arial" w:hAnsi="Arial" w:cs="Arial"/>
                <w:b w:val="0"/>
                <w:color w:val="000000" w:themeColor="text1"/>
              </w:rPr>
              <w:t>'AIP-Energy</w:t>
            </w:r>
            <w:r w:rsidR="00724DA2" w:rsidRPr="00A14B67">
              <w:rPr>
                <w:rFonts w:ascii="Arial" w:hAnsi="Arial" w:cs="Arial"/>
                <w:b w:val="0"/>
                <w:color w:val="000000" w:themeColor="text1"/>
              </w:rPr>
              <w:t>'</w:t>
            </w:r>
          </w:p>
        </w:tc>
        <w:tc>
          <w:tcPr>
            <w:tcW w:w="1708" w:type="dxa"/>
            <w:tcBorders>
              <w:top w:val="single" w:sz="4" w:space="0" w:color="auto"/>
            </w:tcBorders>
          </w:tcPr>
          <w:p w14:paraId="397650E2" w14:textId="6E3F4473"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'SIP-ZSV'</w:t>
            </w:r>
          </w:p>
        </w:tc>
        <w:tc>
          <w:tcPr>
            <w:tcW w:w="3402" w:type="dxa"/>
            <w:tcBorders>
              <w:top w:val="single" w:sz="4" w:space="0" w:color="auto"/>
            </w:tcBorders>
          </w:tcPr>
          <w:p w14:paraId="361D568C" w14:textId="0C31E26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'AIP-RLV'</w:t>
            </w:r>
          </w:p>
        </w:tc>
        <w:tc>
          <w:tcPr>
            <w:tcW w:w="3844" w:type="dxa"/>
            <w:tcBorders>
              <w:top w:val="single" w:sz="4" w:space="0" w:color="auto"/>
            </w:tcBorders>
          </w:tcPr>
          <w:p w14:paraId="1E8E1972" w14:textId="0AB2B2A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'AIP-Skewness'</w:t>
            </w:r>
          </w:p>
        </w:tc>
      </w:tr>
      <w:tr w:rsidR="00724DA2" w:rsidRPr="00A14B67" w14:paraId="1941FE0B" w14:textId="77777777" w:rsidTr="00BE5E43">
        <w:trPr>
          <w:trHeight w:val="227"/>
        </w:trPr>
        <w:tc>
          <w:tcPr>
            <w:tcW w:w="1836" w:type="dxa"/>
          </w:tcPr>
          <w:p w14:paraId="6E7D9C93" w14:textId="2629257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'AIP-Variance</w:t>
            </w:r>
            <w:r w:rsidR="009939A6" w:rsidRPr="00A14B67">
              <w:rPr>
                <w:rFonts w:ascii="Arial" w:hAnsi="Arial" w:cs="Arial"/>
                <w:b w:val="0"/>
                <w:color w:val="000000" w:themeColor="text1"/>
              </w:rPr>
              <w:t xml:space="preserve"> </w:t>
            </w:r>
            <w:r w:rsidR="006A7900" w:rsidRPr="00A14B67">
              <w:rPr>
                <w:rFonts w:ascii="Arial" w:hAnsi="Arial" w:cs="Arial"/>
                <w:b w:val="0"/>
                <w:color w:val="000000" w:themeColor="text1"/>
              </w:rPr>
              <w:t>(1)</w:t>
            </w:r>
            <w:r w:rsidR="009939A6" w:rsidRPr="00A14B67">
              <w:rPr>
                <w:rFonts w:ascii="Arial" w:hAnsi="Arial" w:cs="Arial"/>
                <w:b w:val="0"/>
                <w:color w:val="000000" w:themeColor="text1"/>
              </w:rPr>
              <w:t>’</w:t>
            </w:r>
          </w:p>
        </w:tc>
        <w:tc>
          <w:tcPr>
            <w:tcW w:w="1708" w:type="dxa"/>
          </w:tcPr>
          <w:p w14:paraId="11BB350E" w14:textId="70C7F969"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'SIP-LRE'</w:t>
            </w:r>
          </w:p>
        </w:tc>
        <w:tc>
          <w:tcPr>
            <w:tcW w:w="3402" w:type="dxa"/>
          </w:tcPr>
          <w:p w14:paraId="63ECA358" w14:textId="42B8297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'AIP-Skewness'</w:t>
            </w:r>
          </w:p>
        </w:tc>
        <w:tc>
          <w:tcPr>
            <w:tcW w:w="3844" w:type="dxa"/>
          </w:tcPr>
          <w:p w14:paraId="08434F33" w14:textId="795C6F1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'AIP-Kurtosis'</w:t>
            </w:r>
          </w:p>
        </w:tc>
      </w:tr>
      <w:tr w:rsidR="00724DA2" w:rsidRPr="00A14B67" w14:paraId="4F9B26AD" w14:textId="77777777" w:rsidTr="00BE5E43">
        <w:trPr>
          <w:trHeight w:val="259"/>
        </w:trPr>
        <w:tc>
          <w:tcPr>
            <w:tcW w:w="1836" w:type="dxa"/>
          </w:tcPr>
          <w:p w14:paraId="13BBAD69" w14:textId="09A0480B" w:rsidR="00724DA2" w:rsidRPr="00A14B67" w:rsidRDefault="006A7900" w:rsidP="00B47606">
            <w:pPr>
              <w:pStyle w:val="Caption"/>
              <w:keepNext/>
              <w:rPr>
                <w:rFonts w:ascii="Arial" w:hAnsi="Arial" w:cs="Arial"/>
                <w:b w:val="0"/>
                <w:color w:val="000000" w:themeColor="text1"/>
              </w:rPr>
            </w:pPr>
            <w:r w:rsidRPr="00A14B67">
              <w:rPr>
                <w:rFonts w:ascii="Arial" w:hAnsi="Arial" w:cs="Arial"/>
                <w:b w:val="0"/>
                <w:color w:val="000000" w:themeColor="text1"/>
              </w:rPr>
              <w:t>'AIP-LGZE</w:t>
            </w:r>
            <w:r w:rsidR="00724DA2" w:rsidRPr="00A14B67">
              <w:rPr>
                <w:rFonts w:ascii="Arial" w:hAnsi="Arial" w:cs="Arial"/>
                <w:b w:val="0"/>
                <w:color w:val="000000" w:themeColor="text1"/>
              </w:rPr>
              <w:t>'</w:t>
            </w:r>
          </w:p>
        </w:tc>
        <w:tc>
          <w:tcPr>
            <w:tcW w:w="1708" w:type="dxa"/>
          </w:tcPr>
          <w:p w14:paraId="4D21F36B" w14:textId="2E1C22B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'SIP-GLN</w:t>
            </w:r>
            <w:r w:rsidR="0059342C" w:rsidRPr="00A14B67">
              <w:rPr>
                <w:rFonts w:ascii="Arial" w:hAnsi="Arial" w:cs="Arial"/>
                <w:b w:val="0"/>
                <w:color w:val="000000" w:themeColor="text1"/>
              </w:rPr>
              <w:t xml:space="preserve"> (2)</w:t>
            </w:r>
            <w:r w:rsidRPr="00A14B67">
              <w:rPr>
                <w:rFonts w:ascii="Arial" w:hAnsi="Arial" w:cs="Arial"/>
                <w:b w:val="0"/>
                <w:color w:val="000000" w:themeColor="text1"/>
              </w:rPr>
              <w:t>'</w:t>
            </w:r>
          </w:p>
        </w:tc>
        <w:tc>
          <w:tcPr>
            <w:tcW w:w="3402" w:type="dxa"/>
          </w:tcPr>
          <w:p w14:paraId="21F85E94" w14:textId="086D51F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'AIP-Kurtosis'</w:t>
            </w:r>
          </w:p>
        </w:tc>
        <w:tc>
          <w:tcPr>
            <w:tcW w:w="3844" w:type="dxa"/>
          </w:tcPr>
          <w:p w14:paraId="5051078A" w14:textId="7F396037"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'MIP-Sum</w:t>
            </w:r>
            <w:r w:rsidR="00972743" w:rsidRPr="00A14B67">
              <w:rPr>
                <w:rFonts w:ascii="Arial" w:hAnsi="Arial" w:cs="Arial"/>
                <w:b w:val="0"/>
                <w:color w:val="000000" w:themeColor="text1"/>
              </w:rPr>
              <w:t xml:space="preserve"> </w:t>
            </w:r>
            <w:r w:rsidRPr="00A14B67">
              <w:rPr>
                <w:rFonts w:ascii="Arial" w:hAnsi="Arial" w:cs="Arial"/>
                <w:b w:val="0"/>
                <w:color w:val="000000" w:themeColor="text1"/>
              </w:rPr>
              <w:t>Average'</w:t>
            </w:r>
          </w:p>
        </w:tc>
      </w:tr>
      <w:tr w:rsidR="00724DA2" w:rsidRPr="00A14B67" w14:paraId="056E3D08" w14:textId="77777777" w:rsidTr="00BE5E43">
        <w:trPr>
          <w:trHeight w:val="227"/>
        </w:trPr>
        <w:tc>
          <w:tcPr>
            <w:tcW w:w="1836" w:type="dxa"/>
          </w:tcPr>
          <w:p w14:paraId="0E27AA1F" w14:textId="2DCDC225" w:rsidR="00724DA2" w:rsidRPr="00A14B67" w:rsidRDefault="006A7900" w:rsidP="00B47606">
            <w:pPr>
              <w:pStyle w:val="Caption"/>
              <w:keepNext/>
              <w:rPr>
                <w:rFonts w:ascii="Arial" w:hAnsi="Arial" w:cs="Arial"/>
                <w:b w:val="0"/>
                <w:color w:val="000000" w:themeColor="text1"/>
              </w:rPr>
            </w:pPr>
            <w:r w:rsidRPr="00A14B67">
              <w:rPr>
                <w:rFonts w:ascii="Arial" w:hAnsi="Arial" w:cs="Arial"/>
                <w:b w:val="0"/>
                <w:color w:val="000000" w:themeColor="text1"/>
              </w:rPr>
              <w:t>'AIP-HGZE</w:t>
            </w:r>
            <w:r w:rsidR="00724DA2" w:rsidRPr="00A14B67">
              <w:rPr>
                <w:rFonts w:ascii="Arial" w:hAnsi="Arial" w:cs="Arial"/>
                <w:b w:val="0"/>
                <w:color w:val="000000" w:themeColor="text1"/>
              </w:rPr>
              <w:t>'</w:t>
            </w:r>
          </w:p>
        </w:tc>
        <w:tc>
          <w:tcPr>
            <w:tcW w:w="1708" w:type="dxa"/>
          </w:tcPr>
          <w:p w14:paraId="2B077F61" w14:textId="64EEA8D4"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'SIP-HGRE'</w:t>
            </w:r>
          </w:p>
        </w:tc>
        <w:tc>
          <w:tcPr>
            <w:tcW w:w="3402" w:type="dxa"/>
          </w:tcPr>
          <w:p w14:paraId="22B610A0" w14:textId="32CFB205"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'MIP-RLV'</w:t>
            </w:r>
          </w:p>
        </w:tc>
        <w:tc>
          <w:tcPr>
            <w:tcW w:w="3844" w:type="dxa"/>
          </w:tcPr>
          <w:p w14:paraId="3DA887CB" w14:textId="36D24857"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'MIP-GLN</w:t>
            </w:r>
            <w:r w:rsidR="005E6ABB" w:rsidRPr="00A14B67">
              <w:rPr>
                <w:rFonts w:ascii="Arial" w:hAnsi="Arial" w:cs="Arial"/>
                <w:b w:val="0"/>
                <w:color w:val="000000" w:themeColor="text1"/>
              </w:rPr>
              <w:t xml:space="preserve"> (2)</w:t>
            </w:r>
            <w:r w:rsidRPr="00A14B67">
              <w:rPr>
                <w:rFonts w:ascii="Arial" w:hAnsi="Arial" w:cs="Arial"/>
                <w:b w:val="0"/>
                <w:color w:val="000000" w:themeColor="text1"/>
              </w:rPr>
              <w:t>'</w:t>
            </w:r>
          </w:p>
        </w:tc>
      </w:tr>
      <w:tr w:rsidR="00724DA2" w:rsidRPr="00A14B67" w14:paraId="1D94DFDA" w14:textId="77777777" w:rsidTr="00BE5E43">
        <w:trPr>
          <w:trHeight w:val="227"/>
        </w:trPr>
        <w:tc>
          <w:tcPr>
            <w:tcW w:w="1836" w:type="dxa"/>
          </w:tcPr>
          <w:p w14:paraId="71281DEA" w14:textId="484C61AC" w:rsidR="00724DA2" w:rsidRPr="00A14B67" w:rsidRDefault="006A7900" w:rsidP="00B47606">
            <w:pPr>
              <w:pStyle w:val="Caption"/>
              <w:keepNext/>
              <w:rPr>
                <w:rFonts w:ascii="Arial" w:hAnsi="Arial" w:cs="Arial"/>
                <w:b w:val="0"/>
                <w:color w:val="000000" w:themeColor="text1"/>
              </w:rPr>
            </w:pPr>
            <w:r w:rsidRPr="00A14B67">
              <w:rPr>
                <w:rFonts w:ascii="Arial" w:hAnsi="Arial" w:cs="Arial"/>
                <w:b w:val="0"/>
                <w:color w:val="000000" w:themeColor="text1"/>
              </w:rPr>
              <w:t>'AIP-SZLGE</w:t>
            </w:r>
            <w:r w:rsidR="00724DA2" w:rsidRPr="00A14B67">
              <w:rPr>
                <w:rFonts w:ascii="Arial" w:hAnsi="Arial" w:cs="Arial"/>
                <w:b w:val="0"/>
                <w:color w:val="000000" w:themeColor="text1"/>
              </w:rPr>
              <w:t>'</w:t>
            </w:r>
          </w:p>
        </w:tc>
        <w:tc>
          <w:tcPr>
            <w:tcW w:w="1708" w:type="dxa"/>
          </w:tcPr>
          <w:p w14:paraId="1263F81A" w14:textId="64ED3DF5"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'SIP-SRHGE'</w:t>
            </w:r>
          </w:p>
        </w:tc>
        <w:tc>
          <w:tcPr>
            <w:tcW w:w="3402" w:type="dxa"/>
          </w:tcPr>
          <w:p w14:paraId="2B109B30" w14:textId="7C6EDF87"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'MIP-Variance</w:t>
            </w:r>
            <w:r w:rsidR="00A4720C" w:rsidRPr="00A14B67">
              <w:rPr>
                <w:rFonts w:ascii="Arial" w:hAnsi="Arial" w:cs="Arial"/>
                <w:b w:val="0"/>
                <w:color w:val="000000" w:themeColor="text1"/>
              </w:rPr>
              <w:t xml:space="preserve"> (</w:t>
            </w:r>
            <w:r w:rsidRPr="00A14B67">
              <w:rPr>
                <w:rFonts w:ascii="Arial" w:hAnsi="Arial" w:cs="Arial"/>
                <w:b w:val="0"/>
                <w:color w:val="000000" w:themeColor="text1"/>
              </w:rPr>
              <w:t>2</w:t>
            </w:r>
            <w:r w:rsidR="00A4720C" w:rsidRPr="00A14B67">
              <w:rPr>
                <w:rFonts w:ascii="Arial" w:hAnsi="Arial" w:cs="Arial"/>
                <w:b w:val="0"/>
                <w:color w:val="000000" w:themeColor="text1"/>
              </w:rPr>
              <w:t>)</w:t>
            </w:r>
            <w:r w:rsidRPr="00A14B67">
              <w:rPr>
                <w:rFonts w:ascii="Arial" w:hAnsi="Arial" w:cs="Arial"/>
                <w:b w:val="0"/>
                <w:color w:val="000000" w:themeColor="text1"/>
              </w:rPr>
              <w:t>'</w:t>
            </w:r>
          </w:p>
        </w:tc>
        <w:tc>
          <w:tcPr>
            <w:tcW w:w="3844" w:type="dxa"/>
          </w:tcPr>
          <w:p w14:paraId="371E399C" w14:textId="0F713CA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'MIP-RLV'</w:t>
            </w:r>
          </w:p>
        </w:tc>
      </w:tr>
      <w:tr w:rsidR="00724DA2" w:rsidRPr="00A14B67" w14:paraId="43D9B987" w14:textId="77777777" w:rsidTr="00BE5E43">
        <w:trPr>
          <w:trHeight w:val="259"/>
        </w:trPr>
        <w:tc>
          <w:tcPr>
            <w:tcW w:w="1836" w:type="dxa"/>
          </w:tcPr>
          <w:p w14:paraId="735C814A" w14:textId="3C7BF38C" w:rsidR="00724DA2" w:rsidRPr="00A14B67" w:rsidRDefault="006A7900" w:rsidP="00B47606">
            <w:pPr>
              <w:pStyle w:val="Caption"/>
              <w:keepNext/>
              <w:rPr>
                <w:rFonts w:ascii="Arial" w:hAnsi="Arial" w:cs="Arial"/>
                <w:b w:val="0"/>
                <w:color w:val="000000" w:themeColor="text1"/>
              </w:rPr>
            </w:pPr>
            <w:r w:rsidRPr="00A14B67">
              <w:rPr>
                <w:rFonts w:ascii="Arial" w:hAnsi="Arial" w:cs="Arial"/>
                <w:b w:val="0"/>
                <w:color w:val="000000" w:themeColor="text1"/>
              </w:rPr>
              <w:t>'AIP-SZHGE</w:t>
            </w:r>
            <w:r w:rsidR="00724DA2" w:rsidRPr="00A14B67">
              <w:rPr>
                <w:rFonts w:ascii="Arial" w:hAnsi="Arial" w:cs="Arial"/>
                <w:b w:val="0"/>
                <w:color w:val="000000" w:themeColor="text1"/>
              </w:rPr>
              <w:t>'</w:t>
            </w:r>
          </w:p>
        </w:tc>
        <w:tc>
          <w:tcPr>
            <w:tcW w:w="1708" w:type="dxa"/>
          </w:tcPr>
          <w:p w14:paraId="300F005F" w14:textId="44824417"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'SIP-LRLGE'</w:t>
            </w:r>
          </w:p>
        </w:tc>
        <w:tc>
          <w:tcPr>
            <w:tcW w:w="3402" w:type="dxa"/>
          </w:tcPr>
          <w:p w14:paraId="3ED8DE95" w14:textId="547AFE8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'SIP-Variance</w:t>
            </w:r>
            <w:r w:rsidR="00A4720C" w:rsidRPr="00A14B67">
              <w:rPr>
                <w:rFonts w:ascii="Arial" w:hAnsi="Arial" w:cs="Arial"/>
                <w:b w:val="0"/>
                <w:color w:val="000000" w:themeColor="text1"/>
              </w:rPr>
              <w:t xml:space="preserve"> (1)</w:t>
            </w:r>
            <w:r w:rsidRPr="00A14B67">
              <w:rPr>
                <w:rFonts w:ascii="Arial" w:hAnsi="Arial" w:cs="Arial"/>
                <w:b w:val="0"/>
                <w:color w:val="000000" w:themeColor="text1"/>
              </w:rPr>
              <w:t>'</w:t>
            </w:r>
          </w:p>
        </w:tc>
        <w:tc>
          <w:tcPr>
            <w:tcW w:w="3844" w:type="dxa"/>
          </w:tcPr>
          <w:p w14:paraId="20DFC6C8" w14:textId="0BBB4533"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'MIP-Variance</w:t>
            </w:r>
            <w:r w:rsidR="005E6ABB" w:rsidRPr="00A14B67">
              <w:rPr>
                <w:rFonts w:ascii="Arial" w:hAnsi="Arial" w:cs="Arial"/>
                <w:b w:val="0"/>
                <w:color w:val="000000" w:themeColor="text1"/>
              </w:rPr>
              <w:t xml:space="preserve"> (2)</w:t>
            </w:r>
            <w:r w:rsidRPr="00A14B67">
              <w:rPr>
                <w:rFonts w:ascii="Arial" w:hAnsi="Arial" w:cs="Arial"/>
                <w:b w:val="0"/>
                <w:color w:val="000000" w:themeColor="text1"/>
              </w:rPr>
              <w:t>'</w:t>
            </w:r>
          </w:p>
        </w:tc>
      </w:tr>
      <w:tr w:rsidR="00724DA2" w:rsidRPr="00A14B67" w14:paraId="707F5210" w14:textId="77777777" w:rsidTr="00BE5E43">
        <w:trPr>
          <w:trHeight w:val="227"/>
        </w:trPr>
        <w:tc>
          <w:tcPr>
            <w:tcW w:w="1836" w:type="dxa"/>
          </w:tcPr>
          <w:p w14:paraId="12AF45D7" w14:textId="46A2CAB8" w:rsidR="00724DA2" w:rsidRPr="00A14B67" w:rsidRDefault="006A7900" w:rsidP="00B47606">
            <w:pPr>
              <w:pStyle w:val="Caption"/>
              <w:keepNext/>
              <w:rPr>
                <w:rFonts w:ascii="Arial" w:hAnsi="Arial" w:cs="Arial"/>
                <w:b w:val="0"/>
                <w:color w:val="000000" w:themeColor="text1"/>
              </w:rPr>
            </w:pPr>
            <w:r w:rsidRPr="00A14B67">
              <w:rPr>
                <w:rFonts w:ascii="Arial" w:hAnsi="Arial" w:cs="Arial"/>
                <w:b w:val="0"/>
                <w:color w:val="000000" w:themeColor="text1"/>
              </w:rPr>
              <w:t>'AIP-LZLGE</w:t>
            </w:r>
            <w:r w:rsidR="00724DA2" w:rsidRPr="00A14B67">
              <w:rPr>
                <w:rFonts w:ascii="Arial" w:hAnsi="Arial" w:cs="Arial"/>
                <w:b w:val="0"/>
                <w:color w:val="000000" w:themeColor="text1"/>
              </w:rPr>
              <w:t>'</w:t>
            </w:r>
          </w:p>
        </w:tc>
        <w:tc>
          <w:tcPr>
            <w:tcW w:w="1708" w:type="dxa"/>
          </w:tcPr>
          <w:p w14:paraId="436D40E0" w14:textId="0D8412AF"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'SIP-LRHGE'</w:t>
            </w:r>
          </w:p>
        </w:tc>
        <w:tc>
          <w:tcPr>
            <w:tcW w:w="3402" w:type="dxa"/>
          </w:tcPr>
          <w:p w14:paraId="6916FBC1" w14:textId="1ECD848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'SIP-RLV'</w:t>
            </w:r>
          </w:p>
        </w:tc>
        <w:tc>
          <w:tcPr>
            <w:tcW w:w="3844" w:type="dxa"/>
          </w:tcPr>
          <w:p w14:paraId="31C51339" w14:textId="1C2AB717"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'SIP-Contrast</w:t>
            </w:r>
            <w:r w:rsidR="001A648C" w:rsidRPr="00A14B67">
              <w:rPr>
                <w:rFonts w:ascii="Arial" w:hAnsi="Arial" w:cs="Arial"/>
                <w:b w:val="0"/>
                <w:color w:val="000000" w:themeColor="text1"/>
              </w:rPr>
              <w:t xml:space="preserve"> (1)</w:t>
            </w:r>
            <w:r w:rsidRPr="00A14B67">
              <w:rPr>
                <w:rFonts w:ascii="Arial" w:hAnsi="Arial" w:cs="Arial"/>
                <w:b w:val="0"/>
                <w:color w:val="000000" w:themeColor="text1"/>
              </w:rPr>
              <w:t>'</w:t>
            </w:r>
          </w:p>
        </w:tc>
      </w:tr>
      <w:tr w:rsidR="00724DA2" w:rsidRPr="00A14B67" w14:paraId="3615EAFD" w14:textId="77777777" w:rsidTr="00BE5E43">
        <w:trPr>
          <w:trHeight w:val="227"/>
        </w:trPr>
        <w:tc>
          <w:tcPr>
            <w:tcW w:w="1836" w:type="dxa"/>
          </w:tcPr>
          <w:p w14:paraId="5F7C2047" w14:textId="5471DA01" w:rsidR="00724DA2" w:rsidRPr="00A14B67" w:rsidRDefault="006A7900" w:rsidP="00B47606">
            <w:pPr>
              <w:pStyle w:val="Caption"/>
              <w:keepNext/>
              <w:rPr>
                <w:rFonts w:ascii="Arial" w:hAnsi="Arial" w:cs="Arial"/>
                <w:b w:val="0"/>
                <w:color w:val="000000" w:themeColor="text1"/>
              </w:rPr>
            </w:pPr>
            <w:r w:rsidRPr="00A14B67">
              <w:rPr>
                <w:rFonts w:ascii="Arial" w:hAnsi="Arial" w:cs="Arial"/>
                <w:b w:val="0"/>
                <w:color w:val="000000" w:themeColor="text1"/>
              </w:rPr>
              <w:t>'AIP-LRE</w:t>
            </w:r>
            <w:r w:rsidR="00724DA2" w:rsidRPr="00A14B67">
              <w:rPr>
                <w:rFonts w:ascii="Arial" w:hAnsi="Arial" w:cs="Arial"/>
                <w:b w:val="0"/>
                <w:color w:val="000000" w:themeColor="text1"/>
              </w:rPr>
              <w:t>'</w:t>
            </w:r>
          </w:p>
        </w:tc>
        <w:tc>
          <w:tcPr>
            <w:tcW w:w="1708" w:type="dxa"/>
          </w:tcPr>
          <w:p w14:paraId="3590C909" w14:textId="4D62681E"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'SIP-RLV'</w:t>
            </w:r>
          </w:p>
        </w:tc>
        <w:tc>
          <w:tcPr>
            <w:tcW w:w="3402" w:type="dxa"/>
          </w:tcPr>
          <w:p w14:paraId="37EF365C" w14:textId="53411366"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'SIP-Variance</w:t>
            </w:r>
            <w:r w:rsidR="00A4720C" w:rsidRPr="00A14B67">
              <w:rPr>
                <w:rFonts w:ascii="Arial" w:hAnsi="Arial" w:cs="Arial"/>
                <w:b w:val="0"/>
                <w:color w:val="000000" w:themeColor="text1"/>
              </w:rPr>
              <w:t xml:space="preserve"> (2)</w:t>
            </w:r>
            <w:r w:rsidRPr="00A14B67">
              <w:rPr>
                <w:rFonts w:ascii="Arial" w:hAnsi="Arial" w:cs="Arial"/>
                <w:b w:val="0"/>
                <w:color w:val="000000" w:themeColor="text1"/>
              </w:rPr>
              <w:t>'</w:t>
            </w:r>
          </w:p>
        </w:tc>
        <w:tc>
          <w:tcPr>
            <w:tcW w:w="3844" w:type="dxa"/>
          </w:tcPr>
          <w:p w14:paraId="6F0536D8" w14:textId="079BFD55"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'SIP-Variance</w:t>
            </w:r>
            <w:r w:rsidR="005E6ABB" w:rsidRPr="00A14B67">
              <w:rPr>
                <w:rFonts w:ascii="Arial" w:hAnsi="Arial" w:cs="Arial"/>
                <w:b w:val="0"/>
                <w:color w:val="000000" w:themeColor="text1"/>
              </w:rPr>
              <w:t xml:space="preserve"> (1)</w:t>
            </w:r>
            <w:r w:rsidRPr="00A14B67">
              <w:rPr>
                <w:rFonts w:ascii="Arial" w:hAnsi="Arial" w:cs="Arial"/>
                <w:b w:val="0"/>
                <w:color w:val="000000" w:themeColor="text1"/>
              </w:rPr>
              <w:t>'</w:t>
            </w:r>
          </w:p>
        </w:tc>
      </w:tr>
      <w:tr w:rsidR="00724DA2" w:rsidRPr="00A14B67" w14:paraId="1376A73F" w14:textId="77777777" w:rsidTr="00BE5E43">
        <w:trPr>
          <w:trHeight w:val="227"/>
        </w:trPr>
        <w:tc>
          <w:tcPr>
            <w:tcW w:w="1836" w:type="dxa"/>
          </w:tcPr>
          <w:p w14:paraId="01E4C2C2" w14:textId="138F7710" w:rsidR="00724DA2" w:rsidRPr="00A14B67" w:rsidRDefault="004971CA" w:rsidP="00B47606">
            <w:pPr>
              <w:pStyle w:val="Caption"/>
              <w:keepNext/>
              <w:rPr>
                <w:rFonts w:ascii="Arial" w:hAnsi="Arial" w:cs="Arial"/>
                <w:b w:val="0"/>
                <w:color w:val="000000" w:themeColor="text1"/>
              </w:rPr>
            </w:pPr>
            <w:r w:rsidRPr="00A14B67">
              <w:rPr>
                <w:rFonts w:ascii="Arial" w:hAnsi="Arial" w:cs="Arial"/>
                <w:b w:val="0"/>
                <w:color w:val="000000" w:themeColor="text1"/>
              </w:rPr>
              <w:t>'AIP-GLN</w:t>
            </w:r>
            <w:r w:rsidR="009939A6" w:rsidRPr="00A14B67">
              <w:rPr>
                <w:rFonts w:ascii="Arial" w:hAnsi="Arial" w:cs="Arial"/>
                <w:b w:val="0"/>
                <w:color w:val="000000" w:themeColor="text1"/>
              </w:rPr>
              <w:t xml:space="preserve"> </w:t>
            </w:r>
            <w:r w:rsidRPr="00A14B67">
              <w:rPr>
                <w:rFonts w:ascii="Arial" w:hAnsi="Arial" w:cs="Arial"/>
                <w:b w:val="0"/>
                <w:color w:val="000000" w:themeColor="text1"/>
              </w:rPr>
              <w:t>(2)</w:t>
            </w:r>
            <w:r w:rsidR="00724DA2" w:rsidRPr="00A14B67">
              <w:rPr>
                <w:rFonts w:ascii="Arial" w:hAnsi="Arial" w:cs="Arial"/>
                <w:b w:val="0"/>
                <w:color w:val="000000" w:themeColor="text1"/>
              </w:rPr>
              <w:t>'</w:t>
            </w:r>
          </w:p>
        </w:tc>
        <w:tc>
          <w:tcPr>
            <w:tcW w:w="1708" w:type="dxa"/>
          </w:tcPr>
          <w:p w14:paraId="744EA24F" w14:textId="02921B5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'SIP-Variance</w:t>
            </w:r>
            <w:r w:rsidR="0059342C" w:rsidRPr="00A14B67">
              <w:rPr>
                <w:rFonts w:ascii="Arial" w:hAnsi="Arial" w:cs="Arial"/>
                <w:b w:val="0"/>
                <w:color w:val="000000" w:themeColor="text1"/>
              </w:rPr>
              <w:t xml:space="preserve"> (2)</w:t>
            </w:r>
            <w:r w:rsidRPr="00A14B67">
              <w:rPr>
                <w:rFonts w:ascii="Arial" w:hAnsi="Arial" w:cs="Arial"/>
                <w:b w:val="0"/>
                <w:color w:val="000000" w:themeColor="text1"/>
              </w:rPr>
              <w:t>'</w:t>
            </w:r>
          </w:p>
        </w:tc>
        <w:tc>
          <w:tcPr>
            <w:tcW w:w="3402" w:type="dxa"/>
          </w:tcPr>
          <w:p w14:paraId="40102D98" w14:textId="3A3029B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'PE-Energy'</w:t>
            </w:r>
          </w:p>
        </w:tc>
        <w:tc>
          <w:tcPr>
            <w:tcW w:w="3844" w:type="dxa"/>
          </w:tcPr>
          <w:p w14:paraId="47B20500" w14:textId="7871A28D"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'SIP-SRHGE'</w:t>
            </w:r>
          </w:p>
        </w:tc>
      </w:tr>
      <w:tr w:rsidR="00724DA2" w:rsidRPr="00A14B67" w14:paraId="7329E783" w14:textId="77777777" w:rsidTr="00BE5E43">
        <w:trPr>
          <w:trHeight w:val="227"/>
        </w:trPr>
        <w:tc>
          <w:tcPr>
            <w:tcW w:w="1836" w:type="dxa"/>
          </w:tcPr>
          <w:p w14:paraId="49FAD1FC" w14:textId="5EF66B52"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'AIP-LRLGE'</w:t>
            </w:r>
          </w:p>
        </w:tc>
        <w:tc>
          <w:tcPr>
            <w:tcW w:w="1708" w:type="dxa"/>
          </w:tcPr>
          <w:p w14:paraId="5CA18A15" w14:textId="2E8002EE"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'PE-LRLGE'</w:t>
            </w:r>
          </w:p>
        </w:tc>
        <w:tc>
          <w:tcPr>
            <w:tcW w:w="3402" w:type="dxa"/>
          </w:tcPr>
          <w:p w14:paraId="36568FEE" w14:textId="7FFD2BA4"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'PE-Variance</w:t>
            </w:r>
            <w:r w:rsidR="00A4720C" w:rsidRPr="00A14B67">
              <w:rPr>
                <w:rFonts w:ascii="Arial" w:hAnsi="Arial" w:cs="Arial"/>
                <w:b w:val="0"/>
                <w:color w:val="000000" w:themeColor="text1"/>
              </w:rPr>
              <w:t xml:space="preserve"> (1)</w:t>
            </w:r>
            <w:r w:rsidRPr="00A14B67">
              <w:rPr>
                <w:rFonts w:ascii="Arial" w:hAnsi="Arial" w:cs="Arial"/>
                <w:b w:val="0"/>
                <w:color w:val="000000" w:themeColor="text1"/>
              </w:rPr>
              <w:t>'</w:t>
            </w:r>
          </w:p>
        </w:tc>
        <w:tc>
          <w:tcPr>
            <w:tcW w:w="3844" w:type="dxa"/>
          </w:tcPr>
          <w:p w14:paraId="31DC8011" w14:textId="636E9057"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'SIP-RLV'</w:t>
            </w:r>
          </w:p>
        </w:tc>
      </w:tr>
      <w:tr w:rsidR="00724DA2" w:rsidRPr="00A14B67" w14:paraId="04B25B47" w14:textId="77777777" w:rsidTr="00BE5E43">
        <w:trPr>
          <w:trHeight w:val="227"/>
        </w:trPr>
        <w:tc>
          <w:tcPr>
            <w:tcW w:w="1836" w:type="dxa"/>
          </w:tcPr>
          <w:p w14:paraId="29A3768A" w14:textId="049F51A2"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'AIP-RLV'</w:t>
            </w:r>
          </w:p>
        </w:tc>
        <w:tc>
          <w:tcPr>
            <w:tcW w:w="1708" w:type="dxa"/>
          </w:tcPr>
          <w:p w14:paraId="45D2CF7F" w14:textId="6F0B787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'PE-RLV'</w:t>
            </w:r>
          </w:p>
        </w:tc>
        <w:tc>
          <w:tcPr>
            <w:tcW w:w="3402" w:type="dxa"/>
          </w:tcPr>
          <w:p w14:paraId="7F075FF9" w14:textId="261A1593"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'PE-ZSV'</w:t>
            </w:r>
          </w:p>
        </w:tc>
        <w:tc>
          <w:tcPr>
            <w:tcW w:w="3844" w:type="dxa"/>
          </w:tcPr>
          <w:p w14:paraId="58F9DD79" w14:textId="4C52400E"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'SIP-Contrast</w:t>
            </w:r>
            <w:r w:rsidR="005E6ABB" w:rsidRPr="00A14B67">
              <w:rPr>
                <w:rFonts w:ascii="Arial" w:hAnsi="Arial" w:cs="Arial"/>
                <w:b w:val="0"/>
                <w:color w:val="000000" w:themeColor="text1"/>
              </w:rPr>
              <w:t xml:space="preserve"> (2)</w:t>
            </w:r>
            <w:r w:rsidRPr="00A14B67">
              <w:rPr>
                <w:rFonts w:ascii="Arial" w:hAnsi="Arial" w:cs="Arial"/>
                <w:b w:val="0"/>
                <w:color w:val="000000" w:themeColor="text1"/>
              </w:rPr>
              <w:t>'</w:t>
            </w:r>
          </w:p>
        </w:tc>
      </w:tr>
      <w:tr w:rsidR="00724DA2" w:rsidRPr="00A14B67" w14:paraId="1388EFF2" w14:textId="77777777" w:rsidTr="00BE5E43">
        <w:trPr>
          <w:trHeight w:val="227"/>
        </w:trPr>
        <w:tc>
          <w:tcPr>
            <w:tcW w:w="1836" w:type="dxa"/>
          </w:tcPr>
          <w:p w14:paraId="496470FC" w14:textId="77A27E8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'AIP-Skewness'</w:t>
            </w:r>
          </w:p>
        </w:tc>
        <w:tc>
          <w:tcPr>
            <w:tcW w:w="1708" w:type="dxa"/>
          </w:tcPr>
          <w:p w14:paraId="16177CEB" w14:textId="2FDD87A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'AUC-Energy'</w:t>
            </w:r>
          </w:p>
        </w:tc>
        <w:tc>
          <w:tcPr>
            <w:tcW w:w="3402" w:type="dxa"/>
          </w:tcPr>
          <w:p w14:paraId="2D4F443F" w14:textId="60AA779F"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'PE-GLN</w:t>
            </w:r>
            <w:r w:rsidR="00CC0415" w:rsidRPr="00A14B67">
              <w:rPr>
                <w:rFonts w:ascii="Arial" w:hAnsi="Arial" w:cs="Arial"/>
                <w:b w:val="0"/>
                <w:color w:val="000000" w:themeColor="text1"/>
              </w:rPr>
              <w:t xml:space="preserve"> (2)</w:t>
            </w:r>
            <w:r w:rsidRPr="00A14B67">
              <w:rPr>
                <w:rFonts w:ascii="Arial" w:hAnsi="Arial" w:cs="Arial"/>
                <w:b w:val="0"/>
                <w:color w:val="000000" w:themeColor="text1"/>
              </w:rPr>
              <w:t>'</w:t>
            </w:r>
          </w:p>
        </w:tc>
        <w:tc>
          <w:tcPr>
            <w:tcW w:w="3844" w:type="dxa"/>
          </w:tcPr>
          <w:p w14:paraId="54F9F06A" w14:textId="4F6AF84E"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'SIP-Variance</w:t>
            </w:r>
            <w:r w:rsidR="005E6ABB" w:rsidRPr="00A14B67">
              <w:rPr>
                <w:rFonts w:ascii="Arial" w:hAnsi="Arial" w:cs="Arial"/>
                <w:b w:val="0"/>
                <w:color w:val="000000" w:themeColor="text1"/>
              </w:rPr>
              <w:t xml:space="preserve"> (2)</w:t>
            </w:r>
            <w:r w:rsidRPr="00A14B67">
              <w:rPr>
                <w:rFonts w:ascii="Arial" w:hAnsi="Arial" w:cs="Arial"/>
                <w:b w:val="0"/>
                <w:color w:val="000000" w:themeColor="text1"/>
              </w:rPr>
              <w:t>'</w:t>
            </w:r>
          </w:p>
        </w:tc>
      </w:tr>
      <w:tr w:rsidR="00724DA2" w:rsidRPr="00A14B67" w14:paraId="77FD7411" w14:textId="77777777" w:rsidTr="00BE5E43">
        <w:trPr>
          <w:trHeight w:val="227"/>
        </w:trPr>
        <w:tc>
          <w:tcPr>
            <w:tcW w:w="1836" w:type="dxa"/>
          </w:tcPr>
          <w:p w14:paraId="0769DDCD" w14:textId="7474EF7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'AIP-Kurtosis'</w:t>
            </w:r>
          </w:p>
        </w:tc>
        <w:tc>
          <w:tcPr>
            <w:tcW w:w="1708" w:type="dxa"/>
          </w:tcPr>
          <w:p w14:paraId="4EEE2ABB" w14:textId="45144050"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'AUC-ZSN'</w:t>
            </w:r>
          </w:p>
        </w:tc>
        <w:tc>
          <w:tcPr>
            <w:tcW w:w="3402" w:type="dxa"/>
          </w:tcPr>
          <w:p w14:paraId="036EAE82" w14:textId="2837BEFF"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'AUC-Energy'</w:t>
            </w:r>
          </w:p>
        </w:tc>
        <w:tc>
          <w:tcPr>
            <w:tcW w:w="3844" w:type="dxa"/>
          </w:tcPr>
          <w:p w14:paraId="48296B12" w14:textId="72426B72"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'SIP-Skewness'</w:t>
            </w:r>
          </w:p>
        </w:tc>
      </w:tr>
      <w:tr w:rsidR="00724DA2" w:rsidRPr="00A14B67" w14:paraId="1E7B6A7A" w14:textId="77777777" w:rsidTr="00BE5E43">
        <w:trPr>
          <w:trHeight w:val="227"/>
        </w:trPr>
        <w:tc>
          <w:tcPr>
            <w:tcW w:w="1836" w:type="dxa"/>
          </w:tcPr>
          <w:p w14:paraId="515AAAE8" w14:textId="34F41601"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'MIP-Variance</w:t>
            </w:r>
            <w:r w:rsidR="00724628" w:rsidRPr="00A14B67">
              <w:rPr>
                <w:rFonts w:ascii="Arial" w:hAnsi="Arial" w:cs="Arial"/>
                <w:b w:val="0"/>
                <w:color w:val="000000" w:themeColor="text1"/>
              </w:rPr>
              <w:t xml:space="preserve"> (1)</w:t>
            </w:r>
            <w:r w:rsidRPr="00A14B67">
              <w:rPr>
                <w:rFonts w:ascii="Arial" w:hAnsi="Arial" w:cs="Arial"/>
                <w:b w:val="0"/>
                <w:color w:val="000000" w:themeColor="text1"/>
              </w:rPr>
              <w:t>'</w:t>
            </w:r>
          </w:p>
        </w:tc>
        <w:tc>
          <w:tcPr>
            <w:tcW w:w="1708" w:type="dxa"/>
          </w:tcPr>
          <w:p w14:paraId="2FCAC755" w14:textId="12FCEF25"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'AUC-SZHGE'</w:t>
            </w:r>
          </w:p>
        </w:tc>
        <w:tc>
          <w:tcPr>
            <w:tcW w:w="3402" w:type="dxa"/>
          </w:tcPr>
          <w:p w14:paraId="1E5B7481" w14:textId="1BCEE716"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'AUC-SZ</w:t>
            </w:r>
            <w:r w:rsidR="005E6ABB" w:rsidRPr="00A14B67">
              <w:rPr>
                <w:rFonts w:ascii="Arial" w:hAnsi="Arial" w:cs="Arial"/>
                <w:b w:val="0"/>
                <w:color w:val="000000" w:themeColor="text1"/>
              </w:rPr>
              <w:t>E</w:t>
            </w:r>
            <w:r w:rsidRPr="00A14B67">
              <w:rPr>
                <w:rFonts w:ascii="Arial" w:hAnsi="Arial" w:cs="Arial"/>
                <w:b w:val="0"/>
                <w:color w:val="000000" w:themeColor="text1"/>
              </w:rPr>
              <w:t>'</w:t>
            </w:r>
          </w:p>
        </w:tc>
        <w:tc>
          <w:tcPr>
            <w:tcW w:w="3844" w:type="dxa"/>
          </w:tcPr>
          <w:p w14:paraId="359133C2" w14:textId="1A9606FF"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'AUC-Energy'</w:t>
            </w:r>
          </w:p>
        </w:tc>
      </w:tr>
      <w:tr w:rsidR="00724DA2" w:rsidRPr="00A14B67" w14:paraId="4B02A528" w14:textId="77777777" w:rsidTr="00BE5E43">
        <w:trPr>
          <w:trHeight w:val="262"/>
        </w:trPr>
        <w:tc>
          <w:tcPr>
            <w:tcW w:w="1836" w:type="dxa"/>
          </w:tcPr>
          <w:p w14:paraId="7FB08B5B" w14:textId="0C6F1C8F"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'MIP-LZLGE'</w:t>
            </w:r>
          </w:p>
        </w:tc>
        <w:tc>
          <w:tcPr>
            <w:tcW w:w="1708" w:type="dxa"/>
          </w:tcPr>
          <w:p w14:paraId="73BF42AD" w14:textId="1DA763AE"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'AUC-LRE'</w:t>
            </w:r>
          </w:p>
        </w:tc>
        <w:tc>
          <w:tcPr>
            <w:tcW w:w="3402" w:type="dxa"/>
          </w:tcPr>
          <w:p w14:paraId="32DF1560" w14:textId="5D82DD93"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'AUC-ZSN'</w:t>
            </w:r>
          </w:p>
        </w:tc>
        <w:tc>
          <w:tcPr>
            <w:tcW w:w="3844" w:type="dxa"/>
          </w:tcPr>
          <w:p w14:paraId="3343CC55" w14:textId="0499EDF6"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'AUC-SZE'</w:t>
            </w:r>
          </w:p>
        </w:tc>
      </w:tr>
      <w:tr w:rsidR="00724DA2" w:rsidRPr="00A14B67" w14:paraId="36B7F921" w14:textId="77777777" w:rsidTr="00BE5E43">
        <w:trPr>
          <w:trHeight w:val="227"/>
        </w:trPr>
        <w:tc>
          <w:tcPr>
            <w:tcW w:w="1836" w:type="dxa"/>
          </w:tcPr>
          <w:p w14:paraId="3F86C5ED" w14:textId="39A7D9D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'MIP-LRE'</w:t>
            </w:r>
          </w:p>
        </w:tc>
        <w:tc>
          <w:tcPr>
            <w:tcW w:w="1708" w:type="dxa"/>
          </w:tcPr>
          <w:p w14:paraId="1203925F" w14:textId="775DA9F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'AUC-GLN</w:t>
            </w:r>
            <w:r w:rsidR="00A4720C" w:rsidRPr="00A14B67">
              <w:rPr>
                <w:rFonts w:ascii="Arial" w:hAnsi="Arial" w:cs="Arial"/>
                <w:b w:val="0"/>
                <w:color w:val="000000" w:themeColor="text1"/>
              </w:rPr>
              <w:t xml:space="preserve"> (2)</w:t>
            </w:r>
            <w:r w:rsidRPr="00A14B67">
              <w:rPr>
                <w:rFonts w:ascii="Arial" w:hAnsi="Arial" w:cs="Arial"/>
                <w:b w:val="0"/>
                <w:color w:val="000000" w:themeColor="text1"/>
              </w:rPr>
              <w:t>'</w:t>
            </w:r>
          </w:p>
        </w:tc>
        <w:tc>
          <w:tcPr>
            <w:tcW w:w="3402" w:type="dxa"/>
          </w:tcPr>
          <w:p w14:paraId="3063D922" w14:textId="2B382ADD"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'AUC-LRE'</w:t>
            </w:r>
          </w:p>
        </w:tc>
        <w:tc>
          <w:tcPr>
            <w:tcW w:w="3844" w:type="dxa"/>
          </w:tcPr>
          <w:p w14:paraId="018DC47F" w14:textId="22DD70F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'AUC-LZE'</w:t>
            </w:r>
          </w:p>
        </w:tc>
      </w:tr>
      <w:tr w:rsidR="00724DA2" w:rsidRPr="00A14B67" w14:paraId="79E73A01" w14:textId="77777777" w:rsidTr="00BE5E43">
        <w:trPr>
          <w:trHeight w:val="227"/>
        </w:trPr>
        <w:tc>
          <w:tcPr>
            <w:tcW w:w="1836" w:type="dxa"/>
          </w:tcPr>
          <w:p w14:paraId="4ADD3B49" w14:textId="5F4EF2F3"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'MIP-GLN</w:t>
            </w:r>
            <w:r w:rsidR="007F72D3" w:rsidRPr="00A14B67">
              <w:rPr>
                <w:rFonts w:ascii="Arial" w:hAnsi="Arial" w:cs="Arial"/>
                <w:b w:val="0"/>
                <w:color w:val="000000" w:themeColor="text1"/>
              </w:rPr>
              <w:t xml:space="preserve"> (2)</w:t>
            </w:r>
            <w:r w:rsidRPr="00A14B67">
              <w:rPr>
                <w:rFonts w:ascii="Arial" w:hAnsi="Arial" w:cs="Arial"/>
                <w:b w:val="0"/>
                <w:color w:val="000000" w:themeColor="text1"/>
              </w:rPr>
              <w:t>'</w:t>
            </w:r>
          </w:p>
        </w:tc>
        <w:tc>
          <w:tcPr>
            <w:tcW w:w="1708" w:type="dxa"/>
          </w:tcPr>
          <w:p w14:paraId="2BB0B231" w14:textId="72CB3C5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'AUC-LGRE'</w:t>
            </w:r>
          </w:p>
        </w:tc>
        <w:tc>
          <w:tcPr>
            <w:tcW w:w="3402" w:type="dxa"/>
          </w:tcPr>
          <w:p w14:paraId="24382BB9" w14:textId="284974B3"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'AUC-GLN</w:t>
            </w:r>
            <w:r w:rsidR="005E6ABB" w:rsidRPr="00A14B67">
              <w:rPr>
                <w:rFonts w:ascii="Arial" w:hAnsi="Arial" w:cs="Arial"/>
                <w:b w:val="0"/>
                <w:color w:val="000000" w:themeColor="text1"/>
              </w:rPr>
              <w:t xml:space="preserve"> (2)</w:t>
            </w:r>
            <w:r w:rsidRPr="00A14B67">
              <w:rPr>
                <w:rFonts w:ascii="Arial" w:hAnsi="Arial" w:cs="Arial"/>
                <w:b w:val="0"/>
                <w:color w:val="000000" w:themeColor="text1"/>
              </w:rPr>
              <w:t>'</w:t>
            </w:r>
          </w:p>
        </w:tc>
        <w:tc>
          <w:tcPr>
            <w:tcW w:w="3844" w:type="dxa"/>
          </w:tcPr>
          <w:p w14:paraId="19F227A2" w14:textId="1223A117"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'AUC-ZSN'</w:t>
            </w:r>
          </w:p>
        </w:tc>
      </w:tr>
      <w:tr w:rsidR="00724DA2" w:rsidRPr="00A14B67" w14:paraId="5C8399E6" w14:textId="77777777" w:rsidTr="00BE5E43">
        <w:trPr>
          <w:trHeight w:val="227"/>
        </w:trPr>
        <w:tc>
          <w:tcPr>
            <w:tcW w:w="1836" w:type="dxa"/>
          </w:tcPr>
          <w:p w14:paraId="36A9357F" w14:textId="79D72DFF"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'MIP-HGRE'</w:t>
            </w:r>
          </w:p>
        </w:tc>
        <w:tc>
          <w:tcPr>
            <w:tcW w:w="1708" w:type="dxa"/>
          </w:tcPr>
          <w:p w14:paraId="7E6E6530" w14:textId="4F0C7FA7"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'AUC-SRLGE'</w:t>
            </w:r>
          </w:p>
        </w:tc>
        <w:tc>
          <w:tcPr>
            <w:tcW w:w="3402" w:type="dxa"/>
          </w:tcPr>
          <w:p w14:paraId="147609CE" w14:textId="340FDB20"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'AUC-RLV'</w:t>
            </w:r>
          </w:p>
        </w:tc>
        <w:tc>
          <w:tcPr>
            <w:tcW w:w="3844" w:type="dxa"/>
          </w:tcPr>
          <w:p w14:paraId="0F62CDF3" w14:textId="7A60D6CE"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'AUC-LZHGE'</w:t>
            </w:r>
          </w:p>
        </w:tc>
      </w:tr>
      <w:tr w:rsidR="00724DA2" w:rsidRPr="00A14B67" w14:paraId="006D5EEB" w14:textId="77777777" w:rsidTr="00BE5E43">
        <w:trPr>
          <w:trHeight w:val="227"/>
        </w:trPr>
        <w:tc>
          <w:tcPr>
            <w:tcW w:w="1836" w:type="dxa"/>
          </w:tcPr>
          <w:p w14:paraId="3FB3F65B" w14:textId="2D8A18C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'MIP-SRHGE'</w:t>
            </w:r>
          </w:p>
        </w:tc>
        <w:tc>
          <w:tcPr>
            <w:tcW w:w="1708" w:type="dxa"/>
          </w:tcPr>
          <w:p w14:paraId="11589B65" w14:textId="25E5BF2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'AUC-LRLGE'</w:t>
            </w:r>
          </w:p>
        </w:tc>
        <w:tc>
          <w:tcPr>
            <w:tcW w:w="3402" w:type="dxa"/>
          </w:tcPr>
          <w:p w14:paraId="75FEC6D0" w14:textId="72DF1E04"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'PE-Energy'</w:t>
            </w:r>
          </w:p>
        </w:tc>
        <w:tc>
          <w:tcPr>
            <w:tcW w:w="3844" w:type="dxa"/>
          </w:tcPr>
          <w:p w14:paraId="4A1E1DE3" w14:textId="75E3B75A" w:rsidR="00724DA2" w:rsidRPr="00A14B67" w:rsidRDefault="00724DA2" w:rsidP="00B47606">
            <w:pPr>
              <w:pStyle w:val="Caption"/>
              <w:keepNext/>
              <w:rPr>
                <w:rFonts w:ascii="Arial" w:hAnsi="Arial" w:cs="Arial"/>
                <w:b w:val="0"/>
                <w:color w:val="000000" w:themeColor="text1"/>
              </w:rPr>
            </w:pPr>
          </w:p>
        </w:tc>
      </w:tr>
      <w:tr w:rsidR="00724DA2" w:rsidRPr="00A14B67" w14:paraId="7A555A00" w14:textId="77777777" w:rsidTr="00BE5E43">
        <w:trPr>
          <w:trHeight w:val="227"/>
        </w:trPr>
        <w:tc>
          <w:tcPr>
            <w:tcW w:w="1836" w:type="dxa"/>
          </w:tcPr>
          <w:p w14:paraId="7EDEFB7D" w14:textId="79E3C0E4"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'MIP-LRHGE'</w:t>
            </w:r>
          </w:p>
        </w:tc>
        <w:tc>
          <w:tcPr>
            <w:tcW w:w="1708" w:type="dxa"/>
          </w:tcPr>
          <w:p w14:paraId="441732BE" w14:textId="111966A1"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'AUC-RLV'</w:t>
            </w:r>
          </w:p>
        </w:tc>
        <w:tc>
          <w:tcPr>
            <w:tcW w:w="3402" w:type="dxa"/>
          </w:tcPr>
          <w:p w14:paraId="4B62EB5D" w14:textId="25AEF479"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'PE-Variance</w:t>
            </w:r>
            <w:r w:rsidR="005E6ABB" w:rsidRPr="00A14B67">
              <w:rPr>
                <w:rFonts w:ascii="Arial" w:hAnsi="Arial" w:cs="Arial"/>
                <w:b w:val="0"/>
                <w:color w:val="000000" w:themeColor="text1"/>
              </w:rPr>
              <w:t xml:space="preserve"> (1)</w:t>
            </w:r>
            <w:r w:rsidRPr="00A14B67">
              <w:rPr>
                <w:rFonts w:ascii="Arial" w:hAnsi="Arial" w:cs="Arial"/>
                <w:b w:val="0"/>
                <w:color w:val="000000" w:themeColor="text1"/>
              </w:rPr>
              <w:t>'</w:t>
            </w:r>
          </w:p>
        </w:tc>
        <w:tc>
          <w:tcPr>
            <w:tcW w:w="3844" w:type="dxa"/>
          </w:tcPr>
          <w:p w14:paraId="2CEC2507" w14:textId="3BFDFF3E" w:rsidR="00724DA2" w:rsidRPr="00A14B67" w:rsidRDefault="00724DA2" w:rsidP="00B47606">
            <w:pPr>
              <w:pStyle w:val="Caption"/>
              <w:keepNext/>
              <w:rPr>
                <w:rFonts w:ascii="Arial" w:hAnsi="Arial" w:cs="Arial"/>
                <w:b w:val="0"/>
                <w:color w:val="000000" w:themeColor="text1"/>
              </w:rPr>
            </w:pPr>
          </w:p>
        </w:tc>
      </w:tr>
      <w:tr w:rsidR="00724DA2" w:rsidRPr="00A14B67" w14:paraId="79ACEF82" w14:textId="77777777" w:rsidTr="00BE5E43">
        <w:trPr>
          <w:trHeight w:val="227"/>
        </w:trPr>
        <w:tc>
          <w:tcPr>
            <w:tcW w:w="1836" w:type="dxa"/>
          </w:tcPr>
          <w:p w14:paraId="376AB7BF" w14:textId="1682E5C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'MIP-Busyness'</w:t>
            </w:r>
          </w:p>
        </w:tc>
        <w:tc>
          <w:tcPr>
            <w:tcW w:w="1708" w:type="dxa"/>
          </w:tcPr>
          <w:p w14:paraId="7DC24FDF" w14:textId="36B62BCF"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'TP-ZP'</w:t>
            </w:r>
          </w:p>
        </w:tc>
        <w:tc>
          <w:tcPr>
            <w:tcW w:w="3402" w:type="dxa"/>
          </w:tcPr>
          <w:p w14:paraId="1417FD12" w14:textId="37B7668D" w:rsidR="00724DA2" w:rsidRPr="00A14B67" w:rsidRDefault="00724DA2" w:rsidP="00B47606">
            <w:pPr>
              <w:pStyle w:val="Caption"/>
              <w:keepNext/>
              <w:rPr>
                <w:rFonts w:ascii="Arial" w:hAnsi="Arial" w:cs="Arial"/>
                <w:b w:val="0"/>
                <w:color w:val="000000" w:themeColor="text1"/>
              </w:rPr>
            </w:pPr>
          </w:p>
        </w:tc>
        <w:tc>
          <w:tcPr>
            <w:tcW w:w="3844" w:type="dxa"/>
          </w:tcPr>
          <w:p w14:paraId="7754577B" w14:textId="1A35B7A1" w:rsidR="00724DA2" w:rsidRPr="00A14B67" w:rsidRDefault="00724DA2" w:rsidP="00B47606">
            <w:pPr>
              <w:pStyle w:val="Caption"/>
              <w:keepNext/>
              <w:rPr>
                <w:rFonts w:ascii="Arial" w:hAnsi="Arial" w:cs="Arial"/>
                <w:b w:val="0"/>
                <w:color w:val="000000" w:themeColor="text1"/>
              </w:rPr>
            </w:pPr>
          </w:p>
        </w:tc>
      </w:tr>
      <w:tr w:rsidR="00724DA2" w:rsidRPr="00A14B67" w14:paraId="5FE12E19" w14:textId="77777777" w:rsidTr="00BE5E43">
        <w:trPr>
          <w:trHeight w:val="227"/>
        </w:trPr>
        <w:tc>
          <w:tcPr>
            <w:tcW w:w="1836" w:type="dxa"/>
          </w:tcPr>
          <w:p w14:paraId="7A6D48BB" w14:textId="05BB6B3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'MIP-Variance</w:t>
            </w:r>
            <w:r w:rsidR="007F72D3" w:rsidRPr="00A14B67">
              <w:rPr>
                <w:rFonts w:ascii="Arial" w:hAnsi="Arial" w:cs="Arial"/>
                <w:b w:val="0"/>
                <w:color w:val="000000" w:themeColor="text1"/>
              </w:rPr>
              <w:t xml:space="preserve"> (2)</w:t>
            </w:r>
            <w:r w:rsidRPr="00A14B67">
              <w:rPr>
                <w:rFonts w:ascii="Arial" w:hAnsi="Arial" w:cs="Arial"/>
                <w:b w:val="0"/>
                <w:color w:val="000000" w:themeColor="text1"/>
              </w:rPr>
              <w:t>'</w:t>
            </w:r>
          </w:p>
        </w:tc>
        <w:tc>
          <w:tcPr>
            <w:tcW w:w="1708" w:type="dxa"/>
          </w:tcPr>
          <w:p w14:paraId="7F0514C3" w14:textId="020D97C5"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'T0-LZLGE'</w:t>
            </w:r>
          </w:p>
        </w:tc>
        <w:tc>
          <w:tcPr>
            <w:tcW w:w="3402" w:type="dxa"/>
          </w:tcPr>
          <w:p w14:paraId="4D8C2D89" w14:textId="11E5FC7A" w:rsidR="00724DA2" w:rsidRPr="00A14B67" w:rsidRDefault="00724DA2" w:rsidP="00B47606">
            <w:pPr>
              <w:pStyle w:val="Caption"/>
              <w:keepNext/>
              <w:rPr>
                <w:rFonts w:ascii="Arial" w:hAnsi="Arial" w:cs="Arial"/>
                <w:b w:val="0"/>
                <w:color w:val="000000" w:themeColor="text1"/>
              </w:rPr>
            </w:pPr>
          </w:p>
        </w:tc>
        <w:tc>
          <w:tcPr>
            <w:tcW w:w="3844" w:type="dxa"/>
          </w:tcPr>
          <w:p w14:paraId="15BBC780" w14:textId="19D2679E" w:rsidR="00724DA2" w:rsidRPr="00A14B67" w:rsidRDefault="00724DA2" w:rsidP="00B47606">
            <w:pPr>
              <w:pStyle w:val="Caption"/>
              <w:keepNext/>
              <w:rPr>
                <w:rFonts w:ascii="Arial" w:hAnsi="Arial" w:cs="Arial"/>
                <w:b w:val="0"/>
                <w:color w:val="000000" w:themeColor="text1"/>
              </w:rPr>
            </w:pPr>
          </w:p>
        </w:tc>
      </w:tr>
      <w:tr w:rsidR="00724DA2" w:rsidRPr="00A14B67" w14:paraId="6FEF3B55" w14:textId="77777777" w:rsidTr="00BE5E43">
        <w:trPr>
          <w:trHeight w:val="227"/>
        </w:trPr>
        <w:tc>
          <w:tcPr>
            <w:tcW w:w="1836" w:type="dxa"/>
          </w:tcPr>
          <w:p w14:paraId="5CB2628D" w14:textId="5E84122B"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'SIP-Energy'</w:t>
            </w:r>
          </w:p>
        </w:tc>
        <w:tc>
          <w:tcPr>
            <w:tcW w:w="1708" w:type="dxa"/>
          </w:tcPr>
          <w:p w14:paraId="2454040E" w14:textId="77777777" w:rsidR="00724DA2" w:rsidRPr="00A14B67" w:rsidRDefault="00724DA2" w:rsidP="00B47606">
            <w:pPr>
              <w:pStyle w:val="Caption"/>
              <w:keepNext/>
              <w:rPr>
                <w:rFonts w:ascii="Arial" w:hAnsi="Arial" w:cs="Arial"/>
                <w:b w:val="0"/>
                <w:color w:val="000000" w:themeColor="text1"/>
              </w:rPr>
            </w:pPr>
          </w:p>
        </w:tc>
        <w:tc>
          <w:tcPr>
            <w:tcW w:w="3402" w:type="dxa"/>
          </w:tcPr>
          <w:p w14:paraId="427BA386" w14:textId="229573C9" w:rsidR="00724DA2" w:rsidRPr="00A14B67" w:rsidRDefault="00724DA2" w:rsidP="00B47606">
            <w:pPr>
              <w:pStyle w:val="Caption"/>
              <w:keepNext/>
              <w:rPr>
                <w:rFonts w:ascii="Arial" w:hAnsi="Arial" w:cs="Arial"/>
                <w:b w:val="0"/>
                <w:color w:val="000000" w:themeColor="text1"/>
              </w:rPr>
            </w:pPr>
          </w:p>
        </w:tc>
        <w:tc>
          <w:tcPr>
            <w:tcW w:w="3844" w:type="dxa"/>
          </w:tcPr>
          <w:p w14:paraId="1C3D1F87" w14:textId="37DDE0DB" w:rsidR="00724DA2" w:rsidRPr="00A14B67" w:rsidRDefault="00724DA2" w:rsidP="00B47606">
            <w:pPr>
              <w:pStyle w:val="Caption"/>
              <w:keepNext/>
              <w:rPr>
                <w:rFonts w:ascii="Arial" w:hAnsi="Arial" w:cs="Arial"/>
                <w:b w:val="0"/>
                <w:color w:val="000000" w:themeColor="text1"/>
              </w:rPr>
            </w:pPr>
          </w:p>
        </w:tc>
      </w:tr>
      <w:tr w:rsidR="00724DA2" w:rsidRPr="00A14B67" w14:paraId="7D3CDE81" w14:textId="77777777" w:rsidTr="00BE5E43">
        <w:trPr>
          <w:trHeight w:val="227"/>
        </w:trPr>
        <w:tc>
          <w:tcPr>
            <w:tcW w:w="1836" w:type="dxa"/>
          </w:tcPr>
          <w:p w14:paraId="47C41C0C" w14:textId="0BB9DEE8"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'SIP-Variance</w:t>
            </w:r>
            <w:r w:rsidR="007F72D3" w:rsidRPr="00A14B67">
              <w:rPr>
                <w:rFonts w:ascii="Arial" w:hAnsi="Arial" w:cs="Arial"/>
                <w:b w:val="0"/>
                <w:color w:val="000000" w:themeColor="text1"/>
              </w:rPr>
              <w:t xml:space="preserve"> (1)</w:t>
            </w:r>
            <w:r w:rsidRPr="00A14B67">
              <w:rPr>
                <w:rFonts w:ascii="Arial" w:hAnsi="Arial" w:cs="Arial"/>
                <w:b w:val="0"/>
                <w:color w:val="000000" w:themeColor="text1"/>
              </w:rPr>
              <w:t>'</w:t>
            </w:r>
          </w:p>
        </w:tc>
        <w:tc>
          <w:tcPr>
            <w:tcW w:w="1708" w:type="dxa"/>
          </w:tcPr>
          <w:p w14:paraId="2AEC4F08" w14:textId="77777777" w:rsidR="00724DA2" w:rsidRPr="00A14B67" w:rsidRDefault="00724DA2" w:rsidP="00B47606">
            <w:pPr>
              <w:pStyle w:val="Caption"/>
              <w:keepNext/>
              <w:rPr>
                <w:rFonts w:ascii="Arial" w:hAnsi="Arial" w:cs="Arial"/>
                <w:b w:val="0"/>
                <w:color w:val="000000" w:themeColor="text1"/>
              </w:rPr>
            </w:pPr>
          </w:p>
        </w:tc>
        <w:tc>
          <w:tcPr>
            <w:tcW w:w="3402" w:type="dxa"/>
          </w:tcPr>
          <w:p w14:paraId="4974CF0D" w14:textId="5A87A6C2" w:rsidR="00724DA2" w:rsidRPr="00A14B67" w:rsidRDefault="00724DA2" w:rsidP="00B47606">
            <w:pPr>
              <w:pStyle w:val="Caption"/>
              <w:keepNext/>
              <w:rPr>
                <w:rFonts w:ascii="Arial" w:hAnsi="Arial" w:cs="Arial"/>
                <w:b w:val="0"/>
                <w:color w:val="000000" w:themeColor="text1"/>
              </w:rPr>
            </w:pPr>
          </w:p>
        </w:tc>
        <w:tc>
          <w:tcPr>
            <w:tcW w:w="3844" w:type="dxa"/>
          </w:tcPr>
          <w:p w14:paraId="213805A2" w14:textId="5607FDD6" w:rsidR="00724DA2" w:rsidRPr="00A14B67" w:rsidRDefault="00724DA2" w:rsidP="00B47606">
            <w:pPr>
              <w:pStyle w:val="Caption"/>
              <w:keepNext/>
              <w:rPr>
                <w:rFonts w:ascii="Arial" w:hAnsi="Arial" w:cs="Arial"/>
                <w:b w:val="0"/>
                <w:color w:val="000000" w:themeColor="text1"/>
              </w:rPr>
            </w:pPr>
          </w:p>
        </w:tc>
      </w:tr>
      <w:tr w:rsidR="00724DA2" w:rsidRPr="00A14B67" w14:paraId="46A94C85" w14:textId="77777777" w:rsidTr="00BE5E43">
        <w:trPr>
          <w:trHeight w:val="227"/>
        </w:trPr>
        <w:tc>
          <w:tcPr>
            <w:tcW w:w="1836" w:type="dxa"/>
          </w:tcPr>
          <w:p w14:paraId="23310615" w14:textId="74A9283E"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'SIP-LZE'</w:t>
            </w:r>
          </w:p>
        </w:tc>
        <w:tc>
          <w:tcPr>
            <w:tcW w:w="1708" w:type="dxa"/>
          </w:tcPr>
          <w:p w14:paraId="1C0EE06B" w14:textId="77777777" w:rsidR="00724DA2" w:rsidRPr="00A14B67" w:rsidRDefault="00724DA2" w:rsidP="00B47606">
            <w:pPr>
              <w:pStyle w:val="Caption"/>
              <w:keepNext/>
              <w:rPr>
                <w:rFonts w:ascii="Arial" w:hAnsi="Arial" w:cs="Arial"/>
                <w:b w:val="0"/>
                <w:color w:val="000000" w:themeColor="text1"/>
              </w:rPr>
            </w:pPr>
          </w:p>
        </w:tc>
        <w:tc>
          <w:tcPr>
            <w:tcW w:w="3402" w:type="dxa"/>
          </w:tcPr>
          <w:p w14:paraId="2AC319FD" w14:textId="211537EC" w:rsidR="00724DA2" w:rsidRPr="00A14B67" w:rsidRDefault="00724DA2" w:rsidP="00B47606">
            <w:pPr>
              <w:pStyle w:val="Caption"/>
              <w:keepNext/>
              <w:rPr>
                <w:rFonts w:ascii="Arial" w:hAnsi="Arial" w:cs="Arial"/>
                <w:b w:val="0"/>
                <w:color w:val="000000" w:themeColor="text1"/>
              </w:rPr>
            </w:pPr>
          </w:p>
        </w:tc>
        <w:tc>
          <w:tcPr>
            <w:tcW w:w="3844" w:type="dxa"/>
          </w:tcPr>
          <w:p w14:paraId="19C8C7E5" w14:textId="0BA1D123" w:rsidR="00724DA2" w:rsidRPr="00A14B67" w:rsidRDefault="00724DA2" w:rsidP="00B47606">
            <w:pPr>
              <w:pStyle w:val="Caption"/>
              <w:keepNext/>
              <w:rPr>
                <w:rFonts w:ascii="Arial" w:hAnsi="Arial" w:cs="Arial"/>
                <w:b w:val="0"/>
                <w:color w:val="000000" w:themeColor="text1"/>
              </w:rPr>
            </w:pPr>
          </w:p>
        </w:tc>
      </w:tr>
      <w:tr w:rsidR="00724DA2" w:rsidRPr="00A14B67" w14:paraId="2C18D0CF" w14:textId="77777777" w:rsidTr="00BE5E43">
        <w:trPr>
          <w:trHeight w:val="227"/>
        </w:trPr>
        <w:tc>
          <w:tcPr>
            <w:tcW w:w="1836" w:type="dxa"/>
          </w:tcPr>
          <w:p w14:paraId="67E96A39" w14:textId="1879DB0C"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'SIP-GLN</w:t>
            </w:r>
            <w:r w:rsidR="007F72D3" w:rsidRPr="00A14B67">
              <w:rPr>
                <w:rFonts w:ascii="Arial" w:hAnsi="Arial" w:cs="Arial"/>
                <w:b w:val="0"/>
                <w:color w:val="000000" w:themeColor="text1"/>
              </w:rPr>
              <w:t xml:space="preserve"> (1)</w:t>
            </w:r>
            <w:r w:rsidRPr="00A14B67">
              <w:rPr>
                <w:rFonts w:ascii="Arial" w:hAnsi="Arial" w:cs="Arial"/>
                <w:b w:val="0"/>
                <w:color w:val="000000" w:themeColor="text1"/>
              </w:rPr>
              <w:t>'</w:t>
            </w:r>
          </w:p>
        </w:tc>
        <w:tc>
          <w:tcPr>
            <w:tcW w:w="1708" w:type="dxa"/>
          </w:tcPr>
          <w:p w14:paraId="604BBCC8" w14:textId="77777777" w:rsidR="00724DA2" w:rsidRPr="00A14B67" w:rsidRDefault="00724DA2" w:rsidP="00B47606">
            <w:pPr>
              <w:pStyle w:val="Caption"/>
              <w:keepNext/>
              <w:rPr>
                <w:rFonts w:ascii="Arial" w:hAnsi="Arial" w:cs="Arial"/>
                <w:b w:val="0"/>
                <w:color w:val="000000" w:themeColor="text1"/>
              </w:rPr>
            </w:pPr>
          </w:p>
        </w:tc>
        <w:tc>
          <w:tcPr>
            <w:tcW w:w="3402" w:type="dxa"/>
          </w:tcPr>
          <w:p w14:paraId="009CF9BB" w14:textId="460F0B3C" w:rsidR="00724DA2" w:rsidRPr="00A14B67" w:rsidRDefault="00724DA2" w:rsidP="00B47606">
            <w:pPr>
              <w:pStyle w:val="Caption"/>
              <w:keepNext/>
              <w:rPr>
                <w:rFonts w:ascii="Arial" w:hAnsi="Arial" w:cs="Arial"/>
                <w:b w:val="0"/>
                <w:color w:val="000000" w:themeColor="text1"/>
              </w:rPr>
            </w:pPr>
          </w:p>
        </w:tc>
        <w:tc>
          <w:tcPr>
            <w:tcW w:w="3844" w:type="dxa"/>
          </w:tcPr>
          <w:p w14:paraId="2125396D" w14:textId="59E0EFC0" w:rsidR="00724DA2" w:rsidRPr="00A14B67" w:rsidRDefault="00724DA2" w:rsidP="00B47606">
            <w:pPr>
              <w:pStyle w:val="Caption"/>
              <w:keepNext/>
              <w:rPr>
                <w:rFonts w:ascii="Arial" w:hAnsi="Arial" w:cs="Arial"/>
                <w:b w:val="0"/>
                <w:color w:val="000000" w:themeColor="text1"/>
              </w:rPr>
            </w:pPr>
          </w:p>
        </w:tc>
      </w:tr>
      <w:tr w:rsidR="00724DA2" w:rsidRPr="00A14B67" w14:paraId="5C36FA84" w14:textId="77777777" w:rsidTr="00BE5E43">
        <w:trPr>
          <w:trHeight w:val="227"/>
        </w:trPr>
        <w:tc>
          <w:tcPr>
            <w:tcW w:w="1836" w:type="dxa"/>
          </w:tcPr>
          <w:p w14:paraId="4F0F5BBE" w14:textId="15D50D0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'SIP-HGZE'</w:t>
            </w:r>
          </w:p>
        </w:tc>
        <w:tc>
          <w:tcPr>
            <w:tcW w:w="1708" w:type="dxa"/>
          </w:tcPr>
          <w:p w14:paraId="1ECC2EED" w14:textId="77777777" w:rsidR="00724DA2" w:rsidRPr="00A14B67" w:rsidRDefault="00724DA2" w:rsidP="00B47606">
            <w:pPr>
              <w:pStyle w:val="Caption"/>
              <w:keepNext/>
              <w:rPr>
                <w:rFonts w:ascii="Arial" w:hAnsi="Arial" w:cs="Arial"/>
                <w:b w:val="0"/>
                <w:color w:val="000000" w:themeColor="text1"/>
              </w:rPr>
            </w:pPr>
          </w:p>
        </w:tc>
        <w:tc>
          <w:tcPr>
            <w:tcW w:w="3402" w:type="dxa"/>
          </w:tcPr>
          <w:p w14:paraId="1B3F759C" w14:textId="4A2EE6F8" w:rsidR="00724DA2" w:rsidRPr="00A14B67" w:rsidRDefault="00724DA2" w:rsidP="00B47606">
            <w:pPr>
              <w:pStyle w:val="Caption"/>
              <w:keepNext/>
              <w:rPr>
                <w:rFonts w:ascii="Arial" w:hAnsi="Arial" w:cs="Arial"/>
                <w:b w:val="0"/>
                <w:color w:val="000000" w:themeColor="text1"/>
              </w:rPr>
            </w:pPr>
          </w:p>
        </w:tc>
        <w:tc>
          <w:tcPr>
            <w:tcW w:w="3844" w:type="dxa"/>
          </w:tcPr>
          <w:p w14:paraId="6C8F9AEA" w14:textId="255A6FE5" w:rsidR="00724DA2" w:rsidRPr="00A14B67" w:rsidRDefault="00724DA2" w:rsidP="00B47606">
            <w:pPr>
              <w:pStyle w:val="Caption"/>
              <w:keepNext/>
              <w:rPr>
                <w:rFonts w:ascii="Arial" w:hAnsi="Arial" w:cs="Arial"/>
                <w:b w:val="0"/>
                <w:color w:val="000000" w:themeColor="text1"/>
              </w:rPr>
            </w:pPr>
          </w:p>
        </w:tc>
      </w:tr>
      <w:tr w:rsidR="00724DA2" w:rsidRPr="00A14B67" w14:paraId="1FB3612F" w14:textId="77777777" w:rsidTr="00BE5E43">
        <w:trPr>
          <w:trHeight w:val="227"/>
        </w:trPr>
        <w:tc>
          <w:tcPr>
            <w:tcW w:w="1836" w:type="dxa"/>
          </w:tcPr>
          <w:p w14:paraId="44358F5E" w14:textId="2961FC85"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'SIP-SZHGE'</w:t>
            </w:r>
          </w:p>
        </w:tc>
        <w:tc>
          <w:tcPr>
            <w:tcW w:w="1708" w:type="dxa"/>
          </w:tcPr>
          <w:p w14:paraId="633C24E2" w14:textId="77777777" w:rsidR="00724DA2" w:rsidRPr="00A14B67" w:rsidRDefault="00724DA2" w:rsidP="00B47606">
            <w:pPr>
              <w:pStyle w:val="Caption"/>
              <w:keepNext/>
              <w:rPr>
                <w:rFonts w:ascii="Arial" w:hAnsi="Arial" w:cs="Arial"/>
                <w:b w:val="0"/>
                <w:color w:val="000000" w:themeColor="text1"/>
              </w:rPr>
            </w:pPr>
          </w:p>
        </w:tc>
        <w:tc>
          <w:tcPr>
            <w:tcW w:w="3402" w:type="dxa"/>
          </w:tcPr>
          <w:p w14:paraId="55C9D4D3" w14:textId="045FA0B3" w:rsidR="00724DA2" w:rsidRPr="00A14B67" w:rsidRDefault="00724DA2" w:rsidP="00B47606">
            <w:pPr>
              <w:pStyle w:val="Caption"/>
              <w:keepNext/>
              <w:rPr>
                <w:rFonts w:ascii="Arial" w:hAnsi="Arial" w:cs="Arial"/>
                <w:b w:val="0"/>
                <w:color w:val="000000" w:themeColor="text1"/>
              </w:rPr>
            </w:pPr>
          </w:p>
        </w:tc>
        <w:tc>
          <w:tcPr>
            <w:tcW w:w="3844" w:type="dxa"/>
          </w:tcPr>
          <w:p w14:paraId="3AF68E06" w14:textId="19836130" w:rsidR="00724DA2" w:rsidRPr="00A14B67" w:rsidRDefault="00724DA2" w:rsidP="00B47606">
            <w:pPr>
              <w:pStyle w:val="Caption"/>
              <w:keepNext/>
              <w:rPr>
                <w:rFonts w:ascii="Arial" w:hAnsi="Arial" w:cs="Arial"/>
                <w:b w:val="0"/>
                <w:color w:val="000000" w:themeColor="text1"/>
              </w:rPr>
            </w:pPr>
          </w:p>
        </w:tc>
      </w:tr>
      <w:tr w:rsidR="00724DA2" w:rsidRPr="00A14B67" w14:paraId="4016E5C3" w14:textId="77777777" w:rsidTr="00BE5E43">
        <w:trPr>
          <w:trHeight w:val="272"/>
        </w:trPr>
        <w:tc>
          <w:tcPr>
            <w:tcW w:w="1836" w:type="dxa"/>
          </w:tcPr>
          <w:p w14:paraId="3FA41C38" w14:textId="2F214386"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'SIP-LZLGE'</w:t>
            </w:r>
          </w:p>
        </w:tc>
        <w:tc>
          <w:tcPr>
            <w:tcW w:w="1708" w:type="dxa"/>
          </w:tcPr>
          <w:p w14:paraId="174DAC28" w14:textId="77777777" w:rsidR="00724DA2" w:rsidRPr="00A14B67" w:rsidRDefault="00724DA2" w:rsidP="00B47606">
            <w:pPr>
              <w:pStyle w:val="Caption"/>
              <w:keepNext/>
              <w:rPr>
                <w:rFonts w:ascii="Arial" w:hAnsi="Arial" w:cs="Arial"/>
                <w:b w:val="0"/>
                <w:color w:val="000000" w:themeColor="text1"/>
              </w:rPr>
            </w:pPr>
          </w:p>
        </w:tc>
        <w:tc>
          <w:tcPr>
            <w:tcW w:w="3402" w:type="dxa"/>
          </w:tcPr>
          <w:p w14:paraId="15DB6983" w14:textId="63A49604" w:rsidR="00724DA2" w:rsidRPr="00A14B67" w:rsidRDefault="00724DA2" w:rsidP="00B47606">
            <w:pPr>
              <w:pStyle w:val="Caption"/>
              <w:keepNext/>
              <w:rPr>
                <w:rFonts w:ascii="Arial" w:hAnsi="Arial" w:cs="Arial"/>
                <w:b w:val="0"/>
                <w:color w:val="000000" w:themeColor="text1"/>
              </w:rPr>
            </w:pPr>
          </w:p>
        </w:tc>
        <w:tc>
          <w:tcPr>
            <w:tcW w:w="3844" w:type="dxa"/>
          </w:tcPr>
          <w:p w14:paraId="1D6B7FEA" w14:textId="0B79F772" w:rsidR="00724DA2" w:rsidRPr="00A14B67" w:rsidRDefault="00724DA2" w:rsidP="00B47606">
            <w:pPr>
              <w:pStyle w:val="Caption"/>
              <w:keepNext/>
              <w:rPr>
                <w:rFonts w:ascii="Arial" w:hAnsi="Arial" w:cs="Arial"/>
                <w:b w:val="0"/>
                <w:color w:val="000000" w:themeColor="text1"/>
              </w:rPr>
            </w:pPr>
          </w:p>
        </w:tc>
      </w:tr>
      <w:tr w:rsidR="00724DA2" w:rsidRPr="00A14B67" w14:paraId="5F36D572" w14:textId="77777777" w:rsidTr="00BE5E43">
        <w:trPr>
          <w:trHeight w:val="227"/>
        </w:trPr>
        <w:tc>
          <w:tcPr>
            <w:tcW w:w="1836" w:type="dxa"/>
          </w:tcPr>
          <w:p w14:paraId="497934B1" w14:textId="2A2830EA" w:rsidR="00724DA2" w:rsidRPr="00A14B67" w:rsidRDefault="00724DA2" w:rsidP="00B47606">
            <w:pPr>
              <w:pStyle w:val="Caption"/>
              <w:keepNext/>
              <w:rPr>
                <w:rFonts w:ascii="Arial" w:hAnsi="Arial" w:cs="Arial"/>
                <w:b w:val="0"/>
                <w:color w:val="000000" w:themeColor="text1"/>
              </w:rPr>
            </w:pPr>
            <w:r w:rsidRPr="00A14B67">
              <w:rPr>
                <w:rFonts w:ascii="Arial" w:hAnsi="Arial" w:cs="Arial"/>
                <w:b w:val="0"/>
                <w:color w:val="000000" w:themeColor="text1"/>
              </w:rPr>
              <w:t>'AIP-Energy'</w:t>
            </w:r>
          </w:p>
        </w:tc>
        <w:tc>
          <w:tcPr>
            <w:tcW w:w="1708" w:type="dxa"/>
          </w:tcPr>
          <w:p w14:paraId="30C8828D" w14:textId="77777777" w:rsidR="00724DA2" w:rsidRPr="00A14B67" w:rsidRDefault="00724DA2" w:rsidP="00B47606">
            <w:pPr>
              <w:pStyle w:val="Caption"/>
              <w:keepNext/>
              <w:rPr>
                <w:rFonts w:ascii="Arial" w:hAnsi="Arial" w:cs="Arial"/>
                <w:b w:val="0"/>
                <w:color w:val="000000" w:themeColor="text1"/>
              </w:rPr>
            </w:pPr>
          </w:p>
        </w:tc>
        <w:tc>
          <w:tcPr>
            <w:tcW w:w="3402" w:type="dxa"/>
          </w:tcPr>
          <w:p w14:paraId="49E755BF" w14:textId="3C1C10FD" w:rsidR="00724DA2" w:rsidRPr="00A14B67" w:rsidRDefault="00724DA2" w:rsidP="00B47606">
            <w:pPr>
              <w:pStyle w:val="Caption"/>
              <w:keepNext/>
              <w:rPr>
                <w:rFonts w:ascii="Arial" w:hAnsi="Arial" w:cs="Arial"/>
                <w:b w:val="0"/>
                <w:color w:val="000000" w:themeColor="text1"/>
              </w:rPr>
            </w:pPr>
          </w:p>
        </w:tc>
        <w:tc>
          <w:tcPr>
            <w:tcW w:w="3844" w:type="dxa"/>
          </w:tcPr>
          <w:p w14:paraId="4AD16C5C" w14:textId="611692CD" w:rsidR="00724DA2" w:rsidRPr="00A14B67" w:rsidRDefault="00724DA2" w:rsidP="00B47606">
            <w:pPr>
              <w:pStyle w:val="Caption"/>
              <w:keepNext/>
              <w:rPr>
                <w:rFonts w:ascii="Arial" w:hAnsi="Arial" w:cs="Arial"/>
                <w:b w:val="0"/>
                <w:color w:val="000000" w:themeColor="text1"/>
              </w:rPr>
            </w:pPr>
          </w:p>
        </w:tc>
      </w:tr>
    </w:tbl>
    <w:p w14:paraId="55A74FF4" w14:textId="77777777" w:rsidR="004A1148" w:rsidRPr="00A14B67" w:rsidRDefault="004A1148" w:rsidP="00A06A7D">
      <w:pPr>
        <w:spacing w:line="420" w:lineRule="auto"/>
        <w:jc w:val="both"/>
        <w:rPr>
          <w:rFonts w:ascii="Arial" w:hAnsi="Arial" w:cs="Arial"/>
          <w:b/>
          <w:sz w:val="20"/>
          <w:szCs w:val="20"/>
          <w:u w:val="single"/>
        </w:rPr>
      </w:pPr>
    </w:p>
    <w:p w14:paraId="536A309E" w14:textId="77777777" w:rsidR="00B47606" w:rsidRDefault="00B47606" w:rsidP="00A06A7D">
      <w:pPr>
        <w:spacing w:line="420" w:lineRule="auto"/>
        <w:rPr>
          <w:rFonts w:ascii="Arial" w:hAnsi="Arial" w:cs="Arial"/>
          <w:sz w:val="20"/>
          <w:szCs w:val="20"/>
        </w:rPr>
      </w:pPr>
    </w:p>
    <w:p w14:paraId="02B4F74A" w14:textId="0E0E3DEC" w:rsidR="009A68E2" w:rsidRPr="00A14B67" w:rsidRDefault="00E060F5" w:rsidP="00A06A7D">
      <w:pPr>
        <w:spacing w:line="420" w:lineRule="auto"/>
        <w:rPr>
          <w:rFonts w:ascii="Arial" w:hAnsi="Arial" w:cs="Arial"/>
          <w:b/>
          <w:sz w:val="20"/>
          <w:szCs w:val="20"/>
        </w:rPr>
      </w:pPr>
      <w:r w:rsidRPr="00A14B67">
        <w:rPr>
          <w:rFonts w:ascii="Arial" w:hAnsi="Arial" w:cs="Arial"/>
          <w:b/>
          <w:sz w:val="20"/>
          <w:szCs w:val="20"/>
        </w:rPr>
        <w:lastRenderedPageBreak/>
        <w:t>SUPPLEMENTARY REFERENCES</w:t>
      </w:r>
    </w:p>
    <w:p w14:paraId="06E18F0A" w14:textId="723D2EB8" w:rsidR="003F04EF" w:rsidRPr="00A14B67" w:rsidRDefault="00E060F5" w:rsidP="003F04EF">
      <w:pPr>
        <w:widowControl w:val="0"/>
        <w:autoSpaceDE w:val="0"/>
        <w:autoSpaceDN w:val="0"/>
        <w:adjustRightInd w:val="0"/>
        <w:ind w:left="640" w:hanging="640"/>
        <w:rPr>
          <w:rFonts w:ascii="Arial" w:hAnsi="Arial" w:cs="Arial"/>
          <w:noProof/>
          <w:sz w:val="20"/>
        </w:rPr>
      </w:pPr>
      <w:r w:rsidRPr="00A14B67">
        <w:rPr>
          <w:rFonts w:ascii="Arial" w:hAnsi="Arial" w:cs="Arial"/>
          <w:sz w:val="20"/>
          <w:szCs w:val="20"/>
        </w:rPr>
        <w:fldChar w:fldCharType="begin" w:fldLock="1"/>
      </w:r>
      <w:r w:rsidRPr="00A14B67">
        <w:rPr>
          <w:rFonts w:ascii="Arial" w:hAnsi="Arial" w:cs="Arial"/>
          <w:sz w:val="20"/>
          <w:szCs w:val="20"/>
        </w:rPr>
        <w:instrText xml:space="preserve">ADDIN Mendeley Bibliography CSL_BIBLIOGRAPHY </w:instrText>
      </w:r>
      <w:r w:rsidRPr="00A14B67">
        <w:rPr>
          <w:rFonts w:ascii="Arial" w:hAnsi="Arial" w:cs="Arial"/>
          <w:sz w:val="20"/>
          <w:szCs w:val="20"/>
        </w:rPr>
        <w:fldChar w:fldCharType="separate"/>
      </w:r>
      <w:r w:rsidR="003F04EF" w:rsidRPr="00A14B67">
        <w:rPr>
          <w:rFonts w:ascii="Arial" w:hAnsi="Arial" w:cs="Arial"/>
          <w:noProof/>
          <w:sz w:val="20"/>
        </w:rPr>
        <w:t>1.</w:t>
      </w:r>
      <w:r w:rsidR="003F04EF" w:rsidRPr="00A14B67">
        <w:rPr>
          <w:rFonts w:ascii="Arial" w:hAnsi="Arial" w:cs="Arial"/>
          <w:noProof/>
          <w:sz w:val="20"/>
        </w:rPr>
        <w:tab/>
        <w:t xml:space="preserve">Zhou, J. </w:t>
      </w:r>
      <w:r w:rsidR="003F04EF" w:rsidRPr="00A14B67">
        <w:rPr>
          <w:rFonts w:ascii="Arial" w:hAnsi="Arial" w:cs="Arial"/>
          <w:i/>
          <w:iCs/>
          <w:noProof/>
          <w:sz w:val="20"/>
        </w:rPr>
        <w:t>et al.</w:t>
      </w:r>
      <w:r w:rsidR="003F04EF" w:rsidRPr="00A14B67">
        <w:rPr>
          <w:rFonts w:ascii="Arial" w:hAnsi="Arial" w:cs="Arial"/>
          <w:noProof/>
          <w:sz w:val="20"/>
        </w:rPr>
        <w:t xml:space="preserve"> VEGFR2-Targeted Three-Dimensional Ultrasound Imaging Can Predict Responses to Antiangiogenic Therapy in Preclinical Models of Colon Cancer. </w:t>
      </w:r>
      <w:r w:rsidR="003F04EF" w:rsidRPr="00A14B67">
        <w:rPr>
          <w:rFonts w:ascii="Arial" w:hAnsi="Arial" w:cs="Arial"/>
          <w:i/>
          <w:iCs/>
          <w:noProof/>
          <w:sz w:val="20"/>
        </w:rPr>
        <w:t>Cancer Res.</w:t>
      </w:r>
      <w:r w:rsidR="003F04EF" w:rsidRPr="00A14B67">
        <w:rPr>
          <w:rFonts w:ascii="Arial" w:hAnsi="Arial" w:cs="Arial"/>
          <w:noProof/>
          <w:sz w:val="20"/>
        </w:rPr>
        <w:t xml:space="preserve"> </w:t>
      </w:r>
      <w:r w:rsidR="003F04EF" w:rsidRPr="00A14B67">
        <w:rPr>
          <w:rFonts w:ascii="Arial" w:hAnsi="Arial" w:cs="Arial"/>
          <w:b/>
          <w:bCs/>
          <w:noProof/>
          <w:sz w:val="20"/>
        </w:rPr>
        <w:t>76</w:t>
      </w:r>
      <w:r w:rsidR="003F04EF" w:rsidRPr="00A14B67">
        <w:rPr>
          <w:rFonts w:ascii="Arial" w:hAnsi="Arial" w:cs="Arial"/>
          <w:noProof/>
          <w:sz w:val="20"/>
        </w:rPr>
        <w:t>, 4081–9 (2016).</w:t>
      </w:r>
    </w:p>
    <w:p w14:paraId="16391614"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w:t>
      </w:r>
      <w:r w:rsidRPr="00A14B67">
        <w:rPr>
          <w:rFonts w:ascii="Arial" w:hAnsi="Arial" w:cs="Arial"/>
          <w:noProof/>
          <w:sz w:val="20"/>
        </w:rPr>
        <w:tab/>
        <w:t xml:space="preserve">Zhou, J. </w:t>
      </w:r>
      <w:r w:rsidRPr="00A14B67">
        <w:rPr>
          <w:rFonts w:ascii="Arial" w:hAnsi="Arial" w:cs="Arial"/>
          <w:i/>
          <w:iCs/>
          <w:noProof/>
          <w:sz w:val="20"/>
        </w:rPr>
        <w:t>et al.</w:t>
      </w:r>
      <w:r w:rsidRPr="00A14B67">
        <w:rPr>
          <w:rFonts w:ascii="Arial" w:hAnsi="Arial" w:cs="Arial"/>
          <w:noProof/>
          <w:sz w:val="20"/>
        </w:rPr>
        <w:t xml:space="preserve"> Early prediction of tumor response to bevacizumab treatment in murine colon cancer models using three-dimensional dynamic contrast-enhanced ultrasound imaging. </w:t>
      </w:r>
      <w:r w:rsidRPr="00A14B67">
        <w:rPr>
          <w:rFonts w:ascii="Arial" w:hAnsi="Arial" w:cs="Arial"/>
          <w:i/>
          <w:iCs/>
          <w:noProof/>
          <w:sz w:val="20"/>
        </w:rPr>
        <w:t>Angiogenesis</w:t>
      </w:r>
      <w:r w:rsidRPr="00A14B67">
        <w:rPr>
          <w:rFonts w:ascii="Arial" w:hAnsi="Arial" w:cs="Arial"/>
          <w:noProof/>
          <w:sz w:val="20"/>
        </w:rPr>
        <w:t xml:space="preserve"> </w:t>
      </w:r>
      <w:r w:rsidRPr="00A14B67">
        <w:rPr>
          <w:rFonts w:ascii="Arial" w:hAnsi="Arial" w:cs="Arial"/>
          <w:b/>
          <w:bCs/>
          <w:noProof/>
          <w:sz w:val="20"/>
        </w:rPr>
        <w:t>20</w:t>
      </w:r>
      <w:r w:rsidRPr="00A14B67">
        <w:rPr>
          <w:rFonts w:ascii="Arial" w:hAnsi="Arial" w:cs="Arial"/>
          <w:noProof/>
          <w:sz w:val="20"/>
        </w:rPr>
        <w:t>, 547–555 (2017).</w:t>
      </w:r>
    </w:p>
    <w:p w14:paraId="2710AD85"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w:t>
      </w:r>
      <w:r w:rsidRPr="00A14B67">
        <w:rPr>
          <w:rFonts w:ascii="Arial" w:hAnsi="Arial" w:cs="Arial"/>
          <w:noProof/>
          <w:sz w:val="20"/>
        </w:rPr>
        <w:tab/>
        <w:t xml:space="preserve">Obermueller, E., Vosseler, S., Fusenig, N. E. &amp; Mueller, M. M. </w:t>
      </w:r>
      <w:r w:rsidRPr="00A14B67">
        <w:rPr>
          <w:rFonts w:ascii="Arial" w:hAnsi="Arial" w:cs="Arial"/>
          <w:i/>
          <w:iCs/>
          <w:noProof/>
          <w:sz w:val="20"/>
        </w:rPr>
        <w:t>Cooperative Autocrine and Paracrine Functions of Granulocyte Colony-Stimulating Factor and Granulocyte-Macrophage Colony-Stimulating Factor in the Progression of Skin Carcinoma Cells</w:t>
      </w:r>
      <w:r w:rsidRPr="00A14B67">
        <w:rPr>
          <w:rFonts w:ascii="Arial" w:hAnsi="Arial" w:cs="Arial"/>
          <w:noProof/>
          <w:sz w:val="20"/>
        </w:rPr>
        <w:t>. (2004).</w:t>
      </w:r>
    </w:p>
    <w:p w14:paraId="45DDA042"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w:t>
      </w:r>
      <w:r w:rsidRPr="00A14B67">
        <w:rPr>
          <w:rFonts w:ascii="Arial" w:hAnsi="Arial" w:cs="Arial"/>
          <w:noProof/>
          <w:sz w:val="20"/>
        </w:rPr>
        <w:tab/>
        <w:t xml:space="preserve">Wang, H., Hristov, D., Qin, J., Tian, L. &amp; Willmann, J. K. Three-dimensional Dynamic Contrast-enhanced US Imaging for Early Antiangiogenic Treatment Assessment in a Mouse Colon Cancer Model. </w:t>
      </w:r>
      <w:r w:rsidRPr="00A14B67">
        <w:rPr>
          <w:rFonts w:ascii="Arial" w:hAnsi="Arial" w:cs="Arial"/>
          <w:i/>
          <w:iCs/>
          <w:noProof/>
          <w:sz w:val="20"/>
        </w:rPr>
        <w:t>Radiology</w:t>
      </w:r>
      <w:r w:rsidRPr="00A14B67">
        <w:rPr>
          <w:rFonts w:ascii="Arial" w:hAnsi="Arial" w:cs="Arial"/>
          <w:noProof/>
          <w:sz w:val="20"/>
        </w:rPr>
        <w:t xml:space="preserve"> </w:t>
      </w:r>
      <w:r w:rsidRPr="00A14B67">
        <w:rPr>
          <w:rFonts w:ascii="Arial" w:hAnsi="Arial" w:cs="Arial"/>
          <w:b/>
          <w:bCs/>
          <w:noProof/>
          <w:sz w:val="20"/>
        </w:rPr>
        <w:t>277</w:t>
      </w:r>
      <w:r w:rsidRPr="00A14B67">
        <w:rPr>
          <w:rFonts w:ascii="Arial" w:hAnsi="Arial" w:cs="Arial"/>
          <w:noProof/>
          <w:sz w:val="20"/>
        </w:rPr>
        <w:t>, 424–34 (2015).</w:t>
      </w:r>
    </w:p>
    <w:p w14:paraId="6259CEC1"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5.</w:t>
      </w:r>
      <w:r w:rsidRPr="00A14B67">
        <w:rPr>
          <w:rFonts w:ascii="Arial" w:hAnsi="Arial" w:cs="Arial"/>
          <w:noProof/>
          <w:sz w:val="20"/>
        </w:rPr>
        <w:tab/>
        <w:t xml:space="preserve">Dijkmans, P. a </w:t>
      </w:r>
      <w:r w:rsidRPr="00A14B67">
        <w:rPr>
          <w:rFonts w:ascii="Arial" w:hAnsi="Arial" w:cs="Arial"/>
          <w:i/>
          <w:iCs/>
          <w:noProof/>
          <w:sz w:val="20"/>
        </w:rPr>
        <w:t>et al.</w:t>
      </w:r>
      <w:r w:rsidRPr="00A14B67">
        <w:rPr>
          <w:rFonts w:ascii="Arial" w:hAnsi="Arial" w:cs="Arial"/>
          <w:noProof/>
          <w:sz w:val="20"/>
        </w:rPr>
        <w:t xml:space="preserve"> Microbubbles and ultrasound: from diagnosis to therapy. </w:t>
      </w:r>
      <w:r w:rsidRPr="00A14B67">
        <w:rPr>
          <w:rFonts w:ascii="Arial" w:hAnsi="Arial" w:cs="Arial"/>
          <w:i/>
          <w:iCs/>
          <w:noProof/>
          <w:sz w:val="20"/>
        </w:rPr>
        <w:t>Eur. J. Echocardiogr.</w:t>
      </w:r>
      <w:r w:rsidRPr="00A14B67">
        <w:rPr>
          <w:rFonts w:ascii="Arial" w:hAnsi="Arial" w:cs="Arial"/>
          <w:noProof/>
          <w:sz w:val="20"/>
        </w:rPr>
        <w:t xml:space="preserve"> </w:t>
      </w:r>
      <w:r w:rsidRPr="00A14B67">
        <w:rPr>
          <w:rFonts w:ascii="Arial" w:hAnsi="Arial" w:cs="Arial"/>
          <w:b/>
          <w:bCs/>
          <w:noProof/>
          <w:sz w:val="20"/>
        </w:rPr>
        <w:t>5</w:t>
      </w:r>
      <w:r w:rsidRPr="00A14B67">
        <w:rPr>
          <w:rFonts w:ascii="Arial" w:hAnsi="Arial" w:cs="Arial"/>
          <w:noProof/>
          <w:sz w:val="20"/>
        </w:rPr>
        <w:t>, 245–56 (2004).</w:t>
      </w:r>
    </w:p>
    <w:p w14:paraId="2A5DA698"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6.</w:t>
      </w:r>
      <w:r w:rsidRPr="00A14B67">
        <w:rPr>
          <w:rFonts w:ascii="Arial" w:hAnsi="Arial" w:cs="Arial"/>
          <w:noProof/>
          <w:sz w:val="20"/>
        </w:rPr>
        <w:tab/>
        <w:t xml:space="preserve">Stride, E. Physical principles of microbubbles for ultrasound imaging and therapy. </w:t>
      </w:r>
      <w:r w:rsidRPr="00A14B67">
        <w:rPr>
          <w:rFonts w:ascii="Arial" w:hAnsi="Arial" w:cs="Arial"/>
          <w:i/>
          <w:iCs/>
          <w:noProof/>
          <w:sz w:val="20"/>
        </w:rPr>
        <w:t>Cerebrovasc. Dis.</w:t>
      </w:r>
      <w:r w:rsidRPr="00A14B67">
        <w:rPr>
          <w:rFonts w:ascii="Arial" w:hAnsi="Arial" w:cs="Arial"/>
          <w:noProof/>
          <w:sz w:val="20"/>
        </w:rPr>
        <w:t xml:space="preserve"> </w:t>
      </w:r>
      <w:r w:rsidRPr="00A14B67">
        <w:rPr>
          <w:rFonts w:ascii="Arial" w:hAnsi="Arial" w:cs="Arial"/>
          <w:b/>
          <w:bCs/>
          <w:noProof/>
          <w:sz w:val="20"/>
        </w:rPr>
        <w:t>27 Suppl 2</w:t>
      </w:r>
      <w:r w:rsidRPr="00A14B67">
        <w:rPr>
          <w:rFonts w:ascii="Arial" w:hAnsi="Arial" w:cs="Arial"/>
          <w:noProof/>
          <w:sz w:val="20"/>
        </w:rPr>
        <w:t>, 1–13 (2009).</w:t>
      </w:r>
    </w:p>
    <w:p w14:paraId="65CCDEF2"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7.</w:t>
      </w:r>
      <w:r w:rsidRPr="00A14B67">
        <w:rPr>
          <w:rFonts w:ascii="Arial" w:hAnsi="Arial" w:cs="Arial"/>
          <w:noProof/>
          <w:sz w:val="20"/>
        </w:rPr>
        <w:tab/>
        <w:t xml:space="preserve">William D. O’Brien. Ultrasound—biophysics mechanisms. </w:t>
      </w:r>
      <w:r w:rsidRPr="00A14B67">
        <w:rPr>
          <w:rFonts w:ascii="Arial" w:hAnsi="Arial" w:cs="Arial"/>
          <w:i/>
          <w:iCs/>
          <w:noProof/>
          <w:sz w:val="20"/>
        </w:rPr>
        <w:t>Prog Biophys Mol Biol. 2007</w:t>
      </w:r>
      <w:r w:rsidRPr="00A14B67">
        <w:rPr>
          <w:rFonts w:ascii="Arial" w:hAnsi="Arial" w:cs="Arial"/>
          <w:noProof/>
          <w:sz w:val="20"/>
        </w:rPr>
        <w:t xml:space="preserve"> </w:t>
      </w:r>
      <w:r w:rsidRPr="00A14B67">
        <w:rPr>
          <w:rFonts w:ascii="Arial" w:hAnsi="Arial" w:cs="Arial"/>
          <w:b/>
          <w:bCs/>
          <w:noProof/>
          <w:sz w:val="20"/>
        </w:rPr>
        <w:t>93</w:t>
      </w:r>
      <w:r w:rsidRPr="00A14B67">
        <w:rPr>
          <w:rFonts w:ascii="Arial" w:hAnsi="Arial" w:cs="Arial"/>
          <w:noProof/>
          <w:sz w:val="20"/>
        </w:rPr>
        <w:t>, 212–255 (2007).</w:t>
      </w:r>
    </w:p>
    <w:p w14:paraId="7F91DFEC"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8.</w:t>
      </w:r>
      <w:r w:rsidRPr="00A14B67">
        <w:rPr>
          <w:rFonts w:ascii="Arial" w:hAnsi="Arial" w:cs="Arial"/>
          <w:noProof/>
          <w:sz w:val="20"/>
        </w:rPr>
        <w:tab/>
        <w:t xml:space="preserve">Sadeghi-Naini, A. </w:t>
      </w:r>
      <w:r w:rsidRPr="00A14B67">
        <w:rPr>
          <w:rFonts w:ascii="Arial" w:hAnsi="Arial" w:cs="Arial"/>
          <w:i/>
          <w:iCs/>
          <w:noProof/>
          <w:sz w:val="20"/>
        </w:rPr>
        <w:t>et al.</w:t>
      </w:r>
      <w:r w:rsidRPr="00A14B67">
        <w:rPr>
          <w:rFonts w:ascii="Arial" w:hAnsi="Arial" w:cs="Arial"/>
          <w:noProof/>
          <w:sz w:val="20"/>
        </w:rPr>
        <w:t xml:space="preserve"> Imaging innovations for cancer therapy response monitoring. </w:t>
      </w:r>
      <w:r w:rsidRPr="00A14B67">
        <w:rPr>
          <w:rFonts w:ascii="Arial" w:hAnsi="Arial" w:cs="Arial"/>
          <w:i/>
          <w:iCs/>
          <w:noProof/>
          <w:sz w:val="20"/>
        </w:rPr>
        <w:t>Imaging Med.</w:t>
      </w:r>
      <w:r w:rsidRPr="00A14B67">
        <w:rPr>
          <w:rFonts w:ascii="Arial" w:hAnsi="Arial" w:cs="Arial"/>
          <w:noProof/>
          <w:sz w:val="20"/>
        </w:rPr>
        <w:t xml:space="preserve"> </w:t>
      </w:r>
      <w:r w:rsidRPr="00A14B67">
        <w:rPr>
          <w:rFonts w:ascii="Arial" w:hAnsi="Arial" w:cs="Arial"/>
          <w:b/>
          <w:bCs/>
          <w:noProof/>
          <w:sz w:val="20"/>
        </w:rPr>
        <w:t>4</w:t>
      </w:r>
      <w:r w:rsidRPr="00A14B67">
        <w:rPr>
          <w:rFonts w:ascii="Arial" w:hAnsi="Arial" w:cs="Arial"/>
          <w:noProof/>
          <w:sz w:val="20"/>
        </w:rPr>
        <w:t>, 311–327 (2012).</w:t>
      </w:r>
    </w:p>
    <w:p w14:paraId="1A48642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9.</w:t>
      </w:r>
      <w:r w:rsidRPr="00A14B67">
        <w:rPr>
          <w:rFonts w:ascii="Arial" w:hAnsi="Arial" w:cs="Arial"/>
          <w:noProof/>
          <w:sz w:val="20"/>
        </w:rPr>
        <w:tab/>
        <w:t xml:space="preserve">Wang, H., Kaneko, O. F., Tian, L., Hristov, D. &amp; Willmann, J. K. Three-dimensional ultrasound molecular imaging of angiogenesis in colon cancer using a clinical matrix array ultrasound transducer. </w:t>
      </w:r>
      <w:r w:rsidRPr="00A14B67">
        <w:rPr>
          <w:rFonts w:ascii="Arial" w:hAnsi="Arial" w:cs="Arial"/>
          <w:i/>
          <w:iCs/>
          <w:noProof/>
          <w:sz w:val="20"/>
        </w:rPr>
        <w:t>Invest. Radiol.</w:t>
      </w:r>
      <w:r w:rsidRPr="00A14B67">
        <w:rPr>
          <w:rFonts w:ascii="Arial" w:hAnsi="Arial" w:cs="Arial"/>
          <w:noProof/>
          <w:sz w:val="20"/>
        </w:rPr>
        <w:t xml:space="preserve"> </w:t>
      </w:r>
      <w:r w:rsidRPr="00A14B67">
        <w:rPr>
          <w:rFonts w:ascii="Arial" w:hAnsi="Arial" w:cs="Arial"/>
          <w:b/>
          <w:bCs/>
          <w:noProof/>
          <w:sz w:val="20"/>
        </w:rPr>
        <w:t>50</w:t>
      </w:r>
      <w:r w:rsidRPr="00A14B67">
        <w:rPr>
          <w:rFonts w:ascii="Arial" w:hAnsi="Arial" w:cs="Arial"/>
          <w:noProof/>
          <w:sz w:val="20"/>
        </w:rPr>
        <w:t>, 322–9 (2015).</w:t>
      </w:r>
    </w:p>
    <w:p w14:paraId="66374372"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10.</w:t>
      </w:r>
      <w:r w:rsidRPr="00A14B67">
        <w:rPr>
          <w:rFonts w:ascii="Arial" w:hAnsi="Arial" w:cs="Arial"/>
          <w:noProof/>
          <w:sz w:val="20"/>
        </w:rPr>
        <w:tab/>
        <w:t xml:space="preserve">Schlosser, J. </w:t>
      </w:r>
      <w:r w:rsidRPr="00A14B67">
        <w:rPr>
          <w:rFonts w:ascii="Arial" w:hAnsi="Arial" w:cs="Arial"/>
          <w:i/>
          <w:iCs/>
          <w:noProof/>
          <w:sz w:val="20"/>
        </w:rPr>
        <w:t>et al.</w:t>
      </w:r>
      <w:r w:rsidRPr="00A14B67">
        <w:rPr>
          <w:rFonts w:ascii="Arial" w:hAnsi="Arial" w:cs="Arial"/>
          <w:noProof/>
          <w:sz w:val="20"/>
        </w:rPr>
        <w:t xml:space="preserve"> Robotic intrafractional US guidance for liver SABR: System design, beam avoidance, and clinical imaging. </w:t>
      </w:r>
      <w:r w:rsidRPr="00A14B67">
        <w:rPr>
          <w:rFonts w:ascii="Arial" w:hAnsi="Arial" w:cs="Arial"/>
          <w:i/>
          <w:iCs/>
          <w:noProof/>
          <w:sz w:val="20"/>
        </w:rPr>
        <w:t>Med. Phys.</w:t>
      </w:r>
      <w:r w:rsidRPr="00A14B67">
        <w:rPr>
          <w:rFonts w:ascii="Arial" w:hAnsi="Arial" w:cs="Arial"/>
          <w:noProof/>
          <w:sz w:val="20"/>
        </w:rPr>
        <w:t xml:space="preserve"> </w:t>
      </w:r>
      <w:r w:rsidRPr="00A14B67">
        <w:rPr>
          <w:rFonts w:ascii="Arial" w:hAnsi="Arial" w:cs="Arial"/>
          <w:b/>
          <w:bCs/>
          <w:noProof/>
          <w:sz w:val="20"/>
        </w:rPr>
        <w:t>43</w:t>
      </w:r>
      <w:r w:rsidRPr="00A14B67">
        <w:rPr>
          <w:rFonts w:ascii="Arial" w:hAnsi="Arial" w:cs="Arial"/>
          <w:noProof/>
          <w:sz w:val="20"/>
        </w:rPr>
        <w:t>, 5951–5963 (2016).</w:t>
      </w:r>
    </w:p>
    <w:p w14:paraId="7123625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11.</w:t>
      </w:r>
      <w:r w:rsidRPr="00A14B67">
        <w:rPr>
          <w:rFonts w:ascii="Arial" w:hAnsi="Arial" w:cs="Arial"/>
          <w:noProof/>
          <w:sz w:val="20"/>
        </w:rPr>
        <w:tab/>
        <w:t xml:space="preserve">Wang, H., Lutz, A. M., Hristov, D., Tian, L. &amp; Willmann, J. K. Intra-Animal Comparison between Three-dimensional Molecularly Targeted US and Three-dimensional Dynamic Contrast-enhanced US for Early Antiangiogenic Treatment Assessment in Colon Cancer. </w:t>
      </w:r>
      <w:r w:rsidRPr="00A14B67">
        <w:rPr>
          <w:rFonts w:ascii="Arial" w:hAnsi="Arial" w:cs="Arial"/>
          <w:i/>
          <w:iCs/>
          <w:noProof/>
          <w:sz w:val="20"/>
        </w:rPr>
        <w:t>Radiology</w:t>
      </w:r>
      <w:r w:rsidRPr="00A14B67">
        <w:rPr>
          <w:rFonts w:ascii="Arial" w:hAnsi="Arial" w:cs="Arial"/>
          <w:noProof/>
          <w:sz w:val="20"/>
        </w:rPr>
        <w:t xml:space="preserve"> </w:t>
      </w:r>
      <w:r w:rsidRPr="00A14B67">
        <w:rPr>
          <w:rFonts w:ascii="Arial" w:hAnsi="Arial" w:cs="Arial"/>
          <w:b/>
          <w:bCs/>
          <w:noProof/>
          <w:sz w:val="20"/>
        </w:rPr>
        <w:t>282</w:t>
      </w:r>
      <w:r w:rsidRPr="00A14B67">
        <w:rPr>
          <w:rFonts w:ascii="Arial" w:hAnsi="Arial" w:cs="Arial"/>
          <w:noProof/>
          <w:sz w:val="20"/>
        </w:rPr>
        <w:t>, 443–452 (2017).</w:t>
      </w:r>
    </w:p>
    <w:p w14:paraId="7580ECC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12.</w:t>
      </w:r>
      <w:r w:rsidRPr="00A14B67">
        <w:rPr>
          <w:rFonts w:ascii="Arial" w:hAnsi="Arial" w:cs="Arial"/>
          <w:noProof/>
          <w:sz w:val="20"/>
        </w:rPr>
        <w:tab/>
        <w:t xml:space="preserve">El Kaffas, A. </w:t>
      </w:r>
      <w:r w:rsidRPr="00A14B67">
        <w:rPr>
          <w:rFonts w:ascii="Arial" w:hAnsi="Arial" w:cs="Arial"/>
          <w:i/>
          <w:iCs/>
          <w:noProof/>
          <w:sz w:val="20"/>
        </w:rPr>
        <w:t>et al.</w:t>
      </w:r>
      <w:r w:rsidRPr="00A14B67">
        <w:rPr>
          <w:rFonts w:ascii="Arial" w:hAnsi="Arial" w:cs="Arial"/>
          <w:noProof/>
          <w:sz w:val="20"/>
        </w:rPr>
        <w:t xml:space="preserve"> Quantitative Three-Dimensional Dynamic Contrast-Enhanced Ultrasound Imaging: First-In-Human Pilot Study in Patients with Liver Metastases. </w:t>
      </w:r>
      <w:r w:rsidRPr="00A14B67">
        <w:rPr>
          <w:rFonts w:ascii="Arial" w:hAnsi="Arial" w:cs="Arial"/>
          <w:i/>
          <w:iCs/>
          <w:noProof/>
          <w:sz w:val="20"/>
        </w:rPr>
        <w:t>Theranostics</w:t>
      </w:r>
      <w:r w:rsidRPr="00A14B67">
        <w:rPr>
          <w:rFonts w:ascii="Arial" w:hAnsi="Arial" w:cs="Arial"/>
          <w:noProof/>
          <w:sz w:val="20"/>
        </w:rPr>
        <w:t xml:space="preserve"> </w:t>
      </w:r>
      <w:r w:rsidRPr="00A14B67">
        <w:rPr>
          <w:rFonts w:ascii="Arial" w:hAnsi="Arial" w:cs="Arial"/>
          <w:b/>
          <w:bCs/>
          <w:noProof/>
          <w:sz w:val="20"/>
        </w:rPr>
        <w:t>7</w:t>
      </w:r>
      <w:r w:rsidRPr="00A14B67">
        <w:rPr>
          <w:rFonts w:ascii="Arial" w:hAnsi="Arial" w:cs="Arial"/>
          <w:noProof/>
          <w:sz w:val="20"/>
        </w:rPr>
        <w:t>, 3745–3758 (2017).</w:t>
      </w:r>
    </w:p>
    <w:p w14:paraId="6E08CFFB"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13.</w:t>
      </w:r>
      <w:r w:rsidRPr="00A14B67">
        <w:rPr>
          <w:rFonts w:ascii="Arial" w:hAnsi="Arial" w:cs="Arial"/>
          <w:noProof/>
          <w:sz w:val="20"/>
        </w:rPr>
        <w:tab/>
        <w:t xml:space="preserve">Schlosser, J., Kirmizibayrak, C., Shamdasani, V., Metz, S. &amp; Hristov, D. Automatic 3D ultrasound calibration for image guided therapy using intramodality image registration. </w:t>
      </w:r>
      <w:r w:rsidRPr="00A14B67">
        <w:rPr>
          <w:rFonts w:ascii="Arial" w:hAnsi="Arial" w:cs="Arial"/>
          <w:i/>
          <w:iCs/>
          <w:noProof/>
          <w:sz w:val="20"/>
        </w:rPr>
        <w:t>Phys. Med. Biol.</w:t>
      </w:r>
      <w:r w:rsidRPr="00A14B67">
        <w:rPr>
          <w:rFonts w:ascii="Arial" w:hAnsi="Arial" w:cs="Arial"/>
          <w:noProof/>
          <w:sz w:val="20"/>
        </w:rPr>
        <w:t xml:space="preserve"> </w:t>
      </w:r>
      <w:r w:rsidRPr="00A14B67">
        <w:rPr>
          <w:rFonts w:ascii="Arial" w:hAnsi="Arial" w:cs="Arial"/>
          <w:b/>
          <w:bCs/>
          <w:noProof/>
          <w:sz w:val="20"/>
        </w:rPr>
        <w:t>58</w:t>
      </w:r>
      <w:r w:rsidRPr="00A14B67">
        <w:rPr>
          <w:rFonts w:ascii="Arial" w:hAnsi="Arial" w:cs="Arial"/>
          <w:noProof/>
          <w:sz w:val="20"/>
        </w:rPr>
        <w:t>, 7481–96 (2013).</w:t>
      </w:r>
    </w:p>
    <w:p w14:paraId="631FBEDA"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14.</w:t>
      </w:r>
      <w:r w:rsidRPr="00A14B67">
        <w:rPr>
          <w:rFonts w:ascii="Arial" w:hAnsi="Arial" w:cs="Arial"/>
          <w:noProof/>
          <w:sz w:val="20"/>
        </w:rPr>
        <w:tab/>
        <w:t xml:space="preserve">Strouthos, C., Lampaskis, M., Sboros, V., McNeilly, A. &amp; Averkiou, M. Indicator dilution models for the quantification of microvascular blood flow with bolus administration of ultrasound contrast agents. </w:t>
      </w:r>
      <w:r w:rsidRPr="00A14B67">
        <w:rPr>
          <w:rFonts w:ascii="Arial" w:hAnsi="Arial" w:cs="Arial"/>
          <w:i/>
          <w:iCs/>
          <w:noProof/>
          <w:sz w:val="20"/>
        </w:rPr>
        <w:t>IEEE Trans. Ultrason. Ferroelectr. Freq. Control</w:t>
      </w:r>
      <w:r w:rsidRPr="00A14B67">
        <w:rPr>
          <w:rFonts w:ascii="Arial" w:hAnsi="Arial" w:cs="Arial"/>
          <w:noProof/>
          <w:sz w:val="20"/>
        </w:rPr>
        <w:t xml:space="preserve"> </w:t>
      </w:r>
      <w:r w:rsidRPr="00A14B67">
        <w:rPr>
          <w:rFonts w:ascii="Arial" w:hAnsi="Arial" w:cs="Arial"/>
          <w:b/>
          <w:bCs/>
          <w:noProof/>
          <w:sz w:val="20"/>
        </w:rPr>
        <w:t>57</w:t>
      </w:r>
      <w:r w:rsidRPr="00A14B67">
        <w:rPr>
          <w:rFonts w:ascii="Arial" w:hAnsi="Arial" w:cs="Arial"/>
          <w:noProof/>
          <w:sz w:val="20"/>
        </w:rPr>
        <w:t>, 1296–310 (2010).</w:t>
      </w:r>
    </w:p>
    <w:p w14:paraId="53E995F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15.</w:t>
      </w:r>
      <w:r w:rsidRPr="00A14B67">
        <w:rPr>
          <w:rFonts w:ascii="Arial" w:hAnsi="Arial" w:cs="Arial"/>
          <w:noProof/>
          <w:sz w:val="20"/>
        </w:rPr>
        <w:tab/>
        <w:t xml:space="preserve">El Kaffas, A. </w:t>
      </w:r>
      <w:r w:rsidRPr="00A14B67">
        <w:rPr>
          <w:rFonts w:ascii="Arial" w:hAnsi="Arial" w:cs="Arial"/>
          <w:i/>
          <w:iCs/>
          <w:noProof/>
          <w:sz w:val="20"/>
        </w:rPr>
        <w:t>et al.</w:t>
      </w:r>
      <w:r w:rsidRPr="00A14B67">
        <w:rPr>
          <w:rFonts w:ascii="Arial" w:hAnsi="Arial" w:cs="Arial"/>
          <w:noProof/>
          <w:sz w:val="20"/>
        </w:rPr>
        <w:t xml:space="preserve"> Novel Motion Correction Algorithm for 3D Dynamic Contrast Ultrasound Without Anatomical Bmode Images. in </w:t>
      </w:r>
      <w:r w:rsidRPr="00A14B67">
        <w:rPr>
          <w:rFonts w:ascii="Arial" w:hAnsi="Arial" w:cs="Arial"/>
          <w:i/>
          <w:iCs/>
          <w:noProof/>
          <w:sz w:val="20"/>
        </w:rPr>
        <w:t>IEEE IUS 2018</w:t>
      </w:r>
      <w:r w:rsidRPr="00A14B67">
        <w:rPr>
          <w:rFonts w:ascii="Arial" w:hAnsi="Arial" w:cs="Arial"/>
          <w:noProof/>
          <w:sz w:val="20"/>
        </w:rPr>
        <w:t xml:space="preserve"> (2018).</w:t>
      </w:r>
    </w:p>
    <w:p w14:paraId="432B570F"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16.</w:t>
      </w:r>
      <w:r w:rsidRPr="00A14B67">
        <w:rPr>
          <w:rFonts w:ascii="Arial" w:hAnsi="Arial" w:cs="Arial"/>
          <w:noProof/>
          <w:sz w:val="20"/>
        </w:rPr>
        <w:tab/>
        <w:t xml:space="preserve">Chen, J.-S.-, Goubran, M., Kim, G., Willmann, J. K. &amp; El Kaffas, A. Motion Correction of 3D Dynamic Contrast-Enhanced Ultrasound Imaging without Anatomical Bmode Images. </w:t>
      </w:r>
      <w:r w:rsidRPr="00A14B67">
        <w:rPr>
          <w:rFonts w:ascii="Arial" w:hAnsi="Arial" w:cs="Arial"/>
          <w:i/>
          <w:iCs/>
          <w:noProof/>
          <w:sz w:val="20"/>
        </w:rPr>
        <w:t>Submitt. to IEEE TUFFC</w:t>
      </w:r>
      <w:r w:rsidRPr="00A14B67">
        <w:rPr>
          <w:rFonts w:ascii="Arial" w:hAnsi="Arial" w:cs="Arial"/>
          <w:noProof/>
          <w:sz w:val="20"/>
        </w:rPr>
        <w:t xml:space="preserve"> (2019).</w:t>
      </w:r>
    </w:p>
    <w:p w14:paraId="70B7BFF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17.</w:t>
      </w:r>
      <w:r w:rsidRPr="00A14B67">
        <w:rPr>
          <w:rFonts w:ascii="Arial" w:hAnsi="Arial" w:cs="Arial"/>
          <w:noProof/>
          <w:sz w:val="20"/>
        </w:rPr>
        <w:tab/>
        <w:t xml:space="preserve">Wu, C. M., Chen, Y. C. &amp; Hsieh, K. S. Texture features for classification of ultrasonic liver images. </w:t>
      </w:r>
      <w:r w:rsidRPr="00A14B67">
        <w:rPr>
          <w:rFonts w:ascii="Arial" w:hAnsi="Arial" w:cs="Arial"/>
          <w:i/>
          <w:iCs/>
          <w:noProof/>
          <w:sz w:val="20"/>
        </w:rPr>
        <w:t>IEEE Trans. Med. Imaging</w:t>
      </w:r>
      <w:r w:rsidRPr="00A14B67">
        <w:rPr>
          <w:rFonts w:ascii="Arial" w:hAnsi="Arial" w:cs="Arial"/>
          <w:noProof/>
          <w:sz w:val="20"/>
        </w:rPr>
        <w:t xml:space="preserve"> </w:t>
      </w:r>
      <w:r w:rsidRPr="00A14B67">
        <w:rPr>
          <w:rFonts w:ascii="Arial" w:hAnsi="Arial" w:cs="Arial"/>
          <w:b/>
          <w:bCs/>
          <w:noProof/>
          <w:sz w:val="20"/>
        </w:rPr>
        <w:t>11</w:t>
      </w:r>
      <w:r w:rsidRPr="00A14B67">
        <w:rPr>
          <w:rFonts w:ascii="Arial" w:hAnsi="Arial" w:cs="Arial"/>
          <w:noProof/>
          <w:sz w:val="20"/>
        </w:rPr>
        <w:t>, 141–52 (1992).</w:t>
      </w:r>
    </w:p>
    <w:p w14:paraId="544CB861"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18.</w:t>
      </w:r>
      <w:r w:rsidRPr="00A14B67">
        <w:rPr>
          <w:rFonts w:ascii="Arial" w:hAnsi="Arial" w:cs="Arial"/>
          <w:noProof/>
          <w:sz w:val="20"/>
        </w:rPr>
        <w:tab/>
        <w:t xml:space="preserve">Felipe, J. C., Traina, A. J. M. &amp; Traina, C. Retrieval by content of medical images using texture for tissue identification. in </w:t>
      </w:r>
      <w:r w:rsidRPr="00A14B67">
        <w:rPr>
          <w:rFonts w:ascii="Arial" w:hAnsi="Arial" w:cs="Arial"/>
          <w:i/>
          <w:iCs/>
          <w:noProof/>
          <w:sz w:val="20"/>
        </w:rPr>
        <w:t>16th IEEE Symposium Computer-Based Medical Systems, 2003. Proceedings.</w:t>
      </w:r>
      <w:r w:rsidRPr="00A14B67">
        <w:rPr>
          <w:rFonts w:ascii="Arial" w:hAnsi="Arial" w:cs="Arial"/>
          <w:noProof/>
          <w:sz w:val="20"/>
        </w:rPr>
        <w:t xml:space="preserve"> 175–180 (IEEE). doi:10.1109/CBMS.2003.1212785</w:t>
      </w:r>
    </w:p>
    <w:p w14:paraId="1E4A4412"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19.</w:t>
      </w:r>
      <w:r w:rsidRPr="00A14B67">
        <w:rPr>
          <w:rFonts w:ascii="Arial" w:hAnsi="Arial" w:cs="Arial"/>
          <w:noProof/>
          <w:sz w:val="20"/>
        </w:rPr>
        <w:tab/>
        <w:t xml:space="preserve">Gao, S. </w:t>
      </w:r>
      <w:r w:rsidRPr="00A14B67">
        <w:rPr>
          <w:rFonts w:ascii="Arial" w:hAnsi="Arial" w:cs="Arial"/>
          <w:i/>
          <w:iCs/>
          <w:noProof/>
          <w:sz w:val="20"/>
        </w:rPr>
        <w:t>et al.</w:t>
      </w:r>
      <w:r w:rsidRPr="00A14B67">
        <w:rPr>
          <w:rFonts w:ascii="Arial" w:hAnsi="Arial" w:cs="Arial"/>
          <w:noProof/>
          <w:sz w:val="20"/>
        </w:rPr>
        <w:t xml:space="preserve"> Texture analysis and classification of ultrasound liver images. </w:t>
      </w:r>
      <w:r w:rsidRPr="00A14B67">
        <w:rPr>
          <w:rFonts w:ascii="Arial" w:hAnsi="Arial" w:cs="Arial"/>
          <w:i/>
          <w:iCs/>
          <w:noProof/>
          <w:sz w:val="20"/>
        </w:rPr>
        <w:t>Biomed. Mater. Eng.</w:t>
      </w:r>
      <w:r w:rsidRPr="00A14B67">
        <w:rPr>
          <w:rFonts w:ascii="Arial" w:hAnsi="Arial" w:cs="Arial"/>
          <w:noProof/>
          <w:sz w:val="20"/>
        </w:rPr>
        <w:t xml:space="preserve"> </w:t>
      </w:r>
      <w:r w:rsidRPr="00A14B67">
        <w:rPr>
          <w:rFonts w:ascii="Arial" w:hAnsi="Arial" w:cs="Arial"/>
          <w:b/>
          <w:bCs/>
          <w:noProof/>
          <w:sz w:val="20"/>
        </w:rPr>
        <w:t>24</w:t>
      </w:r>
      <w:r w:rsidRPr="00A14B67">
        <w:rPr>
          <w:rFonts w:ascii="Arial" w:hAnsi="Arial" w:cs="Arial"/>
          <w:noProof/>
          <w:sz w:val="20"/>
        </w:rPr>
        <w:t>, 1209–16 (2014).</w:t>
      </w:r>
    </w:p>
    <w:p w14:paraId="2222306C"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20.</w:t>
      </w:r>
      <w:r w:rsidRPr="00A14B67">
        <w:rPr>
          <w:rFonts w:ascii="Arial" w:hAnsi="Arial" w:cs="Arial"/>
          <w:noProof/>
          <w:sz w:val="20"/>
        </w:rPr>
        <w:tab/>
        <w:t xml:space="preserve">Amadasun, M. &amp; King, R. Textural features corresponding to textural properties. </w:t>
      </w:r>
      <w:r w:rsidRPr="00A14B67">
        <w:rPr>
          <w:rFonts w:ascii="Arial" w:hAnsi="Arial" w:cs="Arial"/>
          <w:i/>
          <w:iCs/>
          <w:noProof/>
          <w:sz w:val="20"/>
        </w:rPr>
        <w:t>IEEE Trans. Syst. Man Cybern.</w:t>
      </w:r>
      <w:r w:rsidRPr="00A14B67">
        <w:rPr>
          <w:rFonts w:ascii="Arial" w:hAnsi="Arial" w:cs="Arial"/>
          <w:noProof/>
          <w:sz w:val="20"/>
        </w:rPr>
        <w:t xml:space="preserve"> </w:t>
      </w:r>
      <w:r w:rsidRPr="00A14B67">
        <w:rPr>
          <w:rFonts w:ascii="Arial" w:hAnsi="Arial" w:cs="Arial"/>
          <w:b/>
          <w:bCs/>
          <w:noProof/>
          <w:sz w:val="20"/>
        </w:rPr>
        <w:t>19</w:t>
      </w:r>
      <w:r w:rsidRPr="00A14B67">
        <w:rPr>
          <w:rFonts w:ascii="Arial" w:hAnsi="Arial" w:cs="Arial"/>
          <w:noProof/>
          <w:sz w:val="20"/>
        </w:rPr>
        <w:t>, 1264–1273 (1989).</w:t>
      </w:r>
    </w:p>
    <w:p w14:paraId="14A85676"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21.</w:t>
      </w:r>
      <w:r w:rsidRPr="00A14B67">
        <w:rPr>
          <w:rFonts w:ascii="Arial" w:hAnsi="Arial" w:cs="Arial"/>
          <w:noProof/>
          <w:sz w:val="20"/>
        </w:rPr>
        <w:tab/>
        <w:t xml:space="preserve">Chen, D.-R. </w:t>
      </w:r>
      <w:r w:rsidRPr="00A14B67">
        <w:rPr>
          <w:rFonts w:ascii="Arial" w:hAnsi="Arial" w:cs="Arial"/>
          <w:i/>
          <w:iCs/>
          <w:noProof/>
          <w:sz w:val="20"/>
        </w:rPr>
        <w:t>et al.</w:t>
      </w:r>
      <w:r w:rsidRPr="00A14B67">
        <w:rPr>
          <w:rFonts w:ascii="Arial" w:hAnsi="Arial" w:cs="Arial"/>
          <w:noProof/>
          <w:sz w:val="20"/>
        </w:rPr>
        <w:t xml:space="preserve"> Classification of breast ultrasound images using fractal feature. </w:t>
      </w:r>
      <w:r w:rsidRPr="00A14B67">
        <w:rPr>
          <w:rFonts w:ascii="Arial" w:hAnsi="Arial" w:cs="Arial"/>
          <w:i/>
          <w:iCs/>
          <w:noProof/>
          <w:sz w:val="20"/>
        </w:rPr>
        <w:t>Clin. Imaging</w:t>
      </w:r>
      <w:r w:rsidRPr="00A14B67">
        <w:rPr>
          <w:rFonts w:ascii="Arial" w:hAnsi="Arial" w:cs="Arial"/>
          <w:noProof/>
          <w:sz w:val="20"/>
        </w:rPr>
        <w:t xml:space="preserve"> </w:t>
      </w:r>
      <w:r w:rsidRPr="00A14B67">
        <w:rPr>
          <w:rFonts w:ascii="Arial" w:hAnsi="Arial" w:cs="Arial"/>
          <w:b/>
          <w:bCs/>
          <w:noProof/>
          <w:sz w:val="20"/>
        </w:rPr>
        <w:t>29</w:t>
      </w:r>
      <w:r w:rsidRPr="00A14B67">
        <w:rPr>
          <w:rFonts w:ascii="Arial" w:hAnsi="Arial" w:cs="Arial"/>
          <w:noProof/>
          <w:sz w:val="20"/>
        </w:rPr>
        <w:t>, 235–45 (2005).</w:t>
      </w:r>
    </w:p>
    <w:p w14:paraId="19099B53"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22.</w:t>
      </w:r>
      <w:r w:rsidRPr="00A14B67">
        <w:rPr>
          <w:rFonts w:ascii="Arial" w:hAnsi="Arial" w:cs="Arial"/>
          <w:noProof/>
          <w:sz w:val="20"/>
        </w:rPr>
        <w:tab/>
        <w:t xml:space="preserve">Alic, L., Niessen, W. J. &amp; Veenland, J. F. Quantification of heterogeneity as a biomarker in tumor imaging: A systematic review. </w:t>
      </w:r>
      <w:r w:rsidRPr="00A14B67">
        <w:rPr>
          <w:rFonts w:ascii="Arial" w:hAnsi="Arial" w:cs="Arial"/>
          <w:i/>
          <w:iCs/>
          <w:noProof/>
          <w:sz w:val="20"/>
        </w:rPr>
        <w:t>PLoS One</w:t>
      </w:r>
      <w:r w:rsidRPr="00A14B67">
        <w:rPr>
          <w:rFonts w:ascii="Arial" w:hAnsi="Arial" w:cs="Arial"/>
          <w:noProof/>
          <w:sz w:val="20"/>
        </w:rPr>
        <w:t xml:space="preserve"> </w:t>
      </w:r>
      <w:r w:rsidRPr="00A14B67">
        <w:rPr>
          <w:rFonts w:ascii="Arial" w:hAnsi="Arial" w:cs="Arial"/>
          <w:b/>
          <w:bCs/>
          <w:noProof/>
          <w:sz w:val="20"/>
        </w:rPr>
        <w:t>9</w:t>
      </w:r>
      <w:r w:rsidRPr="00A14B67">
        <w:rPr>
          <w:rFonts w:ascii="Arial" w:hAnsi="Arial" w:cs="Arial"/>
          <w:noProof/>
          <w:sz w:val="20"/>
        </w:rPr>
        <w:t>, 1–15 (2014).</w:t>
      </w:r>
    </w:p>
    <w:p w14:paraId="20988A4F"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23.</w:t>
      </w:r>
      <w:r w:rsidRPr="00A14B67">
        <w:rPr>
          <w:rFonts w:ascii="Arial" w:hAnsi="Arial" w:cs="Arial"/>
          <w:noProof/>
          <w:sz w:val="20"/>
        </w:rPr>
        <w:tab/>
        <w:t xml:space="preserve">O’Connor, J. P. B. </w:t>
      </w:r>
      <w:r w:rsidRPr="00A14B67">
        <w:rPr>
          <w:rFonts w:ascii="Arial" w:hAnsi="Arial" w:cs="Arial"/>
          <w:i/>
          <w:iCs/>
          <w:noProof/>
          <w:sz w:val="20"/>
        </w:rPr>
        <w:t>et al.</w:t>
      </w:r>
      <w:r w:rsidRPr="00A14B67">
        <w:rPr>
          <w:rFonts w:ascii="Arial" w:hAnsi="Arial" w:cs="Arial"/>
          <w:noProof/>
          <w:sz w:val="20"/>
        </w:rPr>
        <w:t xml:space="preserve"> Imaging intratumor heterogeneity: Role in therapy response, resistance, and clinical outcome. </w:t>
      </w:r>
      <w:r w:rsidRPr="00A14B67">
        <w:rPr>
          <w:rFonts w:ascii="Arial" w:hAnsi="Arial" w:cs="Arial"/>
          <w:i/>
          <w:iCs/>
          <w:noProof/>
          <w:sz w:val="20"/>
        </w:rPr>
        <w:t>Clin. Cancer Res.</w:t>
      </w:r>
      <w:r w:rsidRPr="00A14B67">
        <w:rPr>
          <w:rFonts w:ascii="Arial" w:hAnsi="Arial" w:cs="Arial"/>
          <w:noProof/>
          <w:sz w:val="20"/>
        </w:rPr>
        <w:t xml:space="preserve"> </w:t>
      </w:r>
      <w:r w:rsidRPr="00A14B67">
        <w:rPr>
          <w:rFonts w:ascii="Arial" w:hAnsi="Arial" w:cs="Arial"/>
          <w:b/>
          <w:bCs/>
          <w:noProof/>
          <w:sz w:val="20"/>
        </w:rPr>
        <w:t>21</w:t>
      </w:r>
      <w:r w:rsidRPr="00A14B67">
        <w:rPr>
          <w:rFonts w:ascii="Arial" w:hAnsi="Arial" w:cs="Arial"/>
          <w:noProof/>
          <w:sz w:val="20"/>
        </w:rPr>
        <w:t>, 249–257 (2015).</w:t>
      </w:r>
    </w:p>
    <w:p w14:paraId="16FEB34C"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24.</w:t>
      </w:r>
      <w:r w:rsidRPr="00A14B67">
        <w:rPr>
          <w:rFonts w:ascii="Arial" w:hAnsi="Arial" w:cs="Arial"/>
          <w:noProof/>
          <w:sz w:val="20"/>
        </w:rPr>
        <w:tab/>
        <w:t xml:space="preserve">Kothari, S., Phan, J. H., Stokes, T. H. &amp; Wang, M. D. Pathology imaging informatics for quantitative analysis of whole-slide images. </w:t>
      </w:r>
      <w:r w:rsidRPr="00A14B67">
        <w:rPr>
          <w:rFonts w:ascii="Arial" w:hAnsi="Arial" w:cs="Arial"/>
          <w:i/>
          <w:iCs/>
          <w:noProof/>
          <w:sz w:val="20"/>
        </w:rPr>
        <w:t>J. Am. Med. Inform. Assoc.</w:t>
      </w:r>
      <w:r w:rsidRPr="00A14B67">
        <w:rPr>
          <w:rFonts w:ascii="Arial" w:hAnsi="Arial" w:cs="Arial"/>
          <w:noProof/>
          <w:sz w:val="20"/>
        </w:rPr>
        <w:t xml:space="preserve"> </w:t>
      </w:r>
      <w:r w:rsidRPr="00A14B67">
        <w:rPr>
          <w:rFonts w:ascii="Arial" w:hAnsi="Arial" w:cs="Arial"/>
          <w:b/>
          <w:bCs/>
          <w:noProof/>
          <w:sz w:val="20"/>
        </w:rPr>
        <w:t>20</w:t>
      </w:r>
      <w:r w:rsidRPr="00A14B67">
        <w:rPr>
          <w:rFonts w:ascii="Arial" w:hAnsi="Arial" w:cs="Arial"/>
          <w:noProof/>
          <w:sz w:val="20"/>
        </w:rPr>
        <w:t>, 1099–108 (2013).</w:t>
      </w:r>
    </w:p>
    <w:p w14:paraId="44311FBC"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25.</w:t>
      </w:r>
      <w:r w:rsidRPr="00A14B67">
        <w:rPr>
          <w:rFonts w:ascii="Arial" w:hAnsi="Arial" w:cs="Arial"/>
          <w:noProof/>
          <w:sz w:val="20"/>
        </w:rPr>
        <w:tab/>
        <w:t xml:space="preserve">Gangeh, M. J., Kaffas, A. El, Hashim, A., Giles, A. &amp; Czarnota, G. J. Advanced machine learning and textural methods in monitoring cell death using quantitative ultrasound spectroscopy. in </w:t>
      </w:r>
      <w:r w:rsidRPr="00A14B67">
        <w:rPr>
          <w:rFonts w:ascii="Arial" w:hAnsi="Arial" w:cs="Arial"/>
          <w:i/>
          <w:iCs/>
          <w:noProof/>
          <w:sz w:val="20"/>
        </w:rPr>
        <w:t>2015 IEEE 12th International Symposium on Biomedical Imaging (ISBI)</w:t>
      </w:r>
      <w:r w:rsidRPr="00A14B67">
        <w:rPr>
          <w:rFonts w:ascii="Arial" w:hAnsi="Arial" w:cs="Arial"/>
          <w:noProof/>
          <w:sz w:val="20"/>
        </w:rPr>
        <w:t xml:space="preserve"> 646–650 (IEEE, 2015). doi:10.1109/ISBI.2015.7163956</w:t>
      </w:r>
    </w:p>
    <w:p w14:paraId="2B9B40D2"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26.</w:t>
      </w:r>
      <w:r w:rsidRPr="00A14B67">
        <w:rPr>
          <w:rFonts w:ascii="Arial" w:hAnsi="Arial" w:cs="Arial"/>
          <w:noProof/>
          <w:sz w:val="20"/>
        </w:rPr>
        <w:tab/>
        <w:t xml:space="preserve">Kather, J. N. </w:t>
      </w:r>
      <w:r w:rsidRPr="00A14B67">
        <w:rPr>
          <w:rFonts w:ascii="Arial" w:hAnsi="Arial" w:cs="Arial"/>
          <w:i/>
          <w:iCs/>
          <w:noProof/>
          <w:sz w:val="20"/>
        </w:rPr>
        <w:t>et al.</w:t>
      </w:r>
      <w:r w:rsidRPr="00A14B67">
        <w:rPr>
          <w:rFonts w:ascii="Arial" w:hAnsi="Arial" w:cs="Arial"/>
          <w:noProof/>
          <w:sz w:val="20"/>
        </w:rPr>
        <w:t xml:space="preserve"> Multi-class texture analysis in colorectal cancer histology. </w:t>
      </w:r>
      <w:r w:rsidRPr="00A14B67">
        <w:rPr>
          <w:rFonts w:ascii="Arial" w:hAnsi="Arial" w:cs="Arial"/>
          <w:i/>
          <w:iCs/>
          <w:noProof/>
          <w:sz w:val="20"/>
        </w:rPr>
        <w:t>Sci. Rep.</w:t>
      </w:r>
      <w:r w:rsidRPr="00A14B67">
        <w:rPr>
          <w:rFonts w:ascii="Arial" w:hAnsi="Arial" w:cs="Arial"/>
          <w:noProof/>
          <w:sz w:val="20"/>
        </w:rPr>
        <w:t xml:space="preserve"> </w:t>
      </w:r>
      <w:r w:rsidRPr="00A14B67">
        <w:rPr>
          <w:rFonts w:ascii="Arial" w:hAnsi="Arial" w:cs="Arial"/>
          <w:b/>
          <w:bCs/>
          <w:noProof/>
          <w:sz w:val="20"/>
        </w:rPr>
        <w:t>6</w:t>
      </w:r>
      <w:r w:rsidRPr="00A14B67">
        <w:rPr>
          <w:rFonts w:ascii="Arial" w:hAnsi="Arial" w:cs="Arial"/>
          <w:noProof/>
          <w:sz w:val="20"/>
        </w:rPr>
        <w:t>, 27988 (2016).</w:t>
      </w:r>
    </w:p>
    <w:p w14:paraId="7E1283BD"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27.</w:t>
      </w:r>
      <w:r w:rsidRPr="00A14B67">
        <w:rPr>
          <w:rFonts w:ascii="Arial" w:hAnsi="Arial" w:cs="Arial"/>
          <w:noProof/>
          <w:sz w:val="20"/>
        </w:rPr>
        <w:tab/>
        <w:t xml:space="preserve">Ahmed, A., Gibbs, P., Pickles, M. &amp; Turnbull, L. Texture analysis in assessment and prediction of chemotherapy response in breast cancer. </w:t>
      </w:r>
      <w:r w:rsidRPr="00A14B67">
        <w:rPr>
          <w:rFonts w:ascii="Arial" w:hAnsi="Arial" w:cs="Arial"/>
          <w:i/>
          <w:iCs/>
          <w:noProof/>
          <w:sz w:val="20"/>
        </w:rPr>
        <w:t>J. Magn. Reson. Imaging</w:t>
      </w:r>
      <w:r w:rsidRPr="00A14B67">
        <w:rPr>
          <w:rFonts w:ascii="Arial" w:hAnsi="Arial" w:cs="Arial"/>
          <w:noProof/>
          <w:sz w:val="20"/>
        </w:rPr>
        <w:t xml:space="preserve"> </w:t>
      </w:r>
      <w:r w:rsidRPr="00A14B67">
        <w:rPr>
          <w:rFonts w:ascii="Arial" w:hAnsi="Arial" w:cs="Arial"/>
          <w:b/>
          <w:bCs/>
          <w:noProof/>
          <w:sz w:val="20"/>
        </w:rPr>
        <w:t>38</w:t>
      </w:r>
      <w:r w:rsidRPr="00A14B67">
        <w:rPr>
          <w:rFonts w:ascii="Arial" w:hAnsi="Arial" w:cs="Arial"/>
          <w:noProof/>
          <w:sz w:val="20"/>
        </w:rPr>
        <w:t>, 89–101 (2013).</w:t>
      </w:r>
    </w:p>
    <w:p w14:paraId="2754E67E"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28.</w:t>
      </w:r>
      <w:r w:rsidRPr="00A14B67">
        <w:rPr>
          <w:rFonts w:ascii="Arial" w:hAnsi="Arial" w:cs="Arial"/>
          <w:noProof/>
          <w:sz w:val="20"/>
        </w:rPr>
        <w:tab/>
        <w:t xml:space="preserve">Rose, C. J. </w:t>
      </w:r>
      <w:r w:rsidRPr="00A14B67">
        <w:rPr>
          <w:rFonts w:ascii="Arial" w:hAnsi="Arial" w:cs="Arial"/>
          <w:i/>
          <w:iCs/>
          <w:noProof/>
          <w:sz w:val="20"/>
        </w:rPr>
        <w:t>et al.</w:t>
      </w:r>
      <w:r w:rsidRPr="00A14B67">
        <w:rPr>
          <w:rFonts w:ascii="Arial" w:hAnsi="Arial" w:cs="Arial"/>
          <w:noProof/>
          <w:sz w:val="20"/>
        </w:rPr>
        <w:t xml:space="preserve"> Quantifying spatial heterogeneity in dynamic contrast-enhanced MRI parameter maps. </w:t>
      </w:r>
      <w:r w:rsidRPr="00A14B67">
        <w:rPr>
          <w:rFonts w:ascii="Arial" w:hAnsi="Arial" w:cs="Arial"/>
          <w:i/>
          <w:iCs/>
          <w:noProof/>
          <w:sz w:val="20"/>
        </w:rPr>
        <w:t>Magn. Reson. Med.</w:t>
      </w:r>
      <w:r w:rsidRPr="00A14B67">
        <w:rPr>
          <w:rFonts w:ascii="Arial" w:hAnsi="Arial" w:cs="Arial"/>
          <w:noProof/>
          <w:sz w:val="20"/>
        </w:rPr>
        <w:t xml:space="preserve"> </w:t>
      </w:r>
      <w:r w:rsidRPr="00A14B67">
        <w:rPr>
          <w:rFonts w:ascii="Arial" w:hAnsi="Arial" w:cs="Arial"/>
          <w:b/>
          <w:bCs/>
          <w:noProof/>
          <w:sz w:val="20"/>
        </w:rPr>
        <w:t>62</w:t>
      </w:r>
      <w:r w:rsidRPr="00A14B67">
        <w:rPr>
          <w:rFonts w:ascii="Arial" w:hAnsi="Arial" w:cs="Arial"/>
          <w:noProof/>
          <w:sz w:val="20"/>
        </w:rPr>
        <w:t>, 488–499 (2009).</w:t>
      </w:r>
    </w:p>
    <w:p w14:paraId="7F1B3AEC"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lastRenderedPageBreak/>
        <w:t>29.</w:t>
      </w:r>
      <w:r w:rsidRPr="00A14B67">
        <w:rPr>
          <w:rFonts w:ascii="Arial" w:hAnsi="Arial" w:cs="Arial"/>
          <w:noProof/>
          <w:sz w:val="20"/>
        </w:rPr>
        <w:tab/>
        <w:t xml:space="preserve">Ng, F., Kozarski, R., Ganeshan, B. &amp; Goh, V. Assessment of tumor heterogeneity by CT texture analysis: Can the largest cross-sectional area be used as an alternative to whole tumor analysis? </w:t>
      </w:r>
      <w:r w:rsidRPr="00A14B67">
        <w:rPr>
          <w:rFonts w:ascii="Arial" w:hAnsi="Arial" w:cs="Arial"/>
          <w:i/>
          <w:iCs/>
          <w:noProof/>
          <w:sz w:val="20"/>
        </w:rPr>
        <w:t>Eur. J. Radiol.</w:t>
      </w:r>
      <w:r w:rsidRPr="00A14B67">
        <w:rPr>
          <w:rFonts w:ascii="Arial" w:hAnsi="Arial" w:cs="Arial"/>
          <w:noProof/>
          <w:sz w:val="20"/>
        </w:rPr>
        <w:t xml:space="preserve"> </w:t>
      </w:r>
      <w:r w:rsidRPr="00A14B67">
        <w:rPr>
          <w:rFonts w:ascii="Arial" w:hAnsi="Arial" w:cs="Arial"/>
          <w:b/>
          <w:bCs/>
          <w:noProof/>
          <w:sz w:val="20"/>
        </w:rPr>
        <w:t>82</w:t>
      </w:r>
      <w:r w:rsidRPr="00A14B67">
        <w:rPr>
          <w:rFonts w:ascii="Arial" w:hAnsi="Arial" w:cs="Arial"/>
          <w:noProof/>
          <w:sz w:val="20"/>
        </w:rPr>
        <w:t>, 342–348 (2013).</w:t>
      </w:r>
    </w:p>
    <w:p w14:paraId="52B0770E"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30.</w:t>
      </w:r>
      <w:r w:rsidRPr="00A14B67">
        <w:rPr>
          <w:rFonts w:ascii="Arial" w:hAnsi="Arial" w:cs="Arial"/>
          <w:noProof/>
          <w:sz w:val="20"/>
        </w:rPr>
        <w:tab/>
        <w:t xml:space="preserve">Ng, F., Ganeshan, B., Kozarski, R., Miles, K. A. &amp; Goh, V. Assessment of Primary Colorectal Cancer Heterogeneity by Using Whole-Tumor Texture Analysis: Contrast-enhanced CT Texture as a Biomarker of 5-year Survival. </w:t>
      </w:r>
      <w:r w:rsidRPr="00A14B67">
        <w:rPr>
          <w:rFonts w:ascii="Arial" w:hAnsi="Arial" w:cs="Arial"/>
          <w:i/>
          <w:iCs/>
          <w:noProof/>
          <w:sz w:val="20"/>
        </w:rPr>
        <w:t>Radiology</w:t>
      </w:r>
      <w:r w:rsidRPr="00A14B67">
        <w:rPr>
          <w:rFonts w:ascii="Arial" w:hAnsi="Arial" w:cs="Arial"/>
          <w:noProof/>
          <w:sz w:val="20"/>
        </w:rPr>
        <w:t xml:space="preserve"> </w:t>
      </w:r>
      <w:r w:rsidRPr="00A14B67">
        <w:rPr>
          <w:rFonts w:ascii="Arial" w:hAnsi="Arial" w:cs="Arial"/>
          <w:b/>
          <w:bCs/>
          <w:noProof/>
          <w:sz w:val="20"/>
        </w:rPr>
        <w:t>266</w:t>
      </w:r>
      <w:r w:rsidRPr="00A14B67">
        <w:rPr>
          <w:rFonts w:ascii="Arial" w:hAnsi="Arial" w:cs="Arial"/>
          <w:noProof/>
          <w:sz w:val="20"/>
        </w:rPr>
        <w:t>, 177–184 (2013).</w:t>
      </w:r>
    </w:p>
    <w:p w14:paraId="56D42FB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31.</w:t>
      </w:r>
      <w:r w:rsidRPr="00A14B67">
        <w:rPr>
          <w:rFonts w:ascii="Arial" w:hAnsi="Arial" w:cs="Arial"/>
          <w:noProof/>
          <w:sz w:val="20"/>
        </w:rPr>
        <w:tab/>
        <w:t xml:space="preserve">Chicklore, S. </w:t>
      </w:r>
      <w:r w:rsidRPr="00A14B67">
        <w:rPr>
          <w:rFonts w:ascii="Arial" w:hAnsi="Arial" w:cs="Arial"/>
          <w:i/>
          <w:iCs/>
          <w:noProof/>
          <w:sz w:val="20"/>
        </w:rPr>
        <w:t>et al.</w:t>
      </w:r>
      <w:r w:rsidRPr="00A14B67">
        <w:rPr>
          <w:rFonts w:ascii="Arial" w:hAnsi="Arial" w:cs="Arial"/>
          <w:noProof/>
          <w:sz w:val="20"/>
        </w:rPr>
        <w:t xml:space="preserve"> Quantifying tumour heterogeneity in 18F-FDG PET/CT imaging by texture analysis. </w:t>
      </w:r>
      <w:r w:rsidRPr="00A14B67">
        <w:rPr>
          <w:rFonts w:ascii="Arial" w:hAnsi="Arial" w:cs="Arial"/>
          <w:i/>
          <w:iCs/>
          <w:noProof/>
          <w:sz w:val="20"/>
        </w:rPr>
        <w:t>European Journal of Nuclear Medicine and Molecular Imaging</w:t>
      </w:r>
      <w:r w:rsidRPr="00A14B67">
        <w:rPr>
          <w:rFonts w:ascii="Arial" w:hAnsi="Arial" w:cs="Arial"/>
          <w:noProof/>
          <w:sz w:val="20"/>
        </w:rPr>
        <w:t xml:space="preserve"> </w:t>
      </w:r>
      <w:r w:rsidRPr="00A14B67">
        <w:rPr>
          <w:rFonts w:ascii="Arial" w:hAnsi="Arial" w:cs="Arial"/>
          <w:b/>
          <w:bCs/>
          <w:noProof/>
          <w:sz w:val="20"/>
        </w:rPr>
        <w:t>40</w:t>
      </w:r>
      <w:r w:rsidRPr="00A14B67">
        <w:rPr>
          <w:rFonts w:ascii="Arial" w:hAnsi="Arial" w:cs="Arial"/>
          <w:noProof/>
          <w:sz w:val="20"/>
        </w:rPr>
        <w:t>, 133–140 (2013).</w:t>
      </w:r>
    </w:p>
    <w:p w14:paraId="2537ABAB"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32.</w:t>
      </w:r>
      <w:r w:rsidRPr="00A14B67">
        <w:rPr>
          <w:rFonts w:ascii="Arial" w:hAnsi="Arial" w:cs="Arial"/>
          <w:noProof/>
          <w:sz w:val="20"/>
        </w:rPr>
        <w:tab/>
        <w:t xml:space="preserve">Amadasun, M. &amp; King, R. Textural features corresponding to textural properties. </w:t>
      </w:r>
      <w:r w:rsidRPr="00A14B67">
        <w:rPr>
          <w:rFonts w:ascii="Arial" w:hAnsi="Arial" w:cs="Arial"/>
          <w:i/>
          <w:iCs/>
          <w:noProof/>
          <w:sz w:val="20"/>
        </w:rPr>
        <w:t>IEEE Trans. Syst. Man. Cybern.</w:t>
      </w:r>
      <w:r w:rsidRPr="00A14B67">
        <w:rPr>
          <w:rFonts w:ascii="Arial" w:hAnsi="Arial" w:cs="Arial"/>
          <w:noProof/>
          <w:sz w:val="20"/>
        </w:rPr>
        <w:t xml:space="preserve"> </w:t>
      </w:r>
      <w:r w:rsidRPr="00A14B67">
        <w:rPr>
          <w:rFonts w:ascii="Arial" w:hAnsi="Arial" w:cs="Arial"/>
          <w:b/>
          <w:bCs/>
          <w:noProof/>
          <w:sz w:val="20"/>
        </w:rPr>
        <w:t>19</w:t>
      </w:r>
      <w:r w:rsidRPr="00A14B67">
        <w:rPr>
          <w:rFonts w:ascii="Arial" w:hAnsi="Arial" w:cs="Arial"/>
          <w:noProof/>
          <w:sz w:val="20"/>
        </w:rPr>
        <w:t>, 1264–1274 (1989).</w:t>
      </w:r>
    </w:p>
    <w:p w14:paraId="63C18254"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33.</w:t>
      </w:r>
      <w:r w:rsidRPr="00A14B67">
        <w:rPr>
          <w:rFonts w:ascii="Arial" w:hAnsi="Arial" w:cs="Arial"/>
          <w:noProof/>
          <w:sz w:val="20"/>
        </w:rPr>
        <w:tab/>
        <w:t xml:space="preserve">Livens, S. </w:t>
      </w:r>
      <w:r w:rsidRPr="00A14B67">
        <w:rPr>
          <w:rFonts w:ascii="Arial" w:hAnsi="Arial" w:cs="Arial"/>
          <w:i/>
          <w:iCs/>
          <w:noProof/>
          <w:sz w:val="20"/>
        </w:rPr>
        <w:t>et al.</w:t>
      </w:r>
      <w:r w:rsidRPr="00A14B67">
        <w:rPr>
          <w:rFonts w:ascii="Arial" w:hAnsi="Arial" w:cs="Arial"/>
          <w:noProof/>
          <w:sz w:val="20"/>
        </w:rPr>
        <w:t xml:space="preserve"> A Texture Analysis Approach to Corrosion Image Classification. </w:t>
      </w:r>
      <w:r w:rsidRPr="00A14B67">
        <w:rPr>
          <w:rFonts w:ascii="Arial" w:hAnsi="Arial" w:cs="Arial"/>
          <w:i/>
          <w:iCs/>
          <w:noProof/>
          <w:sz w:val="20"/>
        </w:rPr>
        <w:t>Microsc. Microanal. Microstruct.</w:t>
      </w:r>
      <w:r w:rsidRPr="00A14B67">
        <w:rPr>
          <w:rFonts w:ascii="Arial" w:hAnsi="Arial" w:cs="Arial"/>
          <w:noProof/>
          <w:sz w:val="20"/>
        </w:rPr>
        <w:t xml:space="preserve"> </w:t>
      </w:r>
      <w:r w:rsidRPr="00A14B67">
        <w:rPr>
          <w:rFonts w:ascii="Arial" w:hAnsi="Arial" w:cs="Arial"/>
          <w:b/>
          <w:bCs/>
          <w:noProof/>
          <w:sz w:val="20"/>
        </w:rPr>
        <w:t>7</w:t>
      </w:r>
      <w:r w:rsidRPr="00A14B67">
        <w:rPr>
          <w:rFonts w:ascii="Arial" w:hAnsi="Arial" w:cs="Arial"/>
          <w:noProof/>
          <w:sz w:val="20"/>
        </w:rPr>
        <w:t>, 143–152 (1996).</w:t>
      </w:r>
    </w:p>
    <w:p w14:paraId="11B1CE1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34.</w:t>
      </w:r>
      <w:r w:rsidRPr="00A14B67">
        <w:rPr>
          <w:rFonts w:ascii="Arial" w:hAnsi="Arial" w:cs="Arial"/>
          <w:noProof/>
          <w:sz w:val="20"/>
        </w:rPr>
        <w:tab/>
        <w:t>Materka, A. &amp; Strzelecki, M. Texture Analysis Methods – A Review. 1–33 (1998).</w:t>
      </w:r>
    </w:p>
    <w:p w14:paraId="6D3C590A"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35.</w:t>
      </w:r>
      <w:r w:rsidRPr="00A14B67">
        <w:rPr>
          <w:rFonts w:ascii="Arial" w:hAnsi="Arial" w:cs="Arial"/>
          <w:noProof/>
          <w:sz w:val="20"/>
        </w:rPr>
        <w:tab/>
        <w:t xml:space="preserve">Arivazhagan, S. &amp; Ganesan, L. Texture classification using wavelet transform. </w:t>
      </w:r>
      <w:r w:rsidRPr="00A14B67">
        <w:rPr>
          <w:rFonts w:ascii="Arial" w:hAnsi="Arial" w:cs="Arial"/>
          <w:i/>
          <w:iCs/>
          <w:noProof/>
          <w:sz w:val="20"/>
        </w:rPr>
        <w:t>Pattern Recognit. Lett.</w:t>
      </w:r>
      <w:r w:rsidRPr="00A14B67">
        <w:rPr>
          <w:rFonts w:ascii="Arial" w:hAnsi="Arial" w:cs="Arial"/>
          <w:noProof/>
          <w:sz w:val="20"/>
        </w:rPr>
        <w:t xml:space="preserve"> </w:t>
      </w:r>
      <w:r w:rsidRPr="00A14B67">
        <w:rPr>
          <w:rFonts w:ascii="Arial" w:hAnsi="Arial" w:cs="Arial"/>
          <w:b/>
          <w:bCs/>
          <w:noProof/>
          <w:sz w:val="20"/>
        </w:rPr>
        <w:t>24</w:t>
      </w:r>
      <w:r w:rsidRPr="00A14B67">
        <w:rPr>
          <w:rFonts w:ascii="Arial" w:hAnsi="Arial" w:cs="Arial"/>
          <w:noProof/>
          <w:sz w:val="20"/>
        </w:rPr>
        <w:t>, 1513–1521 (2003).</w:t>
      </w:r>
    </w:p>
    <w:p w14:paraId="3F30CB2B"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36.</w:t>
      </w:r>
      <w:r w:rsidRPr="00A14B67">
        <w:rPr>
          <w:rFonts w:ascii="Arial" w:hAnsi="Arial" w:cs="Arial"/>
          <w:noProof/>
          <w:sz w:val="20"/>
        </w:rPr>
        <w:tab/>
        <w:t xml:space="preserve">Vos, W. H. De. </w:t>
      </w:r>
      <w:r w:rsidRPr="00A14B67">
        <w:rPr>
          <w:rFonts w:ascii="Arial" w:hAnsi="Arial" w:cs="Arial"/>
          <w:i/>
          <w:iCs/>
          <w:noProof/>
          <w:sz w:val="20"/>
        </w:rPr>
        <w:t>Focus on Bio-Image Informatics</w:t>
      </w:r>
      <w:r w:rsidRPr="00A14B67">
        <w:rPr>
          <w:rFonts w:ascii="Arial" w:hAnsi="Arial" w:cs="Arial"/>
          <w:noProof/>
          <w:sz w:val="20"/>
        </w:rPr>
        <w:t xml:space="preserve">. </w:t>
      </w:r>
      <w:r w:rsidRPr="00A14B67">
        <w:rPr>
          <w:rFonts w:ascii="Arial" w:hAnsi="Arial" w:cs="Arial"/>
          <w:b/>
          <w:bCs/>
          <w:noProof/>
          <w:sz w:val="20"/>
        </w:rPr>
        <w:t>219</w:t>
      </w:r>
      <w:r w:rsidRPr="00A14B67">
        <w:rPr>
          <w:rFonts w:ascii="Arial" w:hAnsi="Arial" w:cs="Arial"/>
          <w:noProof/>
          <w:sz w:val="20"/>
        </w:rPr>
        <w:t>, (Springer International Publishing, 2016).</w:t>
      </w:r>
    </w:p>
    <w:p w14:paraId="4DEF183F"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37.</w:t>
      </w:r>
      <w:r w:rsidRPr="00A14B67">
        <w:rPr>
          <w:rFonts w:ascii="Arial" w:hAnsi="Arial" w:cs="Arial"/>
          <w:noProof/>
          <w:sz w:val="20"/>
        </w:rPr>
        <w:tab/>
        <w:t xml:space="preserve">Vallières, M., Freeman, C. R., Skamene, S. R. &amp; El Naqa, I. A radiomics model from joint FDG-PET and MRI texture features for the prediction of lung metastases in soft-tissue sarcomas of the extremities; SUPPLEMENTARY INFORMATION. </w:t>
      </w:r>
      <w:r w:rsidRPr="00A14B67">
        <w:rPr>
          <w:rFonts w:ascii="Arial" w:hAnsi="Arial" w:cs="Arial"/>
          <w:i/>
          <w:iCs/>
          <w:noProof/>
          <w:sz w:val="20"/>
        </w:rPr>
        <w:t>Phys. Med. Biol.</w:t>
      </w:r>
      <w:r w:rsidRPr="00A14B67">
        <w:rPr>
          <w:rFonts w:ascii="Arial" w:hAnsi="Arial" w:cs="Arial"/>
          <w:noProof/>
          <w:sz w:val="20"/>
        </w:rPr>
        <w:t xml:space="preserve"> </w:t>
      </w:r>
      <w:r w:rsidRPr="00A14B67">
        <w:rPr>
          <w:rFonts w:ascii="Arial" w:hAnsi="Arial" w:cs="Arial"/>
          <w:b/>
          <w:bCs/>
          <w:noProof/>
          <w:sz w:val="20"/>
        </w:rPr>
        <w:t>60</w:t>
      </w:r>
      <w:r w:rsidRPr="00A14B67">
        <w:rPr>
          <w:rFonts w:ascii="Arial" w:hAnsi="Arial" w:cs="Arial"/>
          <w:noProof/>
          <w:sz w:val="20"/>
        </w:rPr>
        <w:t>, 5471–5496 (2015).</w:t>
      </w:r>
    </w:p>
    <w:p w14:paraId="68820ABE"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38.</w:t>
      </w:r>
      <w:r w:rsidRPr="00A14B67">
        <w:rPr>
          <w:rFonts w:ascii="Arial" w:hAnsi="Arial" w:cs="Arial"/>
          <w:noProof/>
          <w:sz w:val="20"/>
        </w:rPr>
        <w:tab/>
        <w:t xml:space="preserve">Wu, W.-J. &amp; Moon, W. K. Ultrasound breast tumor image computer-aided diagnosis with texture and morphological features. </w:t>
      </w:r>
      <w:r w:rsidRPr="00A14B67">
        <w:rPr>
          <w:rFonts w:ascii="Arial" w:hAnsi="Arial" w:cs="Arial"/>
          <w:i/>
          <w:iCs/>
          <w:noProof/>
          <w:sz w:val="20"/>
        </w:rPr>
        <w:t>Acad. Radiol.</w:t>
      </w:r>
      <w:r w:rsidRPr="00A14B67">
        <w:rPr>
          <w:rFonts w:ascii="Arial" w:hAnsi="Arial" w:cs="Arial"/>
          <w:noProof/>
          <w:sz w:val="20"/>
        </w:rPr>
        <w:t xml:space="preserve"> </w:t>
      </w:r>
      <w:r w:rsidRPr="00A14B67">
        <w:rPr>
          <w:rFonts w:ascii="Arial" w:hAnsi="Arial" w:cs="Arial"/>
          <w:b/>
          <w:bCs/>
          <w:noProof/>
          <w:sz w:val="20"/>
        </w:rPr>
        <w:t>15</w:t>
      </w:r>
      <w:r w:rsidRPr="00A14B67">
        <w:rPr>
          <w:rFonts w:ascii="Arial" w:hAnsi="Arial" w:cs="Arial"/>
          <w:noProof/>
          <w:sz w:val="20"/>
        </w:rPr>
        <w:t>, 873–80 (2008).</w:t>
      </w:r>
    </w:p>
    <w:p w14:paraId="5FE2FD67"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39.</w:t>
      </w:r>
      <w:r w:rsidRPr="00A14B67">
        <w:rPr>
          <w:rFonts w:ascii="Arial" w:hAnsi="Arial" w:cs="Arial"/>
          <w:noProof/>
          <w:sz w:val="20"/>
        </w:rPr>
        <w:tab/>
        <w:t xml:space="preserve">Depeursinge, A., Kurtz, C., Beaulieu, C., Napel, S. &amp; Rubin, D. Predicting visual semantic descriptive terms from radiological image data: preliminary results with liver lesions in CT. </w:t>
      </w:r>
      <w:r w:rsidRPr="00A14B67">
        <w:rPr>
          <w:rFonts w:ascii="Arial" w:hAnsi="Arial" w:cs="Arial"/>
          <w:i/>
          <w:iCs/>
          <w:noProof/>
          <w:sz w:val="20"/>
        </w:rPr>
        <w:t>IEEE Trans. Med. Imaging</w:t>
      </w:r>
      <w:r w:rsidRPr="00A14B67">
        <w:rPr>
          <w:rFonts w:ascii="Arial" w:hAnsi="Arial" w:cs="Arial"/>
          <w:noProof/>
          <w:sz w:val="20"/>
        </w:rPr>
        <w:t xml:space="preserve"> </w:t>
      </w:r>
      <w:r w:rsidRPr="00A14B67">
        <w:rPr>
          <w:rFonts w:ascii="Arial" w:hAnsi="Arial" w:cs="Arial"/>
          <w:b/>
          <w:bCs/>
          <w:noProof/>
          <w:sz w:val="20"/>
        </w:rPr>
        <w:t>33</w:t>
      </w:r>
      <w:r w:rsidRPr="00A14B67">
        <w:rPr>
          <w:rFonts w:ascii="Arial" w:hAnsi="Arial" w:cs="Arial"/>
          <w:noProof/>
          <w:sz w:val="20"/>
        </w:rPr>
        <w:t>, 1669–76 (2014).</w:t>
      </w:r>
    </w:p>
    <w:p w14:paraId="22204537"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40.</w:t>
      </w:r>
      <w:r w:rsidRPr="00A14B67">
        <w:rPr>
          <w:rFonts w:ascii="Arial" w:hAnsi="Arial" w:cs="Arial"/>
          <w:noProof/>
          <w:sz w:val="20"/>
        </w:rPr>
        <w:tab/>
        <w:t xml:space="preserve">Depeursinge, A. </w:t>
      </w:r>
      <w:r w:rsidRPr="00A14B67">
        <w:rPr>
          <w:rFonts w:ascii="Arial" w:hAnsi="Arial" w:cs="Arial"/>
          <w:i/>
          <w:iCs/>
          <w:noProof/>
          <w:sz w:val="20"/>
        </w:rPr>
        <w:t>et al.</w:t>
      </w:r>
      <w:r w:rsidRPr="00A14B67">
        <w:rPr>
          <w:rFonts w:ascii="Arial" w:hAnsi="Arial" w:cs="Arial"/>
          <w:noProof/>
          <w:sz w:val="20"/>
        </w:rPr>
        <w:t xml:space="preserve"> Automated classification of usual interstitial pneumonia using regional volumetric texture analysis in high-resolution computed tomography. </w:t>
      </w:r>
      <w:r w:rsidRPr="00A14B67">
        <w:rPr>
          <w:rFonts w:ascii="Arial" w:hAnsi="Arial" w:cs="Arial"/>
          <w:i/>
          <w:iCs/>
          <w:noProof/>
          <w:sz w:val="20"/>
        </w:rPr>
        <w:t>Invest. Radiol.</w:t>
      </w:r>
      <w:r w:rsidRPr="00A14B67">
        <w:rPr>
          <w:rFonts w:ascii="Arial" w:hAnsi="Arial" w:cs="Arial"/>
          <w:noProof/>
          <w:sz w:val="20"/>
        </w:rPr>
        <w:t xml:space="preserve"> </w:t>
      </w:r>
      <w:r w:rsidRPr="00A14B67">
        <w:rPr>
          <w:rFonts w:ascii="Arial" w:hAnsi="Arial" w:cs="Arial"/>
          <w:b/>
          <w:bCs/>
          <w:noProof/>
          <w:sz w:val="20"/>
        </w:rPr>
        <w:t>50</w:t>
      </w:r>
      <w:r w:rsidRPr="00A14B67">
        <w:rPr>
          <w:rFonts w:ascii="Arial" w:hAnsi="Arial" w:cs="Arial"/>
          <w:noProof/>
          <w:sz w:val="20"/>
        </w:rPr>
        <w:t>, 261–7 (2015).</w:t>
      </w:r>
    </w:p>
    <w:p w14:paraId="4B0C1EEE"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41.</w:t>
      </w:r>
      <w:r w:rsidRPr="00A14B67">
        <w:rPr>
          <w:rFonts w:ascii="Arial" w:hAnsi="Arial" w:cs="Arial"/>
          <w:noProof/>
          <w:sz w:val="20"/>
        </w:rPr>
        <w:tab/>
        <w:t xml:space="preserve">Itakura, H. </w:t>
      </w:r>
      <w:r w:rsidRPr="00A14B67">
        <w:rPr>
          <w:rFonts w:ascii="Arial" w:hAnsi="Arial" w:cs="Arial"/>
          <w:i/>
          <w:iCs/>
          <w:noProof/>
          <w:sz w:val="20"/>
        </w:rPr>
        <w:t>et al.</w:t>
      </w:r>
      <w:r w:rsidRPr="00A14B67">
        <w:rPr>
          <w:rFonts w:ascii="Arial" w:hAnsi="Arial" w:cs="Arial"/>
          <w:noProof/>
          <w:sz w:val="20"/>
        </w:rPr>
        <w:t xml:space="preserve"> Magnetic resonance image features identify glioblastoma phenotypic subtypes with distinct molecular pathway activities. </w:t>
      </w:r>
      <w:r w:rsidRPr="00A14B67">
        <w:rPr>
          <w:rFonts w:ascii="Arial" w:hAnsi="Arial" w:cs="Arial"/>
          <w:i/>
          <w:iCs/>
          <w:noProof/>
          <w:sz w:val="20"/>
        </w:rPr>
        <w:t>Sci. Transl. Med.</w:t>
      </w:r>
      <w:r w:rsidRPr="00A14B67">
        <w:rPr>
          <w:rFonts w:ascii="Arial" w:hAnsi="Arial" w:cs="Arial"/>
          <w:noProof/>
          <w:sz w:val="20"/>
        </w:rPr>
        <w:t xml:space="preserve"> </w:t>
      </w:r>
      <w:r w:rsidRPr="00A14B67">
        <w:rPr>
          <w:rFonts w:ascii="Arial" w:hAnsi="Arial" w:cs="Arial"/>
          <w:b/>
          <w:bCs/>
          <w:noProof/>
          <w:sz w:val="20"/>
        </w:rPr>
        <w:t>7</w:t>
      </w:r>
      <w:r w:rsidRPr="00A14B67">
        <w:rPr>
          <w:rFonts w:ascii="Arial" w:hAnsi="Arial" w:cs="Arial"/>
          <w:noProof/>
          <w:sz w:val="20"/>
        </w:rPr>
        <w:t>, 303ra138 (2015).</w:t>
      </w:r>
    </w:p>
    <w:p w14:paraId="2B0B630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42.</w:t>
      </w:r>
      <w:r w:rsidRPr="00A14B67">
        <w:rPr>
          <w:rFonts w:ascii="Arial" w:hAnsi="Arial" w:cs="Arial"/>
          <w:noProof/>
          <w:sz w:val="20"/>
        </w:rPr>
        <w:tab/>
        <w:t xml:space="preserve">Nicolasjilwan, M. </w:t>
      </w:r>
      <w:r w:rsidRPr="00A14B67">
        <w:rPr>
          <w:rFonts w:ascii="Arial" w:hAnsi="Arial" w:cs="Arial"/>
          <w:i/>
          <w:iCs/>
          <w:noProof/>
          <w:sz w:val="20"/>
        </w:rPr>
        <w:t>et al.</w:t>
      </w:r>
      <w:r w:rsidRPr="00A14B67">
        <w:rPr>
          <w:rFonts w:ascii="Arial" w:hAnsi="Arial" w:cs="Arial"/>
          <w:noProof/>
          <w:sz w:val="20"/>
        </w:rPr>
        <w:t xml:space="preserve"> Addition of MR imaging features and genetic biomarkers strengthens glioblastoma survival prediction in TCGA patients. </w:t>
      </w:r>
      <w:r w:rsidRPr="00A14B67">
        <w:rPr>
          <w:rFonts w:ascii="Arial" w:hAnsi="Arial" w:cs="Arial"/>
          <w:i/>
          <w:iCs/>
          <w:noProof/>
          <w:sz w:val="20"/>
        </w:rPr>
        <w:t>J. Neuroradiol.</w:t>
      </w:r>
      <w:r w:rsidRPr="00A14B67">
        <w:rPr>
          <w:rFonts w:ascii="Arial" w:hAnsi="Arial" w:cs="Arial"/>
          <w:noProof/>
          <w:sz w:val="20"/>
        </w:rPr>
        <w:t xml:space="preserve"> </w:t>
      </w:r>
      <w:r w:rsidRPr="00A14B67">
        <w:rPr>
          <w:rFonts w:ascii="Arial" w:hAnsi="Arial" w:cs="Arial"/>
          <w:b/>
          <w:bCs/>
          <w:noProof/>
          <w:sz w:val="20"/>
        </w:rPr>
        <w:t>42</w:t>
      </w:r>
      <w:r w:rsidRPr="00A14B67">
        <w:rPr>
          <w:rFonts w:ascii="Arial" w:hAnsi="Arial" w:cs="Arial"/>
          <w:noProof/>
          <w:sz w:val="20"/>
        </w:rPr>
        <w:t>, 212–21 (2015).</w:t>
      </w:r>
    </w:p>
    <w:p w14:paraId="6EE30A30"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43.</w:t>
      </w:r>
      <w:r w:rsidRPr="00A14B67">
        <w:rPr>
          <w:rFonts w:ascii="Arial" w:hAnsi="Arial" w:cs="Arial"/>
          <w:noProof/>
          <w:sz w:val="20"/>
        </w:rPr>
        <w:tab/>
        <w:t xml:space="preserve">Depeursinge, A. </w:t>
      </w:r>
      <w:r w:rsidRPr="00A14B67">
        <w:rPr>
          <w:rFonts w:ascii="Arial" w:hAnsi="Arial" w:cs="Arial"/>
          <w:i/>
          <w:iCs/>
          <w:noProof/>
          <w:sz w:val="20"/>
        </w:rPr>
        <w:t>et al.</w:t>
      </w:r>
      <w:r w:rsidRPr="00A14B67">
        <w:rPr>
          <w:rFonts w:ascii="Arial" w:hAnsi="Arial" w:cs="Arial"/>
          <w:noProof/>
          <w:sz w:val="20"/>
        </w:rPr>
        <w:t xml:space="preserve"> Optimized steerable wavelets for texture analysis of lung tissue in 3-D CT: Classification of usual interstitial pneumonia. in </w:t>
      </w:r>
      <w:r w:rsidRPr="00A14B67">
        <w:rPr>
          <w:rFonts w:ascii="Arial" w:hAnsi="Arial" w:cs="Arial"/>
          <w:i/>
          <w:iCs/>
          <w:noProof/>
          <w:sz w:val="20"/>
        </w:rPr>
        <w:t>2015 IEEE 12th International Symposium on Biomedical Imaging (ISBI)</w:t>
      </w:r>
      <w:r w:rsidRPr="00A14B67">
        <w:rPr>
          <w:rFonts w:ascii="Arial" w:hAnsi="Arial" w:cs="Arial"/>
          <w:noProof/>
          <w:sz w:val="20"/>
        </w:rPr>
        <w:t xml:space="preserve"> 403–406 (IEEE, 2015). doi:10.1109/ISBI.2015.7163897</w:t>
      </w:r>
    </w:p>
    <w:p w14:paraId="170ABCF0"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44.</w:t>
      </w:r>
      <w:r w:rsidRPr="00A14B67">
        <w:rPr>
          <w:rFonts w:ascii="Arial" w:hAnsi="Arial" w:cs="Arial"/>
          <w:noProof/>
          <w:sz w:val="20"/>
        </w:rPr>
        <w:tab/>
        <w:t xml:space="preserve">El Kaffas, A. </w:t>
      </w:r>
      <w:r w:rsidRPr="00A14B67">
        <w:rPr>
          <w:rFonts w:ascii="Arial" w:hAnsi="Arial" w:cs="Arial"/>
          <w:i/>
          <w:iCs/>
          <w:noProof/>
          <w:sz w:val="20"/>
        </w:rPr>
        <w:t>et al.</w:t>
      </w:r>
      <w:r w:rsidRPr="00A14B67">
        <w:rPr>
          <w:rFonts w:ascii="Arial" w:hAnsi="Arial" w:cs="Arial"/>
          <w:noProof/>
          <w:sz w:val="20"/>
        </w:rPr>
        <w:t xml:space="preserve"> Development of First In Human 3D Parametric Maps for Texture Analysis of Volumetric DCE-US to Spatially Monitor Flow Patterns During Colorectal Cancer Liver Metastases Treatment. in </w:t>
      </w:r>
      <w:r w:rsidRPr="00A14B67">
        <w:rPr>
          <w:rFonts w:ascii="Arial" w:hAnsi="Arial" w:cs="Arial"/>
          <w:i/>
          <w:iCs/>
          <w:noProof/>
          <w:sz w:val="20"/>
        </w:rPr>
        <w:t>World Molecular Imaging Conference</w:t>
      </w:r>
      <w:r w:rsidRPr="00A14B67">
        <w:rPr>
          <w:rFonts w:ascii="Arial" w:hAnsi="Arial" w:cs="Arial"/>
          <w:noProof/>
          <w:sz w:val="20"/>
        </w:rPr>
        <w:t xml:space="preserve"> (2015).</w:t>
      </w:r>
    </w:p>
    <w:p w14:paraId="11FF1370"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45.</w:t>
      </w:r>
      <w:r w:rsidRPr="00A14B67">
        <w:rPr>
          <w:rFonts w:ascii="Arial" w:hAnsi="Arial" w:cs="Arial"/>
          <w:noProof/>
          <w:sz w:val="20"/>
        </w:rPr>
        <w:tab/>
        <w:t xml:space="preserve">El Kaffas, A. </w:t>
      </w:r>
      <w:r w:rsidRPr="00A14B67">
        <w:rPr>
          <w:rFonts w:ascii="Arial" w:hAnsi="Arial" w:cs="Arial"/>
          <w:i/>
          <w:iCs/>
          <w:noProof/>
          <w:sz w:val="20"/>
        </w:rPr>
        <w:t>et al.</w:t>
      </w:r>
      <w:r w:rsidRPr="00A14B67">
        <w:rPr>
          <w:rFonts w:ascii="Arial" w:hAnsi="Arial" w:cs="Arial"/>
          <w:noProof/>
          <w:sz w:val="20"/>
        </w:rPr>
        <w:t xml:space="preserve"> Quantitative Image Features from 3D Contrast-Enhanced Ultrasound Parametric Maps as Surrogate of Treatment Response. in </w:t>
      </w:r>
      <w:r w:rsidRPr="00A14B67">
        <w:rPr>
          <w:rFonts w:ascii="Arial" w:hAnsi="Arial" w:cs="Arial"/>
          <w:i/>
          <w:iCs/>
          <w:noProof/>
          <w:sz w:val="20"/>
        </w:rPr>
        <w:t>World Molecular Imaging Conference</w:t>
      </w:r>
      <w:r w:rsidRPr="00A14B67">
        <w:rPr>
          <w:rFonts w:ascii="Arial" w:hAnsi="Arial" w:cs="Arial"/>
          <w:noProof/>
          <w:sz w:val="20"/>
        </w:rPr>
        <w:t xml:space="preserve"> (2016).</w:t>
      </w:r>
    </w:p>
    <w:p w14:paraId="019977C6"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46.</w:t>
      </w:r>
      <w:r w:rsidRPr="00A14B67">
        <w:rPr>
          <w:rFonts w:ascii="Arial" w:hAnsi="Arial" w:cs="Arial"/>
          <w:noProof/>
          <w:sz w:val="20"/>
        </w:rPr>
        <w:tab/>
        <w:t xml:space="preserve">Lloyd, S. Least squares quantization in PCM. </w:t>
      </w:r>
      <w:r w:rsidRPr="00A14B67">
        <w:rPr>
          <w:rFonts w:ascii="Arial" w:hAnsi="Arial" w:cs="Arial"/>
          <w:i/>
          <w:iCs/>
          <w:noProof/>
          <w:sz w:val="20"/>
        </w:rPr>
        <w:t>IEEE Trans. Inf. Theory</w:t>
      </w:r>
      <w:r w:rsidRPr="00A14B67">
        <w:rPr>
          <w:rFonts w:ascii="Arial" w:hAnsi="Arial" w:cs="Arial"/>
          <w:noProof/>
          <w:sz w:val="20"/>
        </w:rPr>
        <w:t xml:space="preserve"> </w:t>
      </w:r>
      <w:r w:rsidRPr="00A14B67">
        <w:rPr>
          <w:rFonts w:ascii="Arial" w:hAnsi="Arial" w:cs="Arial"/>
          <w:b/>
          <w:bCs/>
          <w:noProof/>
          <w:sz w:val="20"/>
        </w:rPr>
        <w:t>28</w:t>
      </w:r>
      <w:r w:rsidRPr="00A14B67">
        <w:rPr>
          <w:rFonts w:ascii="Arial" w:hAnsi="Arial" w:cs="Arial"/>
          <w:noProof/>
          <w:sz w:val="20"/>
        </w:rPr>
        <w:t>, 129–137 (1982).</w:t>
      </w:r>
    </w:p>
    <w:p w14:paraId="7794905D"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47.</w:t>
      </w:r>
      <w:r w:rsidRPr="00A14B67">
        <w:rPr>
          <w:rFonts w:ascii="Arial" w:hAnsi="Arial" w:cs="Arial"/>
          <w:noProof/>
          <w:sz w:val="20"/>
        </w:rPr>
        <w:tab/>
        <w:t xml:space="preserve">Collewet, G., Strzelecki, M. &amp; Mariette, F. Influence of MRI acquisition protocols and image intensity normalization methods on texture classification. </w:t>
      </w:r>
      <w:r w:rsidRPr="00A14B67">
        <w:rPr>
          <w:rFonts w:ascii="Arial" w:hAnsi="Arial" w:cs="Arial"/>
          <w:i/>
          <w:iCs/>
          <w:noProof/>
          <w:sz w:val="20"/>
        </w:rPr>
        <w:t>Magn. Reson. Imaging</w:t>
      </w:r>
      <w:r w:rsidRPr="00A14B67">
        <w:rPr>
          <w:rFonts w:ascii="Arial" w:hAnsi="Arial" w:cs="Arial"/>
          <w:noProof/>
          <w:sz w:val="20"/>
        </w:rPr>
        <w:t xml:space="preserve"> </w:t>
      </w:r>
      <w:r w:rsidRPr="00A14B67">
        <w:rPr>
          <w:rFonts w:ascii="Arial" w:hAnsi="Arial" w:cs="Arial"/>
          <w:b/>
          <w:bCs/>
          <w:noProof/>
          <w:sz w:val="20"/>
        </w:rPr>
        <w:t>22</w:t>
      </w:r>
      <w:r w:rsidRPr="00A14B67">
        <w:rPr>
          <w:rFonts w:ascii="Arial" w:hAnsi="Arial" w:cs="Arial"/>
          <w:noProof/>
          <w:sz w:val="20"/>
        </w:rPr>
        <w:t>, 81–91 (2004).</w:t>
      </w:r>
    </w:p>
    <w:p w14:paraId="19732AC9" w14:textId="77777777" w:rsidR="003F04EF" w:rsidRPr="00A14B67" w:rsidRDefault="003F04EF" w:rsidP="003F04EF">
      <w:pPr>
        <w:widowControl w:val="0"/>
        <w:autoSpaceDE w:val="0"/>
        <w:autoSpaceDN w:val="0"/>
        <w:adjustRightInd w:val="0"/>
        <w:ind w:left="640" w:hanging="640"/>
        <w:rPr>
          <w:rFonts w:ascii="Arial" w:hAnsi="Arial" w:cs="Arial"/>
          <w:noProof/>
          <w:sz w:val="20"/>
        </w:rPr>
      </w:pPr>
      <w:r w:rsidRPr="00A14B67">
        <w:rPr>
          <w:rFonts w:ascii="Arial" w:hAnsi="Arial" w:cs="Arial"/>
          <w:noProof/>
          <w:sz w:val="20"/>
        </w:rPr>
        <w:t>48.</w:t>
      </w:r>
      <w:r w:rsidRPr="00A14B67">
        <w:rPr>
          <w:rFonts w:ascii="Arial" w:hAnsi="Arial" w:cs="Arial"/>
          <w:noProof/>
          <w:sz w:val="20"/>
        </w:rPr>
        <w:tab/>
        <w:t xml:space="preserve">Eisenhauer, E. A. </w:t>
      </w:r>
      <w:r w:rsidRPr="00A14B67">
        <w:rPr>
          <w:rFonts w:ascii="Arial" w:hAnsi="Arial" w:cs="Arial"/>
          <w:i/>
          <w:iCs/>
          <w:noProof/>
          <w:sz w:val="20"/>
        </w:rPr>
        <w:t>et al.</w:t>
      </w:r>
      <w:r w:rsidRPr="00A14B67">
        <w:rPr>
          <w:rFonts w:ascii="Arial" w:hAnsi="Arial" w:cs="Arial"/>
          <w:noProof/>
          <w:sz w:val="20"/>
        </w:rPr>
        <w:t xml:space="preserve"> New response evaluation criteria in solid tumours: Revised RECIST guideline (version 1.1). </w:t>
      </w:r>
      <w:r w:rsidRPr="00A14B67">
        <w:rPr>
          <w:rFonts w:ascii="Arial" w:hAnsi="Arial" w:cs="Arial"/>
          <w:i/>
          <w:iCs/>
          <w:noProof/>
          <w:sz w:val="20"/>
        </w:rPr>
        <w:t>Eur. J. Cancer</w:t>
      </w:r>
      <w:r w:rsidRPr="00A14B67">
        <w:rPr>
          <w:rFonts w:ascii="Arial" w:hAnsi="Arial" w:cs="Arial"/>
          <w:noProof/>
          <w:sz w:val="20"/>
        </w:rPr>
        <w:t xml:space="preserve"> </w:t>
      </w:r>
      <w:r w:rsidRPr="00A14B67">
        <w:rPr>
          <w:rFonts w:ascii="Arial" w:hAnsi="Arial" w:cs="Arial"/>
          <w:b/>
          <w:bCs/>
          <w:noProof/>
          <w:sz w:val="20"/>
        </w:rPr>
        <w:t>45</w:t>
      </w:r>
      <w:r w:rsidRPr="00A14B67">
        <w:rPr>
          <w:rFonts w:ascii="Arial" w:hAnsi="Arial" w:cs="Arial"/>
          <w:noProof/>
          <w:sz w:val="20"/>
        </w:rPr>
        <w:t>, 228–247 (2009).</w:t>
      </w:r>
    </w:p>
    <w:p w14:paraId="4E5A8146" w14:textId="1ED7D65D" w:rsidR="00E060F5" w:rsidRPr="00A567FA" w:rsidRDefault="00E060F5" w:rsidP="003F04EF">
      <w:pPr>
        <w:widowControl w:val="0"/>
        <w:autoSpaceDE w:val="0"/>
        <w:autoSpaceDN w:val="0"/>
        <w:adjustRightInd w:val="0"/>
        <w:rPr>
          <w:rFonts w:ascii="Arial" w:hAnsi="Arial" w:cs="Arial"/>
          <w:sz w:val="20"/>
          <w:szCs w:val="20"/>
        </w:rPr>
      </w:pPr>
      <w:r w:rsidRPr="00A14B67">
        <w:rPr>
          <w:rFonts w:ascii="Arial" w:hAnsi="Arial" w:cs="Arial"/>
          <w:sz w:val="20"/>
          <w:szCs w:val="20"/>
        </w:rPr>
        <w:fldChar w:fldCharType="end"/>
      </w:r>
    </w:p>
    <w:sectPr w:rsidR="00E060F5" w:rsidRPr="00A567FA" w:rsidSect="00D5088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enlo">
    <w:panose1 w:val="020B0609030804020204"/>
    <w:charset w:val="00"/>
    <w:family w:val="modern"/>
    <w:pitch w:val="fixed"/>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 w:name="ArialMT">
    <w:panose1 w:val="020B0604020202020204"/>
    <w:charset w:val="00"/>
    <w:family w:val="swiss"/>
    <w:pitch w:val="variable"/>
    <w:sig w:usb0="E0002AFF" w:usb1="C0007843" w:usb2="00000009" w:usb3="00000000" w:csb0="000001FF" w:csb1="00000000"/>
  </w:font>
  <w:font w:name="AdvP8C43">
    <w:altName w:val="hakuyoxingshu7000"/>
    <w:panose1 w:val="020B0604020202020204"/>
    <w:charset w:val="86"/>
    <w:family w:val="auto"/>
    <w:notTrueType/>
    <w:pitch w:val="default"/>
    <w:sig w:usb0="00000000" w:usb1="080E0000" w:usb2="00000010" w:usb3="00000000" w:csb0="00040000" w:csb1="00000000"/>
  </w:font>
  <w:font w:name="ATBasilia-Roman">
    <w:altName w:val="Arial Unicode MS"/>
    <w:panose1 w:val="020B0604020202020204"/>
    <w:charset w:val="86"/>
    <w:family w:val="roman"/>
    <w:notTrueType/>
    <w:pitch w:val="default"/>
    <w:sig w:usb0="00000000" w:usb1="080E0000" w:usb2="00000010"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CC26CA"/>
    <w:multiLevelType w:val="multilevel"/>
    <w:tmpl w:val="9C0A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64E"/>
    <w:rsid w:val="000121CE"/>
    <w:rsid w:val="00024C5F"/>
    <w:rsid w:val="00032727"/>
    <w:rsid w:val="000670B6"/>
    <w:rsid w:val="00075D48"/>
    <w:rsid w:val="000828BD"/>
    <w:rsid w:val="0009704A"/>
    <w:rsid w:val="000A4D47"/>
    <w:rsid w:val="000A6EEA"/>
    <w:rsid w:val="000E025A"/>
    <w:rsid w:val="000F6F1B"/>
    <w:rsid w:val="00101258"/>
    <w:rsid w:val="0010176E"/>
    <w:rsid w:val="0010333A"/>
    <w:rsid w:val="00112CE3"/>
    <w:rsid w:val="0012435E"/>
    <w:rsid w:val="00160220"/>
    <w:rsid w:val="001642FA"/>
    <w:rsid w:val="00180ABC"/>
    <w:rsid w:val="0019700E"/>
    <w:rsid w:val="001A648C"/>
    <w:rsid w:val="001C6E72"/>
    <w:rsid w:val="001F308B"/>
    <w:rsid w:val="001F61FE"/>
    <w:rsid w:val="00203ADF"/>
    <w:rsid w:val="00214F92"/>
    <w:rsid w:val="0021590B"/>
    <w:rsid w:val="00223C77"/>
    <w:rsid w:val="002253D8"/>
    <w:rsid w:val="00236A73"/>
    <w:rsid w:val="00254AD8"/>
    <w:rsid w:val="002849A3"/>
    <w:rsid w:val="002A7D0C"/>
    <w:rsid w:val="002C0BA3"/>
    <w:rsid w:val="002E4D7B"/>
    <w:rsid w:val="002E5FC1"/>
    <w:rsid w:val="002F334D"/>
    <w:rsid w:val="002F4CC0"/>
    <w:rsid w:val="0030253C"/>
    <w:rsid w:val="00320FC8"/>
    <w:rsid w:val="0034058A"/>
    <w:rsid w:val="00344A7C"/>
    <w:rsid w:val="00352810"/>
    <w:rsid w:val="00357409"/>
    <w:rsid w:val="00387930"/>
    <w:rsid w:val="0039499A"/>
    <w:rsid w:val="003953F5"/>
    <w:rsid w:val="003A3AFB"/>
    <w:rsid w:val="003A4390"/>
    <w:rsid w:val="003B7AE5"/>
    <w:rsid w:val="003C5343"/>
    <w:rsid w:val="003C6498"/>
    <w:rsid w:val="003E5360"/>
    <w:rsid w:val="003F04EF"/>
    <w:rsid w:val="003F32B8"/>
    <w:rsid w:val="003F503B"/>
    <w:rsid w:val="0041528E"/>
    <w:rsid w:val="004316F0"/>
    <w:rsid w:val="00433451"/>
    <w:rsid w:val="00436DE1"/>
    <w:rsid w:val="00447375"/>
    <w:rsid w:val="004971CA"/>
    <w:rsid w:val="004A1148"/>
    <w:rsid w:val="004B45EF"/>
    <w:rsid w:val="004F159C"/>
    <w:rsid w:val="004F2785"/>
    <w:rsid w:val="004F59B9"/>
    <w:rsid w:val="005114EA"/>
    <w:rsid w:val="00542B4B"/>
    <w:rsid w:val="00573B72"/>
    <w:rsid w:val="00581859"/>
    <w:rsid w:val="0059342C"/>
    <w:rsid w:val="005C1334"/>
    <w:rsid w:val="005C6CE1"/>
    <w:rsid w:val="005D00E7"/>
    <w:rsid w:val="005D7DCD"/>
    <w:rsid w:val="005E157B"/>
    <w:rsid w:val="005E6ABB"/>
    <w:rsid w:val="00603CC4"/>
    <w:rsid w:val="0061125F"/>
    <w:rsid w:val="006429CE"/>
    <w:rsid w:val="00655EA6"/>
    <w:rsid w:val="00664F89"/>
    <w:rsid w:val="00670E1A"/>
    <w:rsid w:val="0067160A"/>
    <w:rsid w:val="0067510F"/>
    <w:rsid w:val="006768B9"/>
    <w:rsid w:val="00693B7D"/>
    <w:rsid w:val="00696B91"/>
    <w:rsid w:val="006A1E2F"/>
    <w:rsid w:val="006A2B58"/>
    <w:rsid w:val="006A3983"/>
    <w:rsid w:val="006A40F2"/>
    <w:rsid w:val="006A7900"/>
    <w:rsid w:val="006A7F07"/>
    <w:rsid w:val="006B0AB5"/>
    <w:rsid w:val="006C0683"/>
    <w:rsid w:val="006C0B70"/>
    <w:rsid w:val="006D21CB"/>
    <w:rsid w:val="006E0232"/>
    <w:rsid w:val="006F1097"/>
    <w:rsid w:val="00701591"/>
    <w:rsid w:val="00705171"/>
    <w:rsid w:val="00717798"/>
    <w:rsid w:val="00724628"/>
    <w:rsid w:val="00724DA2"/>
    <w:rsid w:val="00727570"/>
    <w:rsid w:val="007405FE"/>
    <w:rsid w:val="00751C2F"/>
    <w:rsid w:val="00752163"/>
    <w:rsid w:val="00786BF4"/>
    <w:rsid w:val="007A3563"/>
    <w:rsid w:val="007A6CE6"/>
    <w:rsid w:val="007B4181"/>
    <w:rsid w:val="007D254A"/>
    <w:rsid w:val="007D4B74"/>
    <w:rsid w:val="007E1FA0"/>
    <w:rsid w:val="007E209D"/>
    <w:rsid w:val="007E27DA"/>
    <w:rsid w:val="007F3ABA"/>
    <w:rsid w:val="007F72D3"/>
    <w:rsid w:val="00805263"/>
    <w:rsid w:val="00811FBC"/>
    <w:rsid w:val="00813865"/>
    <w:rsid w:val="00831B66"/>
    <w:rsid w:val="00833384"/>
    <w:rsid w:val="008776AA"/>
    <w:rsid w:val="00890D0D"/>
    <w:rsid w:val="008A7A4E"/>
    <w:rsid w:val="008B2FD9"/>
    <w:rsid w:val="008D0E81"/>
    <w:rsid w:val="008D3D92"/>
    <w:rsid w:val="00900D26"/>
    <w:rsid w:val="00912E9D"/>
    <w:rsid w:val="00915DA2"/>
    <w:rsid w:val="009215DF"/>
    <w:rsid w:val="00930109"/>
    <w:rsid w:val="00932AE6"/>
    <w:rsid w:val="00940563"/>
    <w:rsid w:val="00957242"/>
    <w:rsid w:val="0097128E"/>
    <w:rsid w:val="00972743"/>
    <w:rsid w:val="009828E3"/>
    <w:rsid w:val="00983828"/>
    <w:rsid w:val="009939A6"/>
    <w:rsid w:val="00996328"/>
    <w:rsid w:val="00996573"/>
    <w:rsid w:val="009970BD"/>
    <w:rsid w:val="009A68E2"/>
    <w:rsid w:val="009A7041"/>
    <w:rsid w:val="009B55B3"/>
    <w:rsid w:val="009B7986"/>
    <w:rsid w:val="009E57C9"/>
    <w:rsid w:val="00A02EDD"/>
    <w:rsid w:val="00A06A7D"/>
    <w:rsid w:val="00A0735C"/>
    <w:rsid w:val="00A14044"/>
    <w:rsid w:val="00A14B67"/>
    <w:rsid w:val="00A371C6"/>
    <w:rsid w:val="00A42217"/>
    <w:rsid w:val="00A4315B"/>
    <w:rsid w:val="00A454D6"/>
    <w:rsid w:val="00A45AED"/>
    <w:rsid w:val="00A45E3F"/>
    <w:rsid w:val="00A4720C"/>
    <w:rsid w:val="00A556E4"/>
    <w:rsid w:val="00A567FA"/>
    <w:rsid w:val="00A91450"/>
    <w:rsid w:val="00AE2140"/>
    <w:rsid w:val="00AE7828"/>
    <w:rsid w:val="00AF1058"/>
    <w:rsid w:val="00AF1D4C"/>
    <w:rsid w:val="00B11E2E"/>
    <w:rsid w:val="00B17A28"/>
    <w:rsid w:val="00B47606"/>
    <w:rsid w:val="00B56C9F"/>
    <w:rsid w:val="00B577BF"/>
    <w:rsid w:val="00B579CF"/>
    <w:rsid w:val="00B75C74"/>
    <w:rsid w:val="00B75F27"/>
    <w:rsid w:val="00B801BD"/>
    <w:rsid w:val="00B90BB2"/>
    <w:rsid w:val="00B92E47"/>
    <w:rsid w:val="00BD0A1E"/>
    <w:rsid w:val="00BD2CD9"/>
    <w:rsid w:val="00BD6E7D"/>
    <w:rsid w:val="00BE199E"/>
    <w:rsid w:val="00BE5E43"/>
    <w:rsid w:val="00BF2CDD"/>
    <w:rsid w:val="00C02FB9"/>
    <w:rsid w:val="00C41A5E"/>
    <w:rsid w:val="00C44DDD"/>
    <w:rsid w:val="00C44FA2"/>
    <w:rsid w:val="00C5270A"/>
    <w:rsid w:val="00C61144"/>
    <w:rsid w:val="00C70877"/>
    <w:rsid w:val="00C74052"/>
    <w:rsid w:val="00C81A58"/>
    <w:rsid w:val="00C87986"/>
    <w:rsid w:val="00C91F15"/>
    <w:rsid w:val="00C96A12"/>
    <w:rsid w:val="00CA44BA"/>
    <w:rsid w:val="00CA564E"/>
    <w:rsid w:val="00CC0415"/>
    <w:rsid w:val="00CC10FB"/>
    <w:rsid w:val="00CC66F1"/>
    <w:rsid w:val="00CD6E22"/>
    <w:rsid w:val="00CE6A17"/>
    <w:rsid w:val="00CF6B2C"/>
    <w:rsid w:val="00D138FB"/>
    <w:rsid w:val="00D264EB"/>
    <w:rsid w:val="00D50882"/>
    <w:rsid w:val="00D50EC3"/>
    <w:rsid w:val="00D542A4"/>
    <w:rsid w:val="00D87E1C"/>
    <w:rsid w:val="00D94FD1"/>
    <w:rsid w:val="00D9565E"/>
    <w:rsid w:val="00D95CFE"/>
    <w:rsid w:val="00D95D97"/>
    <w:rsid w:val="00DC5EBB"/>
    <w:rsid w:val="00DE47E9"/>
    <w:rsid w:val="00DE7255"/>
    <w:rsid w:val="00DF6D88"/>
    <w:rsid w:val="00E051F9"/>
    <w:rsid w:val="00E060F5"/>
    <w:rsid w:val="00E06B99"/>
    <w:rsid w:val="00E2609F"/>
    <w:rsid w:val="00E262AE"/>
    <w:rsid w:val="00E26584"/>
    <w:rsid w:val="00E363B1"/>
    <w:rsid w:val="00E53956"/>
    <w:rsid w:val="00E62E67"/>
    <w:rsid w:val="00E65A89"/>
    <w:rsid w:val="00E67CC3"/>
    <w:rsid w:val="00E86FD2"/>
    <w:rsid w:val="00EB261A"/>
    <w:rsid w:val="00EB3A05"/>
    <w:rsid w:val="00EB40D2"/>
    <w:rsid w:val="00ED0DFA"/>
    <w:rsid w:val="00ED7137"/>
    <w:rsid w:val="00EE14CF"/>
    <w:rsid w:val="00F061EB"/>
    <w:rsid w:val="00F22ADA"/>
    <w:rsid w:val="00F26DC1"/>
    <w:rsid w:val="00F356A0"/>
    <w:rsid w:val="00F423EE"/>
    <w:rsid w:val="00F5596D"/>
    <w:rsid w:val="00F95C09"/>
    <w:rsid w:val="00FB4453"/>
    <w:rsid w:val="00FB5987"/>
    <w:rsid w:val="00FE35B6"/>
    <w:rsid w:val="00FF0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49F9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15DA2"/>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A02EDD"/>
    <w:rPr>
      <w:sz w:val="18"/>
      <w:szCs w:val="18"/>
    </w:rPr>
  </w:style>
  <w:style w:type="paragraph" w:styleId="CommentText">
    <w:name w:val="annotation text"/>
    <w:basedOn w:val="Normal"/>
    <w:link w:val="CommentTextChar"/>
    <w:unhideWhenUsed/>
    <w:rsid w:val="00A02EDD"/>
    <w:pPr>
      <w:spacing w:after="200"/>
    </w:pPr>
    <w:rPr>
      <w:rFonts w:asciiTheme="minorHAnsi" w:eastAsiaTheme="minorHAnsi" w:hAnsiTheme="minorHAnsi" w:cstheme="minorBidi"/>
      <w:lang w:val="en-US"/>
    </w:rPr>
  </w:style>
  <w:style w:type="character" w:customStyle="1" w:styleId="CommentTextChar">
    <w:name w:val="Comment Text Char"/>
    <w:basedOn w:val="DefaultParagraphFont"/>
    <w:link w:val="CommentText"/>
    <w:rsid w:val="00A02EDD"/>
  </w:style>
  <w:style w:type="paragraph" w:styleId="BalloonText">
    <w:name w:val="Balloon Text"/>
    <w:basedOn w:val="Normal"/>
    <w:link w:val="BalloonTextChar"/>
    <w:uiPriority w:val="99"/>
    <w:semiHidden/>
    <w:unhideWhenUsed/>
    <w:rsid w:val="00A02EDD"/>
    <w:rPr>
      <w:rFonts w:eastAsiaTheme="minorHAnsi"/>
      <w:sz w:val="18"/>
      <w:szCs w:val="18"/>
      <w:lang w:val="en-US"/>
    </w:rPr>
  </w:style>
  <w:style w:type="character" w:customStyle="1" w:styleId="BalloonTextChar">
    <w:name w:val="Balloon Text Char"/>
    <w:basedOn w:val="DefaultParagraphFont"/>
    <w:link w:val="BalloonText"/>
    <w:uiPriority w:val="99"/>
    <w:semiHidden/>
    <w:rsid w:val="00A02EDD"/>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436DE1"/>
    <w:rPr>
      <w:b/>
      <w:bCs/>
      <w:sz w:val="20"/>
      <w:szCs w:val="20"/>
    </w:rPr>
  </w:style>
  <w:style w:type="character" w:customStyle="1" w:styleId="CommentSubjectChar">
    <w:name w:val="Comment Subject Char"/>
    <w:basedOn w:val="CommentTextChar"/>
    <w:link w:val="CommentSubject"/>
    <w:uiPriority w:val="99"/>
    <w:semiHidden/>
    <w:rsid w:val="00436DE1"/>
    <w:rPr>
      <w:b/>
      <w:bCs/>
      <w:sz w:val="20"/>
      <w:szCs w:val="20"/>
    </w:rPr>
  </w:style>
  <w:style w:type="paragraph" w:styleId="Caption">
    <w:name w:val="caption"/>
    <w:basedOn w:val="Normal"/>
    <w:next w:val="Normal"/>
    <w:uiPriority w:val="35"/>
    <w:unhideWhenUsed/>
    <w:qFormat/>
    <w:rsid w:val="004A1148"/>
    <w:pPr>
      <w:spacing w:after="200"/>
    </w:pPr>
    <w:rPr>
      <w:rFonts w:asciiTheme="minorHAnsi" w:eastAsiaTheme="minorHAnsi" w:hAnsiTheme="minorHAnsi" w:cstheme="minorBidi"/>
      <w:b/>
      <w:bCs/>
      <w:color w:val="4472C4" w:themeColor="accent1"/>
      <w:sz w:val="18"/>
      <w:szCs w:val="18"/>
      <w:lang w:val="en-US"/>
    </w:rPr>
  </w:style>
  <w:style w:type="table" w:styleId="TableGrid">
    <w:name w:val="Table Grid"/>
    <w:basedOn w:val="TableNormal"/>
    <w:uiPriority w:val="39"/>
    <w:rsid w:val="004A114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21CB"/>
    <w:rPr>
      <w:color w:val="0563C1" w:themeColor="hyperlink"/>
      <w:u w:val="single"/>
    </w:rPr>
  </w:style>
  <w:style w:type="paragraph" w:customStyle="1" w:styleId="p1">
    <w:name w:val="p1"/>
    <w:basedOn w:val="Normal"/>
    <w:rsid w:val="00101258"/>
    <w:pPr>
      <w:shd w:val="clear" w:color="auto" w:fill="FFFFFF"/>
    </w:pPr>
    <w:rPr>
      <w:rFonts w:ascii="Menlo" w:eastAsiaTheme="minorHAnsi" w:hAnsi="Menlo" w:cs="Menlo"/>
      <w:color w:val="000000"/>
      <w:sz w:val="17"/>
      <w:szCs w:val="17"/>
      <w:lang w:val="en-US"/>
    </w:rPr>
  </w:style>
  <w:style w:type="character" w:customStyle="1" w:styleId="s1">
    <w:name w:val="s1"/>
    <w:basedOn w:val="DefaultParagraphFont"/>
    <w:rsid w:val="00101258"/>
    <w:rPr>
      <w:color w:val="272AD8"/>
    </w:rPr>
  </w:style>
  <w:style w:type="character" w:customStyle="1" w:styleId="apple-converted-space">
    <w:name w:val="apple-converted-space"/>
    <w:basedOn w:val="DefaultParagraphFont"/>
    <w:rsid w:val="00101258"/>
  </w:style>
  <w:style w:type="character" w:customStyle="1" w:styleId="s2">
    <w:name w:val="s2"/>
    <w:basedOn w:val="DefaultParagraphFont"/>
    <w:rsid w:val="00F356A0"/>
    <w:rPr>
      <w:color w:val="BA2DA2"/>
    </w:rPr>
  </w:style>
  <w:style w:type="paragraph" w:styleId="Revision">
    <w:name w:val="Revision"/>
    <w:hidden/>
    <w:uiPriority w:val="99"/>
    <w:semiHidden/>
    <w:rsid w:val="006A1E2F"/>
    <w:rPr>
      <w:sz w:val="22"/>
      <w:szCs w:val="22"/>
    </w:rPr>
  </w:style>
  <w:style w:type="paragraph" w:styleId="NormalWeb">
    <w:name w:val="Normal (Web)"/>
    <w:basedOn w:val="Normal"/>
    <w:uiPriority w:val="99"/>
    <w:semiHidden/>
    <w:unhideWhenUsed/>
    <w:rsid w:val="002E5FC1"/>
    <w:pPr>
      <w:spacing w:before="100" w:beforeAutospacing="1" w:after="100" w:afterAutospacing="1"/>
    </w:pPr>
  </w:style>
  <w:style w:type="character" w:styleId="Emphasis">
    <w:name w:val="Emphasis"/>
    <w:basedOn w:val="DefaultParagraphFont"/>
    <w:uiPriority w:val="20"/>
    <w:qFormat/>
    <w:rsid w:val="002E5FC1"/>
    <w:rPr>
      <w:i/>
      <w:iCs/>
    </w:rPr>
  </w:style>
  <w:style w:type="character" w:styleId="PlaceholderText">
    <w:name w:val="Placeholder Text"/>
    <w:basedOn w:val="DefaultParagraphFont"/>
    <w:uiPriority w:val="99"/>
    <w:semiHidden/>
    <w:rsid w:val="00915D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726487">
      <w:bodyDiv w:val="1"/>
      <w:marLeft w:val="0"/>
      <w:marRight w:val="0"/>
      <w:marTop w:val="0"/>
      <w:marBottom w:val="0"/>
      <w:divBdr>
        <w:top w:val="none" w:sz="0" w:space="0" w:color="auto"/>
        <w:left w:val="none" w:sz="0" w:space="0" w:color="auto"/>
        <w:bottom w:val="none" w:sz="0" w:space="0" w:color="auto"/>
        <w:right w:val="none" w:sz="0" w:space="0" w:color="auto"/>
      </w:divBdr>
    </w:div>
    <w:div w:id="922834342">
      <w:bodyDiv w:val="1"/>
      <w:marLeft w:val="0"/>
      <w:marRight w:val="0"/>
      <w:marTop w:val="0"/>
      <w:marBottom w:val="0"/>
      <w:divBdr>
        <w:top w:val="none" w:sz="0" w:space="0" w:color="auto"/>
        <w:left w:val="none" w:sz="0" w:space="0" w:color="auto"/>
        <w:bottom w:val="none" w:sz="0" w:space="0" w:color="auto"/>
        <w:right w:val="none" w:sz="0" w:space="0" w:color="auto"/>
      </w:divBdr>
      <w:divsChild>
        <w:div w:id="1592933313">
          <w:marLeft w:val="0"/>
          <w:marRight w:val="0"/>
          <w:marTop w:val="0"/>
          <w:marBottom w:val="0"/>
          <w:divBdr>
            <w:top w:val="none" w:sz="0" w:space="0" w:color="auto"/>
            <w:left w:val="none" w:sz="0" w:space="0" w:color="auto"/>
            <w:bottom w:val="none" w:sz="0" w:space="0" w:color="auto"/>
            <w:right w:val="none" w:sz="0" w:space="0" w:color="auto"/>
          </w:divBdr>
        </w:div>
        <w:div w:id="2010674883">
          <w:marLeft w:val="0"/>
          <w:marRight w:val="0"/>
          <w:marTop w:val="0"/>
          <w:marBottom w:val="0"/>
          <w:divBdr>
            <w:top w:val="none" w:sz="0" w:space="0" w:color="auto"/>
            <w:left w:val="none" w:sz="0" w:space="0" w:color="auto"/>
            <w:bottom w:val="none" w:sz="0" w:space="0" w:color="auto"/>
            <w:right w:val="none" w:sz="0" w:space="0" w:color="auto"/>
          </w:divBdr>
        </w:div>
        <w:div w:id="888224560">
          <w:marLeft w:val="0"/>
          <w:marRight w:val="0"/>
          <w:marTop w:val="0"/>
          <w:marBottom w:val="0"/>
          <w:divBdr>
            <w:top w:val="none" w:sz="0" w:space="0" w:color="auto"/>
            <w:left w:val="none" w:sz="0" w:space="0" w:color="auto"/>
            <w:bottom w:val="none" w:sz="0" w:space="0" w:color="auto"/>
            <w:right w:val="none" w:sz="0" w:space="0" w:color="auto"/>
          </w:divBdr>
        </w:div>
        <w:div w:id="666442355">
          <w:marLeft w:val="0"/>
          <w:marRight w:val="0"/>
          <w:marTop w:val="0"/>
          <w:marBottom w:val="0"/>
          <w:divBdr>
            <w:top w:val="none" w:sz="0" w:space="0" w:color="auto"/>
            <w:left w:val="none" w:sz="0" w:space="0" w:color="auto"/>
            <w:bottom w:val="none" w:sz="0" w:space="0" w:color="auto"/>
            <w:right w:val="none" w:sz="0" w:space="0" w:color="auto"/>
          </w:divBdr>
        </w:div>
        <w:div w:id="771897172">
          <w:marLeft w:val="0"/>
          <w:marRight w:val="0"/>
          <w:marTop w:val="0"/>
          <w:marBottom w:val="0"/>
          <w:divBdr>
            <w:top w:val="none" w:sz="0" w:space="0" w:color="auto"/>
            <w:left w:val="none" w:sz="0" w:space="0" w:color="auto"/>
            <w:bottom w:val="none" w:sz="0" w:space="0" w:color="auto"/>
            <w:right w:val="none" w:sz="0" w:space="0" w:color="auto"/>
          </w:divBdr>
        </w:div>
      </w:divsChild>
    </w:div>
    <w:div w:id="1530026332">
      <w:bodyDiv w:val="1"/>
      <w:marLeft w:val="0"/>
      <w:marRight w:val="0"/>
      <w:marTop w:val="0"/>
      <w:marBottom w:val="0"/>
      <w:divBdr>
        <w:top w:val="none" w:sz="0" w:space="0" w:color="auto"/>
        <w:left w:val="none" w:sz="0" w:space="0" w:color="auto"/>
        <w:bottom w:val="none" w:sz="0" w:space="0" w:color="auto"/>
        <w:right w:val="none" w:sz="0" w:space="0" w:color="auto"/>
      </w:divBdr>
    </w:div>
    <w:div w:id="1718359988">
      <w:bodyDiv w:val="1"/>
      <w:marLeft w:val="0"/>
      <w:marRight w:val="0"/>
      <w:marTop w:val="0"/>
      <w:marBottom w:val="0"/>
      <w:divBdr>
        <w:top w:val="none" w:sz="0" w:space="0" w:color="auto"/>
        <w:left w:val="none" w:sz="0" w:space="0" w:color="auto"/>
        <w:bottom w:val="none" w:sz="0" w:space="0" w:color="auto"/>
        <w:right w:val="none" w:sz="0" w:space="0" w:color="auto"/>
      </w:divBdr>
    </w:div>
    <w:div w:id="1776052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3B49A-3555-AB4F-85C3-4DFF6D10A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10</Pages>
  <Words>30364</Words>
  <Characters>173080</Characters>
  <Application>Microsoft Office Word</Application>
  <DocSecurity>0</DocSecurity>
  <Lines>1442</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Nagy El Kaffas</dc:creator>
  <cp:keywords/>
  <dc:description/>
  <cp:lastModifiedBy>Ahmed Nagy El Kaffas</cp:lastModifiedBy>
  <cp:revision>126</cp:revision>
  <dcterms:created xsi:type="dcterms:W3CDTF">2018-09-27T18:51:00Z</dcterms:created>
  <dcterms:modified xsi:type="dcterms:W3CDTF">2020-03-24T16:40:00Z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http://www.zotero.org/styles/american-association-for-cancer-research</vt:lpwstr>
  </property>
  <property fmtid="{D5CDD505-2E9C-101B-9397-08002B2CF9AE}" pid="4" name="Mendeley Recent Style Name 0_1">
    <vt:lpwstr>American Association for Cancer Research</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http://www.zotero.org/styles/ieee</vt:lpwstr>
  </property>
  <property fmtid="{D5CDD505-2E9C-101B-9397-08002B2CF9AE}" pid="8" name="Mendeley Recent Style Name 2_1">
    <vt:lpwstr>IEEE</vt:lpwstr>
  </property>
  <property fmtid="{D5CDD505-2E9C-101B-9397-08002B2CF9AE}" pid="9" name="Mendeley Recent Style Id 3_1">
    <vt:lpwstr>http://www.zotero.org/styles/modern-humanities-research-association</vt:lpwstr>
  </property>
  <property fmtid="{D5CDD505-2E9C-101B-9397-08002B2CF9AE}" pid="10" name="Mendeley Recent Style Name 3_1">
    <vt:lpwstr>Modern Humanities Research Association 3rd edition (note with bibliography)</vt:lpwstr>
  </property>
  <property fmtid="{D5CDD505-2E9C-101B-9397-08002B2CF9AE}" pid="11" name="Mendeley Recent Style Id 4_1">
    <vt:lpwstr>http://www.zotero.org/styles/modern-language-association</vt:lpwstr>
  </property>
  <property fmtid="{D5CDD505-2E9C-101B-9397-08002B2CF9AE}" pid="12" name="Mendeley Recent Style Name 4_1">
    <vt:lpwstr>Modern Language Association 8th edition</vt:lpwstr>
  </property>
  <property fmtid="{D5CDD505-2E9C-101B-9397-08002B2CF9AE}" pid="13" name="Mendeley Recent Style Id 5_1">
    <vt:lpwstr>http://www.zotero.org/styles/national-institute-of-health-research</vt:lpwstr>
  </property>
  <property fmtid="{D5CDD505-2E9C-101B-9397-08002B2CF9AE}" pid="14" name="Mendeley Recent Style Name 5_1">
    <vt:lpwstr>National Institute of Health Research</vt:lpwstr>
  </property>
  <property fmtid="{D5CDD505-2E9C-101B-9397-08002B2CF9AE}" pid="15" name="Mendeley Recent Style Id 6_1">
    <vt:lpwstr>http://csl.mendeley.com/styles/100600971/national-library-of-medicine-grant-proposals-9</vt:lpwstr>
  </property>
  <property fmtid="{D5CDD505-2E9C-101B-9397-08002B2CF9AE}" pid="16" name="Mendeley Recent Style Name 6_1">
    <vt:lpwstr>National Library of Medicine (w/ PMCID/PMID, superscripts) - AEK</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http://www.zotero.org/styles/nature-communications</vt:lpwstr>
  </property>
  <property fmtid="{D5CDD505-2E9C-101B-9397-08002B2CF9AE}" pid="20" name="Mendeley Recent Style Name 8_1">
    <vt:lpwstr>Nature Communications</vt:lpwstr>
  </property>
  <property fmtid="{D5CDD505-2E9C-101B-9397-08002B2CF9AE}" pid="21" name="Mendeley Recent Style Id 9_1">
    <vt:lpwstr>http://www.zotero.org/styles/science-translational-medicine</vt:lpwstr>
  </property>
  <property fmtid="{D5CDD505-2E9C-101B-9397-08002B2CF9AE}" pid="22" name="Mendeley Recent Style Name 9_1">
    <vt:lpwstr>Science Translational Medicine</vt:lpwstr>
  </property>
  <property fmtid="{D5CDD505-2E9C-101B-9397-08002B2CF9AE}" pid="23" name="Mendeley Unique User Id_1">
    <vt:lpwstr>1230e392-69ee-310d-8881-d4d7c74914ed</vt:lpwstr>
  </property>
  <property fmtid="{D5CDD505-2E9C-101B-9397-08002B2CF9AE}" pid="24" name="Mendeley Citation Style_1">
    <vt:lpwstr>http://www.zotero.org/styles/nature-communications</vt:lpwstr>
  </property>
</Properties>
</file>