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>The porous pattern is</w:t>
      </w:r>
      <w:r>
        <w:rPr>
          <w:rtl w:val="0"/>
        </w:rPr>
        <w:t xml:space="preserve"> achieved using the Gray-Scott algorithm for reaction diffusion, used to simulate a variety of patterns in nature</w:t>
      </w:r>
      <w:r>
        <w:rPr>
          <w:rtl w:val="0"/>
        </w:rPr>
        <w:t xml:space="preserve">: </w:t>
      </w:r>
    </w:p>
    <w:p>
      <w:pPr>
        <w:pStyle w:val="Body"/>
        <w:bidi w:val="0"/>
      </w:pPr>
      <w:r>
        <w:drawing>
          <wp:inline distT="0" distB="0" distL="0" distR="0">
            <wp:extent cx="3467100" cy="1689100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689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Differential equation define</w:t>
      </w:r>
      <w:r>
        <w:rPr>
          <w:rtl w:val="0"/>
        </w:rPr>
        <w:t>s</w:t>
      </w:r>
      <w:r>
        <w:rPr>
          <w:rtl w:val="0"/>
        </w:rPr>
        <w:t xml:space="preserve"> the change in concentrations of A and B over time. </w:t>
      </w:r>
      <w:r>
        <w:rPr>
          <w:rtl w:val="0"/>
        </w:rPr>
        <w:t>‘</w:t>
      </w:r>
      <w:r>
        <w:rPr>
          <w:rtl w:val="0"/>
        </w:rPr>
        <w:t>f</w:t>
      </w:r>
      <w:r>
        <w:rPr>
          <w:rtl w:val="0"/>
        </w:rPr>
        <w:t xml:space="preserve">’ </w:t>
      </w:r>
      <w:r>
        <w:rPr>
          <w:rtl w:val="0"/>
        </w:rPr>
        <w:t xml:space="preserve">is the feed rate of A; </w:t>
      </w:r>
      <w:r>
        <w:rPr>
          <w:rtl w:val="0"/>
        </w:rPr>
        <w:t>‘</w:t>
      </w:r>
      <w:r>
        <w:rPr>
          <w:rtl w:val="0"/>
        </w:rPr>
        <w:t>k</w:t>
      </w:r>
      <w:r>
        <w:rPr>
          <w:rtl w:val="0"/>
        </w:rPr>
        <w:t xml:space="preserve">’ </w:t>
      </w:r>
      <w:r>
        <w:rPr>
          <w:rtl w:val="0"/>
        </w:rPr>
        <w:t xml:space="preserve">is the </w:t>
      </w:r>
      <w:r>
        <w:rPr>
          <w:rtl w:val="0"/>
        </w:rPr>
        <w:t>‘</w:t>
      </w:r>
      <w:r>
        <w:rPr>
          <w:rtl w:val="0"/>
        </w:rPr>
        <w:t>kill</w:t>
      </w:r>
      <w:r>
        <w:rPr>
          <w:rtl w:val="0"/>
        </w:rPr>
        <w:t xml:space="preserve">’ </w:t>
      </w:r>
      <w:r>
        <w:rPr>
          <w:rtl w:val="0"/>
        </w:rPr>
        <w:t>rate of B; dA and dB are the diffusion rates of A and B, respectively. These values are adjusted based on the surrounding concentrations of A or B via a Laplacian Operator (</w:t>
      </w:r>
      <w:r>
        <w:rPr>
          <w:rtl w:val="0"/>
        </w:rPr>
        <w:t>∇</w:t>
      </w:r>
      <w:r>
        <w:rPr>
          <w:rtl w:val="0"/>
        </w:rPr>
        <w:t>2).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By varying the kill and feed rate across the mesh, using the values of the </w:t>
      </w:r>
      <w:r>
        <w:rPr>
          <w:rtl w:val="0"/>
        </w:rPr>
        <w:t>deformation energy</w:t>
      </w:r>
      <w:r>
        <w:rPr>
          <w:rtl w:val="0"/>
        </w:rPr>
        <w:t xml:space="preserve"> obtained through FEM</w:t>
      </w:r>
      <w:r>
        <w:rPr>
          <w:rtl w:val="0"/>
        </w:rPr>
        <w:t xml:space="preserve"> to vary these coefficients</w:t>
      </w:r>
      <w:r>
        <w:rPr>
          <w:rtl w:val="0"/>
        </w:rPr>
        <w:t>, one can achieve a mesh that has variable strength and porosity</w:t>
      </w:r>
      <w:r>
        <w:rPr>
          <w:rtl w:val="0"/>
        </w:rPr>
        <w:t xml:space="preserve">. </w:t>
      </w:r>
    </w:p>
    <w:p>
      <w:pPr>
        <w:pStyle w:val="Body"/>
        <w:bidi w:val="0"/>
      </w:pPr>
      <w:r/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