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D6EEE" w14:textId="130385EA" w:rsidR="00BD1F95" w:rsidRPr="00A02D44" w:rsidRDefault="00BD1F95" w:rsidP="00BD1F95">
      <w:pPr>
        <w:pStyle w:val="CommentText"/>
        <w:spacing w:after="0" w:line="480" w:lineRule="auto"/>
        <w:rPr>
          <w:rFonts w:asciiTheme="minorHAnsi" w:hAnsiTheme="minorHAnsi" w:cstheme="minorHAnsi"/>
          <w:b/>
          <w:sz w:val="24"/>
          <w:szCs w:val="24"/>
        </w:rPr>
      </w:pPr>
      <w:bookmarkStart w:id="0" w:name="_Hlk27493111"/>
      <w:r w:rsidRPr="00A02D44">
        <w:rPr>
          <w:rFonts w:asciiTheme="minorHAnsi" w:hAnsiTheme="minorHAnsi" w:cstheme="minorHAnsi"/>
          <w:b/>
          <w:sz w:val="24"/>
          <w:szCs w:val="24"/>
        </w:rPr>
        <w:t>Novel Combinatorial Regimen of Garcinol and Curcuminoids for Non-alcoholic Steatohepatitis (NASH) in Mice</w:t>
      </w:r>
    </w:p>
    <w:p w14:paraId="15955E81" w14:textId="77777777" w:rsidR="00BD1F95" w:rsidRPr="00A02D44" w:rsidRDefault="00BD1F95" w:rsidP="00BD1F95">
      <w:pPr>
        <w:pStyle w:val="Title"/>
        <w:spacing w:before="0" w:after="0" w:line="480" w:lineRule="auto"/>
        <w:jc w:val="left"/>
        <w:rPr>
          <w:rFonts w:asciiTheme="minorHAnsi" w:hAnsiTheme="minorHAnsi" w:cstheme="minorHAnsi"/>
          <w:b w:val="0"/>
          <w:sz w:val="24"/>
          <w:szCs w:val="24"/>
          <w:shd w:val="clear" w:color="auto" w:fill="FFFFFF"/>
        </w:rPr>
      </w:pPr>
      <w:r w:rsidRPr="00A02D44">
        <w:rPr>
          <w:rFonts w:asciiTheme="minorHAnsi" w:hAnsiTheme="minorHAnsi" w:cstheme="minorHAnsi"/>
          <w:b w:val="0"/>
          <w:sz w:val="24"/>
          <w:szCs w:val="24"/>
          <w:shd w:val="clear" w:color="auto" w:fill="FFFFFF"/>
        </w:rPr>
        <w:t>Muhammed Majeed</w:t>
      </w:r>
      <w:r w:rsidRPr="00A02D44">
        <w:rPr>
          <w:rFonts w:asciiTheme="minorHAnsi" w:hAnsiTheme="minorHAnsi" w:cstheme="minorHAnsi"/>
          <w:b w:val="0"/>
          <w:sz w:val="24"/>
          <w:szCs w:val="24"/>
          <w:shd w:val="clear" w:color="auto" w:fill="FFFFFF"/>
          <w:vertAlign w:val="superscript"/>
        </w:rPr>
        <w:t>1, 2, 3</w:t>
      </w:r>
      <w:r w:rsidRPr="00A02D44">
        <w:rPr>
          <w:rFonts w:asciiTheme="minorHAnsi" w:hAnsiTheme="minorHAnsi" w:cstheme="minorHAnsi"/>
          <w:b w:val="0"/>
          <w:sz w:val="24"/>
          <w:szCs w:val="24"/>
          <w:shd w:val="clear" w:color="auto" w:fill="FFFFFF"/>
        </w:rPr>
        <w:t xml:space="preserve"> Shaheen Majeed </w:t>
      </w:r>
      <w:r w:rsidRPr="00A02D44">
        <w:rPr>
          <w:rFonts w:asciiTheme="minorHAnsi" w:hAnsiTheme="minorHAnsi" w:cstheme="minorHAnsi"/>
          <w:b w:val="0"/>
          <w:sz w:val="24"/>
          <w:szCs w:val="24"/>
          <w:shd w:val="clear" w:color="auto" w:fill="FFFFFF"/>
          <w:vertAlign w:val="superscript"/>
        </w:rPr>
        <w:t>2</w:t>
      </w:r>
      <w:r w:rsidRPr="00A02D44">
        <w:rPr>
          <w:rFonts w:asciiTheme="minorHAnsi" w:hAnsiTheme="minorHAnsi" w:cstheme="minorHAnsi"/>
          <w:b w:val="0"/>
          <w:sz w:val="24"/>
          <w:szCs w:val="24"/>
          <w:shd w:val="clear" w:color="auto" w:fill="FFFFFF"/>
        </w:rPr>
        <w:t>, Kalyanam Nagabhushanam</w:t>
      </w:r>
      <w:r w:rsidRPr="00A02D44">
        <w:rPr>
          <w:rFonts w:asciiTheme="minorHAnsi" w:hAnsiTheme="minorHAnsi" w:cstheme="minorHAnsi"/>
          <w:b w:val="0"/>
          <w:sz w:val="24"/>
          <w:szCs w:val="24"/>
          <w:shd w:val="clear" w:color="auto" w:fill="FFFFFF"/>
          <w:vertAlign w:val="superscript"/>
        </w:rPr>
        <w:t xml:space="preserve">3   </w:t>
      </w:r>
      <w:r w:rsidRPr="00A02D44">
        <w:rPr>
          <w:rFonts w:asciiTheme="minorHAnsi" w:hAnsiTheme="minorHAnsi" w:cstheme="minorHAnsi"/>
          <w:b w:val="0"/>
          <w:sz w:val="24"/>
          <w:szCs w:val="24"/>
          <w:shd w:val="clear" w:color="auto" w:fill="FFFFFF"/>
        </w:rPr>
        <w:t>Lincy Lawrence</w:t>
      </w:r>
      <w:r w:rsidRPr="00A02D44">
        <w:rPr>
          <w:rFonts w:asciiTheme="minorHAnsi" w:hAnsiTheme="minorHAnsi" w:cstheme="minorHAnsi"/>
          <w:b w:val="0"/>
          <w:sz w:val="24"/>
          <w:szCs w:val="24"/>
          <w:shd w:val="clear" w:color="auto" w:fill="FFFFFF"/>
          <w:vertAlign w:val="superscript"/>
        </w:rPr>
        <w:t>1</w:t>
      </w:r>
      <w:r w:rsidRPr="00A02D44">
        <w:rPr>
          <w:rFonts w:asciiTheme="minorHAnsi" w:hAnsiTheme="minorHAnsi" w:cstheme="minorHAnsi"/>
          <w:b w:val="0"/>
          <w:sz w:val="24"/>
          <w:szCs w:val="24"/>
          <w:shd w:val="clear" w:color="auto" w:fill="FFFFFF"/>
        </w:rPr>
        <w:t>, Lakshmi Mundkur</w:t>
      </w:r>
      <w:r w:rsidRPr="00A02D44">
        <w:rPr>
          <w:rFonts w:asciiTheme="minorHAnsi" w:hAnsiTheme="minorHAnsi" w:cstheme="minorHAnsi"/>
          <w:b w:val="0"/>
          <w:sz w:val="24"/>
          <w:szCs w:val="24"/>
          <w:shd w:val="clear" w:color="auto" w:fill="FFFFFF"/>
          <w:vertAlign w:val="superscript"/>
        </w:rPr>
        <w:t>1</w:t>
      </w:r>
      <w:r>
        <w:rPr>
          <w:rFonts w:asciiTheme="minorHAnsi" w:hAnsiTheme="minorHAnsi" w:cstheme="minorHAnsi"/>
          <w:b w:val="0"/>
          <w:sz w:val="24"/>
          <w:szCs w:val="24"/>
          <w:shd w:val="clear" w:color="auto" w:fill="FFFFFF"/>
          <w:vertAlign w:val="superscript"/>
        </w:rPr>
        <w:t>*</w:t>
      </w:r>
    </w:p>
    <w:p w14:paraId="1E573DA1" w14:textId="77777777" w:rsidR="00BD1F95" w:rsidRPr="00A02D44" w:rsidRDefault="00BD1F95" w:rsidP="00BD1F95">
      <w:pPr>
        <w:pStyle w:val="Title"/>
        <w:spacing w:before="0" w:after="0" w:line="480" w:lineRule="auto"/>
        <w:jc w:val="left"/>
        <w:rPr>
          <w:rFonts w:asciiTheme="minorHAnsi" w:hAnsiTheme="minorHAnsi" w:cstheme="minorHAnsi"/>
          <w:b w:val="0"/>
          <w:sz w:val="24"/>
          <w:szCs w:val="24"/>
          <w:shd w:val="clear" w:color="auto" w:fill="FFFFFF"/>
        </w:rPr>
      </w:pPr>
      <w:r w:rsidRPr="00A02D44">
        <w:rPr>
          <w:rFonts w:asciiTheme="minorHAnsi" w:hAnsiTheme="minorHAnsi" w:cstheme="minorHAnsi"/>
          <w:b w:val="0"/>
          <w:sz w:val="24"/>
          <w:szCs w:val="24"/>
          <w:shd w:val="clear" w:color="auto" w:fill="FFFFFF"/>
          <w:vertAlign w:val="superscript"/>
        </w:rPr>
        <w:t>1</w:t>
      </w:r>
      <w:r w:rsidRPr="00A02D44">
        <w:rPr>
          <w:rFonts w:asciiTheme="minorHAnsi" w:hAnsiTheme="minorHAnsi" w:cstheme="minorHAnsi"/>
          <w:b w:val="0"/>
          <w:sz w:val="24"/>
          <w:szCs w:val="24"/>
          <w:shd w:val="clear" w:color="auto" w:fill="FFFFFF"/>
        </w:rPr>
        <w:t>Sami Labs Limited, Peenya Industrial Area, Bangalore 560 058, Karnataka, India.</w:t>
      </w:r>
    </w:p>
    <w:p w14:paraId="13E40266" w14:textId="77777777" w:rsidR="00BD1F95" w:rsidRPr="00A02D44" w:rsidRDefault="00BD1F95" w:rsidP="00BD1F95">
      <w:pPr>
        <w:pStyle w:val="Title"/>
        <w:spacing w:before="0" w:after="0" w:line="480" w:lineRule="auto"/>
        <w:jc w:val="left"/>
        <w:rPr>
          <w:rFonts w:asciiTheme="minorHAnsi" w:hAnsiTheme="minorHAnsi" w:cstheme="minorHAnsi"/>
          <w:b w:val="0"/>
          <w:sz w:val="24"/>
          <w:szCs w:val="24"/>
          <w:shd w:val="clear" w:color="auto" w:fill="FFFFFF"/>
        </w:rPr>
      </w:pPr>
      <w:r w:rsidRPr="00A02D44">
        <w:rPr>
          <w:rFonts w:asciiTheme="minorHAnsi" w:hAnsiTheme="minorHAnsi" w:cstheme="minorHAnsi"/>
          <w:b w:val="0"/>
          <w:sz w:val="24"/>
          <w:szCs w:val="24"/>
          <w:shd w:val="clear" w:color="auto" w:fill="FFFFFF"/>
          <w:vertAlign w:val="superscript"/>
        </w:rPr>
        <w:t>2</w:t>
      </w:r>
      <w:r w:rsidRPr="00A02D44">
        <w:rPr>
          <w:rFonts w:asciiTheme="minorHAnsi" w:hAnsiTheme="minorHAnsi" w:cstheme="minorHAnsi"/>
          <w:b w:val="0"/>
          <w:sz w:val="24"/>
          <w:szCs w:val="24"/>
          <w:shd w:val="clear" w:color="auto" w:fill="FFFFFF"/>
        </w:rPr>
        <w:t>Sabinsa Corporation, 750 Innovation Circle, Payson, UT 84651, USA.</w:t>
      </w:r>
    </w:p>
    <w:p w14:paraId="2D3CC807" w14:textId="77777777" w:rsidR="00BD1F95" w:rsidRPr="00A02D44" w:rsidRDefault="00BD1F95" w:rsidP="00BD1F95">
      <w:pPr>
        <w:pStyle w:val="Title"/>
        <w:spacing w:before="0" w:after="0" w:line="480" w:lineRule="auto"/>
        <w:jc w:val="left"/>
        <w:rPr>
          <w:rFonts w:asciiTheme="minorHAnsi" w:hAnsiTheme="minorHAnsi" w:cstheme="minorHAnsi"/>
          <w:b w:val="0"/>
          <w:sz w:val="24"/>
          <w:szCs w:val="24"/>
          <w:shd w:val="clear" w:color="auto" w:fill="FFFFFF"/>
        </w:rPr>
      </w:pPr>
      <w:r w:rsidRPr="00A02D44">
        <w:rPr>
          <w:rFonts w:asciiTheme="minorHAnsi" w:hAnsiTheme="minorHAnsi" w:cstheme="minorHAnsi"/>
          <w:b w:val="0"/>
          <w:sz w:val="24"/>
          <w:szCs w:val="24"/>
          <w:shd w:val="clear" w:color="auto" w:fill="FFFFFF"/>
          <w:vertAlign w:val="superscript"/>
        </w:rPr>
        <w:t>3</w:t>
      </w:r>
      <w:r w:rsidRPr="00A02D44">
        <w:rPr>
          <w:rFonts w:asciiTheme="minorHAnsi" w:hAnsiTheme="minorHAnsi" w:cstheme="minorHAnsi"/>
          <w:b w:val="0"/>
          <w:sz w:val="24"/>
          <w:szCs w:val="24"/>
          <w:shd w:val="clear" w:color="auto" w:fill="FFFFFF"/>
        </w:rPr>
        <w:t>Sabinsa Corporation, 20 Lake Drive, East Windsor, NJ 08520, USA</w:t>
      </w:r>
    </w:p>
    <w:p w14:paraId="0FD282E2" w14:textId="77777777" w:rsidR="00BD1F95" w:rsidRPr="00A02D44" w:rsidRDefault="00BD1F95" w:rsidP="00BD1F95">
      <w:pPr>
        <w:spacing w:after="0" w:line="480" w:lineRule="auto"/>
        <w:rPr>
          <w:rFonts w:asciiTheme="minorHAnsi" w:hAnsiTheme="minorHAnsi" w:cstheme="minorHAnsi"/>
          <w:b/>
          <w:shd w:val="clear" w:color="auto" w:fill="FFFFFF"/>
        </w:rPr>
      </w:pPr>
    </w:p>
    <w:p w14:paraId="19F3DB21" w14:textId="77777777" w:rsidR="00BD1F95" w:rsidRPr="00A02D44" w:rsidRDefault="00BD1F95" w:rsidP="00BD1F95">
      <w:pPr>
        <w:spacing w:after="0" w:line="480" w:lineRule="auto"/>
        <w:rPr>
          <w:rFonts w:asciiTheme="minorHAnsi" w:hAnsiTheme="minorHAnsi" w:cstheme="minorHAnsi"/>
          <w:b/>
          <w:shd w:val="clear" w:color="auto" w:fill="FFFFFF"/>
        </w:rPr>
      </w:pPr>
      <w:r>
        <w:rPr>
          <w:rFonts w:asciiTheme="minorHAnsi" w:hAnsiTheme="minorHAnsi" w:cstheme="minorHAnsi"/>
          <w:b/>
          <w:shd w:val="clear" w:color="auto" w:fill="FFFFFF"/>
        </w:rPr>
        <w:t>*</w:t>
      </w:r>
      <w:r w:rsidRPr="00A02D44">
        <w:rPr>
          <w:rFonts w:asciiTheme="minorHAnsi" w:hAnsiTheme="minorHAnsi" w:cstheme="minorHAnsi"/>
          <w:b/>
          <w:shd w:val="clear" w:color="auto" w:fill="FFFFFF"/>
        </w:rPr>
        <w:t>Corresponding author</w:t>
      </w:r>
    </w:p>
    <w:p w14:paraId="3B2A339A" w14:textId="77777777" w:rsidR="00BD1F95" w:rsidRPr="00A02D44" w:rsidRDefault="00BD1F95" w:rsidP="00BD1F95">
      <w:pPr>
        <w:spacing w:after="0" w:line="360" w:lineRule="auto"/>
        <w:rPr>
          <w:rFonts w:asciiTheme="minorHAnsi" w:hAnsiTheme="minorHAnsi" w:cstheme="minorHAnsi"/>
        </w:rPr>
      </w:pPr>
      <w:r w:rsidRPr="00A02D44">
        <w:rPr>
          <w:rFonts w:asciiTheme="minorHAnsi" w:hAnsiTheme="minorHAnsi" w:cstheme="minorHAnsi"/>
        </w:rPr>
        <w:t>Dr. Lakshmi Mundkur</w:t>
      </w:r>
    </w:p>
    <w:p w14:paraId="5D0A7C63" w14:textId="77777777" w:rsidR="00BD1F95" w:rsidRPr="00A02D44" w:rsidRDefault="00BD1F95" w:rsidP="00BD1F95">
      <w:pPr>
        <w:spacing w:after="0" w:line="360" w:lineRule="auto"/>
        <w:rPr>
          <w:rFonts w:asciiTheme="minorHAnsi" w:eastAsiaTheme="minorEastAsia" w:hAnsiTheme="minorHAnsi" w:cstheme="minorHAnsi"/>
          <w:noProof/>
          <w:lang w:eastAsia="en-IN"/>
        </w:rPr>
      </w:pPr>
      <w:r w:rsidRPr="00A02D44">
        <w:rPr>
          <w:rFonts w:asciiTheme="minorHAnsi" w:eastAsiaTheme="minorEastAsia" w:hAnsiTheme="minorHAnsi" w:cstheme="minorHAnsi"/>
          <w:noProof/>
          <w:lang w:eastAsia="en-IN"/>
        </w:rPr>
        <w:t>Biological R&amp;D</w:t>
      </w:r>
    </w:p>
    <w:p w14:paraId="7652D799" w14:textId="77777777" w:rsidR="00BD1F95" w:rsidRPr="00A02D44" w:rsidRDefault="00BD1F95" w:rsidP="00BD1F95">
      <w:pPr>
        <w:spacing w:after="0" w:line="360" w:lineRule="auto"/>
        <w:rPr>
          <w:rFonts w:asciiTheme="minorHAnsi" w:eastAsiaTheme="minorEastAsia" w:hAnsiTheme="minorHAnsi" w:cstheme="minorHAnsi"/>
          <w:noProof/>
          <w:lang w:eastAsia="en-IN"/>
        </w:rPr>
      </w:pPr>
      <w:r w:rsidRPr="00A02D44">
        <w:rPr>
          <w:rFonts w:asciiTheme="minorHAnsi" w:eastAsiaTheme="minorEastAsia" w:hAnsiTheme="minorHAnsi" w:cstheme="minorHAnsi"/>
          <w:noProof/>
          <w:lang w:eastAsia="en-IN"/>
        </w:rPr>
        <w:t>Sami labs Ltd</w:t>
      </w:r>
    </w:p>
    <w:p w14:paraId="63260F87" w14:textId="77777777" w:rsidR="00BD1F95" w:rsidRPr="00A02D44" w:rsidRDefault="00BD1F95" w:rsidP="00BD1F95">
      <w:pPr>
        <w:spacing w:after="0" w:line="360" w:lineRule="auto"/>
        <w:rPr>
          <w:rFonts w:asciiTheme="minorHAnsi" w:eastAsiaTheme="minorEastAsia" w:hAnsiTheme="minorHAnsi" w:cstheme="minorHAnsi"/>
          <w:noProof/>
          <w:color w:val="222222"/>
          <w:shd w:val="clear" w:color="auto" w:fill="FFFFFF"/>
          <w:lang w:eastAsia="en-IN"/>
        </w:rPr>
      </w:pPr>
      <w:r w:rsidRPr="00A02D44">
        <w:rPr>
          <w:rFonts w:asciiTheme="minorHAnsi" w:eastAsiaTheme="minorEastAsia" w:hAnsiTheme="minorHAnsi" w:cstheme="minorHAnsi"/>
          <w:noProof/>
          <w:color w:val="222222"/>
          <w:shd w:val="clear" w:color="auto" w:fill="FFFFFF"/>
          <w:lang w:eastAsia="en-IN"/>
        </w:rPr>
        <w:t xml:space="preserve">19/1, 19/2, 1st Main, 2nd Phase, </w:t>
      </w:r>
    </w:p>
    <w:p w14:paraId="462E8D20" w14:textId="77777777" w:rsidR="00BD1F95" w:rsidRPr="00A02D44" w:rsidRDefault="00BD1F95" w:rsidP="00BD1F95">
      <w:pPr>
        <w:spacing w:after="0" w:line="360" w:lineRule="auto"/>
        <w:rPr>
          <w:rFonts w:asciiTheme="minorHAnsi" w:eastAsiaTheme="minorEastAsia" w:hAnsiTheme="minorHAnsi" w:cstheme="minorHAnsi"/>
          <w:noProof/>
          <w:color w:val="222222"/>
          <w:shd w:val="clear" w:color="auto" w:fill="FFFFFF"/>
          <w:lang w:eastAsia="en-IN"/>
        </w:rPr>
      </w:pPr>
      <w:r w:rsidRPr="00A02D44">
        <w:rPr>
          <w:rFonts w:asciiTheme="minorHAnsi" w:eastAsiaTheme="minorEastAsia" w:hAnsiTheme="minorHAnsi" w:cstheme="minorHAnsi"/>
          <w:noProof/>
          <w:color w:val="222222"/>
          <w:shd w:val="clear" w:color="auto" w:fill="FFFFFF"/>
          <w:lang w:eastAsia="en-IN"/>
        </w:rPr>
        <w:t xml:space="preserve">Peenya Industrial Area, </w:t>
      </w:r>
    </w:p>
    <w:p w14:paraId="02E8F1BA" w14:textId="77777777" w:rsidR="00BD1F95" w:rsidRPr="00A02D44" w:rsidRDefault="00BD1F95" w:rsidP="00BD1F95">
      <w:pPr>
        <w:spacing w:after="0" w:line="360" w:lineRule="auto"/>
        <w:rPr>
          <w:rFonts w:asciiTheme="minorHAnsi" w:eastAsiaTheme="minorEastAsia" w:hAnsiTheme="minorHAnsi" w:cstheme="minorHAnsi"/>
          <w:noProof/>
          <w:lang w:eastAsia="en-IN"/>
        </w:rPr>
      </w:pPr>
      <w:r w:rsidRPr="00A02D44">
        <w:rPr>
          <w:rFonts w:asciiTheme="minorHAnsi" w:eastAsiaTheme="minorEastAsia" w:hAnsiTheme="minorHAnsi" w:cstheme="minorHAnsi"/>
          <w:noProof/>
          <w:color w:val="222222"/>
          <w:shd w:val="clear" w:color="auto" w:fill="FFFFFF"/>
          <w:lang w:eastAsia="en-IN"/>
        </w:rPr>
        <w:t>Bengaluru, Karnataka 560058</w:t>
      </w:r>
    </w:p>
    <w:p w14:paraId="3D8E0BAB" w14:textId="77777777" w:rsidR="00BD1F95" w:rsidRPr="00A02D44" w:rsidRDefault="00BD1F95" w:rsidP="00BD1F95">
      <w:pPr>
        <w:spacing w:after="0" w:line="360" w:lineRule="auto"/>
        <w:rPr>
          <w:rFonts w:asciiTheme="minorHAnsi" w:eastAsiaTheme="minorEastAsia" w:hAnsiTheme="minorHAnsi" w:cstheme="minorHAnsi"/>
          <w:noProof/>
          <w:lang w:eastAsia="en-IN"/>
        </w:rPr>
      </w:pPr>
      <w:r w:rsidRPr="00A02D44">
        <w:rPr>
          <w:rFonts w:asciiTheme="minorHAnsi" w:eastAsiaTheme="minorEastAsia" w:hAnsiTheme="minorHAnsi" w:cstheme="minorHAnsi"/>
          <w:noProof/>
          <w:color w:val="222222"/>
          <w:shd w:val="clear" w:color="auto" w:fill="FFFFFF"/>
          <w:lang w:eastAsia="en-IN"/>
        </w:rPr>
        <w:t>Tel 080 2839 7973</w:t>
      </w:r>
    </w:p>
    <w:p w14:paraId="0D626137" w14:textId="77777777" w:rsidR="00BD1F95" w:rsidRPr="00A02D44" w:rsidRDefault="00BD1F95" w:rsidP="00BD1F95">
      <w:pPr>
        <w:spacing w:after="0" w:line="360" w:lineRule="auto"/>
        <w:rPr>
          <w:rFonts w:asciiTheme="minorHAnsi" w:eastAsiaTheme="minorEastAsia" w:hAnsiTheme="minorHAnsi" w:cstheme="minorHAnsi"/>
          <w:noProof/>
          <w:color w:val="222222"/>
          <w:shd w:val="clear" w:color="auto" w:fill="FFFFFF"/>
          <w:lang w:eastAsia="en-IN"/>
        </w:rPr>
      </w:pPr>
      <w:r w:rsidRPr="00A02D44">
        <w:rPr>
          <w:rFonts w:asciiTheme="minorHAnsi" w:eastAsiaTheme="minorEastAsia" w:hAnsiTheme="minorHAnsi" w:cstheme="minorHAnsi"/>
          <w:noProof/>
          <w:color w:val="222222"/>
          <w:shd w:val="clear" w:color="auto" w:fill="FFFFFF"/>
          <w:lang w:eastAsia="en-IN"/>
        </w:rPr>
        <w:t>lakshmi@samilabs.com</w:t>
      </w:r>
    </w:p>
    <w:p w14:paraId="1238270B" w14:textId="77777777" w:rsidR="00BD1F95" w:rsidRPr="00A02D44" w:rsidRDefault="00BD1F95" w:rsidP="00BD1F95">
      <w:pPr>
        <w:spacing w:after="0" w:line="480" w:lineRule="auto"/>
        <w:contextualSpacing/>
        <w:jc w:val="both"/>
        <w:rPr>
          <w:rFonts w:asciiTheme="minorHAnsi" w:hAnsiTheme="minorHAnsi" w:cstheme="minorHAnsi"/>
          <w:b/>
          <w:color w:val="000000" w:themeColor="text1"/>
          <w:shd w:val="clear" w:color="auto" w:fill="FFFFFF"/>
        </w:rPr>
      </w:pPr>
    </w:p>
    <w:p w14:paraId="0F3E7CFB" w14:textId="77777777" w:rsidR="00BD1F95" w:rsidRPr="00A02D44" w:rsidRDefault="00BD1F95" w:rsidP="00BD1F95">
      <w:pPr>
        <w:spacing w:after="0" w:line="480" w:lineRule="auto"/>
        <w:rPr>
          <w:rFonts w:asciiTheme="minorHAnsi" w:hAnsiTheme="minorHAnsi" w:cstheme="minorHAnsi"/>
          <w:b/>
          <w:shd w:val="clear" w:color="auto" w:fill="FFFFFF"/>
        </w:rPr>
      </w:pPr>
      <w:r w:rsidRPr="00A02D44">
        <w:rPr>
          <w:rFonts w:asciiTheme="minorHAnsi" w:hAnsiTheme="minorHAnsi" w:cstheme="minorHAnsi"/>
          <w:b/>
          <w:shd w:val="clear" w:color="auto" w:fill="FFFFFF"/>
        </w:rPr>
        <w:t>Short Title-</w:t>
      </w:r>
    </w:p>
    <w:p w14:paraId="6B4D748F" w14:textId="77777777" w:rsidR="00BD1F95" w:rsidRPr="007B184E" w:rsidRDefault="00BD1F95" w:rsidP="00BD1F95">
      <w:pPr>
        <w:spacing w:after="0" w:line="480" w:lineRule="auto"/>
        <w:rPr>
          <w:rFonts w:asciiTheme="minorHAnsi" w:hAnsiTheme="minorHAnsi" w:cstheme="minorHAnsi"/>
          <w:bCs/>
          <w:shd w:val="clear" w:color="auto" w:fill="FFFFFF"/>
        </w:rPr>
      </w:pPr>
      <w:r>
        <w:rPr>
          <w:rFonts w:asciiTheme="minorHAnsi" w:hAnsiTheme="minorHAnsi" w:cstheme="minorHAnsi"/>
          <w:bCs/>
        </w:rPr>
        <w:t xml:space="preserve">Synergy of </w:t>
      </w:r>
      <w:r w:rsidRPr="007B184E">
        <w:rPr>
          <w:rFonts w:asciiTheme="minorHAnsi" w:hAnsiTheme="minorHAnsi" w:cstheme="minorHAnsi"/>
          <w:bCs/>
        </w:rPr>
        <w:t xml:space="preserve">Garcinol and Curcuminoids </w:t>
      </w:r>
      <w:r>
        <w:rPr>
          <w:rFonts w:asciiTheme="minorHAnsi" w:hAnsiTheme="minorHAnsi" w:cstheme="minorHAnsi"/>
          <w:bCs/>
        </w:rPr>
        <w:t>in</w:t>
      </w:r>
      <w:r w:rsidRPr="007B184E">
        <w:rPr>
          <w:rFonts w:asciiTheme="minorHAnsi" w:hAnsiTheme="minorHAnsi" w:cstheme="minorHAnsi"/>
          <w:bCs/>
        </w:rPr>
        <w:t xml:space="preserve"> </w:t>
      </w:r>
      <w:r>
        <w:rPr>
          <w:rFonts w:asciiTheme="minorHAnsi" w:hAnsiTheme="minorHAnsi" w:cstheme="minorHAnsi"/>
          <w:bCs/>
        </w:rPr>
        <w:t>NASH</w:t>
      </w:r>
      <w:r w:rsidRPr="007B184E">
        <w:rPr>
          <w:rFonts w:asciiTheme="minorHAnsi" w:hAnsiTheme="minorHAnsi" w:cstheme="minorHAnsi"/>
          <w:bCs/>
        </w:rPr>
        <w:t xml:space="preserve"> </w:t>
      </w:r>
    </w:p>
    <w:p w14:paraId="157D87D0" w14:textId="77777777" w:rsidR="00BD1F95" w:rsidRPr="00A02D44" w:rsidRDefault="00BD1F95" w:rsidP="00BD1F95">
      <w:pPr>
        <w:pStyle w:val="CommentText"/>
        <w:spacing w:after="0"/>
        <w:rPr>
          <w:rFonts w:asciiTheme="minorHAnsi" w:hAnsiTheme="minorHAnsi" w:cstheme="minorHAnsi"/>
          <w:sz w:val="24"/>
          <w:szCs w:val="24"/>
          <w:shd w:val="clear" w:color="auto" w:fill="FFFFFF"/>
        </w:rPr>
      </w:pPr>
    </w:p>
    <w:bookmarkEnd w:id="0"/>
    <w:p w14:paraId="0BD005C4" w14:textId="77777777" w:rsidR="00BD1F95" w:rsidRPr="00A02D44" w:rsidRDefault="00BD1F95" w:rsidP="00BD1F95">
      <w:pPr>
        <w:spacing w:after="0" w:line="480" w:lineRule="auto"/>
        <w:rPr>
          <w:rFonts w:asciiTheme="minorHAnsi" w:hAnsiTheme="minorHAnsi" w:cstheme="minorHAnsi"/>
          <w:b/>
          <w:shd w:val="clear" w:color="auto" w:fill="FFFFFF"/>
        </w:rPr>
      </w:pPr>
      <w:r w:rsidRPr="00A02D44">
        <w:rPr>
          <w:rFonts w:asciiTheme="minorHAnsi" w:hAnsiTheme="minorHAnsi" w:cstheme="minorHAnsi"/>
          <w:b/>
          <w:shd w:val="clear" w:color="auto" w:fill="FFFFFF"/>
        </w:rPr>
        <w:t>Author Contributions</w:t>
      </w:r>
    </w:p>
    <w:p w14:paraId="4BCEFD39" w14:textId="36F3AD64" w:rsidR="008B249B" w:rsidRDefault="00BD1F95" w:rsidP="00F27D26">
      <w:pPr>
        <w:spacing w:after="0" w:line="480" w:lineRule="auto"/>
        <w:rPr>
          <w:rFonts w:asciiTheme="minorHAnsi" w:hAnsiTheme="minorHAnsi" w:cstheme="minorHAnsi"/>
          <w:b/>
          <w:shd w:val="clear" w:color="auto" w:fill="FFFFFF"/>
        </w:rPr>
      </w:pPr>
      <w:r w:rsidRPr="00A02D44">
        <w:rPr>
          <w:rFonts w:asciiTheme="minorHAnsi" w:hAnsiTheme="minorHAnsi" w:cstheme="minorHAnsi"/>
        </w:rPr>
        <w:t>Experimentation and data collection; LL, LM Data Validation: LM, Resources: MM and SM. Writing (original draft): LL and LM. Writing (review &amp; editing): KN, SM</w:t>
      </w:r>
      <w:r>
        <w:rPr>
          <w:rFonts w:asciiTheme="minorHAnsi" w:hAnsiTheme="minorHAnsi" w:cstheme="minorHAnsi"/>
        </w:rPr>
        <w:t>,</w:t>
      </w:r>
      <w:r w:rsidRPr="00A02D44">
        <w:rPr>
          <w:rFonts w:asciiTheme="minorHAnsi" w:hAnsiTheme="minorHAnsi" w:cstheme="minorHAnsi"/>
        </w:rPr>
        <w:t xml:space="preserve"> LM Approval: SM, KN, and MM</w:t>
      </w:r>
    </w:p>
    <w:p w14:paraId="3D4FABA5" w14:textId="77777777" w:rsidR="00BD1F95" w:rsidRPr="00BD1F95" w:rsidRDefault="00BD1F95" w:rsidP="00F27D26">
      <w:pPr>
        <w:spacing w:after="0" w:line="480" w:lineRule="auto"/>
        <w:rPr>
          <w:rFonts w:asciiTheme="minorHAnsi" w:hAnsiTheme="minorHAnsi" w:cstheme="minorHAnsi"/>
          <w:b/>
          <w:shd w:val="clear" w:color="auto" w:fill="FFFFFF"/>
        </w:rPr>
      </w:pPr>
    </w:p>
    <w:p w14:paraId="4ECCC4E6" w14:textId="67D23C24" w:rsidR="00956898" w:rsidRDefault="00956898" w:rsidP="00F27D26">
      <w:pPr>
        <w:spacing w:after="0" w:line="480" w:lineRule="auto"/>
        <w:rPr>
          <w:rFonts w:ascii="Times New Roman" w:hAnsi="Times New Roman" w:cs="Times New Roman"/>
          <w:b/>
          <w:lang w:val="en-IN"/>
        </w:rPr>
      </w:pPr>
      <w:r>
        <w:rPr>
          <w:rFonts w:ascii="Times New Roman" w:hAnsi="Times New Roman" w:cs="Times New Roman"/>
          <w:b/>
          <w:lang w:val="en-IN"/>
        </w:rPr>
        <w:lastRenderedPageBreak/>
        <w:t>Methods</w:t>
      </w:r>
    </w:p>
    <w:p w14:paraId="20AA9967" w14:textId="59BD10DC" w:rsidR="00956898" w:rsidRDefault="00DE2CE3" w:rsidP="00F27D26">
      <w:pPr>
        <w:spacing w:after="0" w:line="480" w:lineRule="auto"/>
        <w:rPr>
          <w:rFonts w:ascii="Times New Roman" w:hAnsi="Times New Roman" w:cs="Times New Roman"/>
          <w:b/>
          <w:lang w:val="en-IN"/>
        </w:rPr>
      </w:pPr>
      <w:r>
        <w:rPr>
          <w:rFonts w:ascii="Times New Roman" w:hAnsi="Times New Roman" w:cs="Times New Roman"/>
          <w:b/>
          <w:lang w:val="en-IN"/>
        </w:rPr>
        <w:t>Details of guidelines followed for animal experiments</w:t>
      </w:r>
    </w:p>
    <w:p w14:paraId="08D39C27" w14:textId="3FD2C927" w:rsidR="00DE2CE3" w:rsidRPr="008B249B" w:rsidRDefault="00DE2CE3" w:rsidP="008B249B">
      <w:pPr>
        <w:spacing w:line="480" w:lineRule="auto"/>
        <w:rPr>
          <w:rFonts w:asciiTheme="minorHAnsi" w:hAnsiTheme="minorHAnsi" w:cstheme="minorHAnsi"/>
          <w:lang w:eastAsia="ja-JP"/>
        </w:rPr>
      </w:pPr>
      <w:r w:rsidRPr="008B249B">
        <w:rPr>
          <w:rFonts w:asciiTheme="minorHAnsi" w:hAnsiTheme="minorHAnsi" w:cstheme="minorHAnsi"/>
          <w:lang w:val="en-IN"/>
        </w:rPr>
        <w:t xml:space="preserve">All </w:t>
      </w:r>
      <w:proofErr w:type="gramStart"/>
      <w:r w:rsidR="008B249B">
        <w:rPr>
          <w:rFonts w:asciiTheme="minorHAnsi" w:hAnsiTheme="minorHAnsi" w:cstheme="minorHAnsi"/>
          <w:lang w:val="en-IN"/>
        </w:rPr>
        <w:t xml:space="preserve">the </w:t>
      </w:r>
      <w:r w:rsidRPr="008B249B">
        <w:rPr>
          <w:rFonts w:asciiTheme="minorHAnsi" w:eastAsia="Times New Roman" w:hAnsiTheme="minorHAnsi" w:cstheme="minorHAnsi"/>
        </w:rPr>
        <w:t xml:space="preserve"> methods</w:t>
      </w:r>
      <w:proofErr w:type="gramEnd"/>
      <w:r w:rsidRPr="008B249B">
        <w:rPr>
          <w:rFonts w:asciiTheme="minorHAnsi" w:eastAsia="Times New Roman" w:hAnsiTheme="minorHAnsi" w:cstheme="minorHAnsi"/>
        </w:rPr>
        <w:t xml:space="preserve"> using animals were carried out in accordance with relevant guidelines and regulations with approval from  the animal ethics committee of SMC laboratories Japan (</w:t>
      </w:r>
      <w:r w:rsidRPr="008B249B">
        <w:rPr>
          <w:rFonts w:asciiTheme="minorHAnsi" w:hAnsiTheme="minorHAnsi" w:cstheme="minorHAnsi"/>
          <w:lang w:eastAsia="ja-JP"/>
        </w:rPr>
        <w:t>IACUC.)</w:t>
      </w:r>
      <w:r w:rsidRPr="008B249B">
        <w:rPr>
          <w:rFonts w:asciiTheme="minorHAnsi" w:eastAsia="Times New Roman" w:hAnsiTheme="minorHAnsi" w:cstheme="minorHAnsi"/>
        </w:rPr>
        <w:t xml:space="preserve">. The laboratory has the approval to conduct </w:t>
      </w:r>
      <w:r w:rsidRPr="008B249B">
        <w:rPr>
          <w:rFonts w:asciiTheme="minorHAnsi" w:hAnsiTheme="minorHAnsi" w:cstheme="minorHAnsi"/>
          <w:lang w:eastAsia="ja-JP"/>
        </w:rPr>
        <w:t>in-vivo studies as per the</w:t>
      </w:r>
      <w:r w:rsidRPr="008B249B">
        <w:rPr>
          <w:rFonts w:asciiTheme="minorHAnsi" w:eastAsia="Times New Roman" w:hAnsiTheme="minorHAnsi" w:cstheme="minorHAnsi"/>
        </w:rPr>
        <w:t xml:space="preserve"> </w:t>
      </w:r>
      <w:r w:rsidRPr="008B249B">
        <w:rPr>
          <w:rFonts w:asciiTheme="minorHAnsi" w:hAnsiTheme="minorHAnsi" w:cstheme="minorHAnsi"/>
          <w:lang w:eastAsia="ja-JP"/>
        </w:rPr>
        <w:t>Animal Welfare Assurance for foreign institutions from the Office of Laboratory Animal Welfare on November 30, 2015 (Animal Welfare Assurance number: A5037-01) as per the following guidelines</w:t>
      </w:r>
    </w:p>
    <w:p w14:paraId="42082829" w14:textId="4CA59F0D" w:rsidR="00DE2CE3" w:rsidRPr="008B249B" w:rsidRDefault="00DE2CE3" w:rsidP="008B249B">
      <w:pPr>
        <w:spacing w:line="480" w:lineRule="auto"/>
        <w:rPr>
          <w:rFonts w:asciiTheme="minorHAnsi" w:hAnsiTheme="minorHAnsi" w:cstheme="minorHAnsi"/>
          <w:lang w:eastAsia="ja-JP"/>
        </w:rPr>
      </w:pPr>
      <w:r w:rsidRPr="008B249B">
        <w:rPr>
          <w:rFonts w:asciiTheme="minorHAnsi" w:hAnsiTheme="minorHAnsi" w:cstheme="minorHAnsi"/>
          <w:lang w:eastAsia="ja-JP"/>
        </w:rPr>
        <w:t>1) Act on Welfare and Management of Animals (Ministry of the Environment, Act No. 105 of October 1, 1973)</w:t>
      </w:r>
    </w:p>
    <w:p w14:paraId="4DF97487" w14:textId="77777777" w:rsidR="00DE2CE3" w:rsidRPr="008B249B" w:rsidRDefault="00DE2CE3" w:rsidP="008B249B">
      <w:pPr>
        <w:spacing w:line="480" w:lineRule="auto"/>
        <w:rPr>
          <w:rFonts w:asciiTheme="minorHAnsi" w:hAnsiTheme="minorHAnsi" w:cstheme="minorHAnsi"/>
          <w:lang w:eastAsia="ja-JP"/>
        </w:rPr>
      </w:pPr>
      <w:r w:rsidRPr="008B249B">
        <w:rPr>
          <w:rFonts w:asciiTheme="minorHAnsi" w:hAnsiTheme="minorHAnsi" w:cstheme="minorHAnsi"/>
          <w:lang w:eastAsia="ja-JP"/>
        </w:rPr>
        <w:t>2) Standards Relating to the Care and Management of Laboratory Animals and Relief of Pain (Notice No.88 of the Ministry of the Environment, April 28, 2006)</w:t>
      </w:r>
    </w:p>
    <w:p w14:paraId="75F82B64" w14:textId="77777777" w:rsidR="00DE2CE3" w:rsidRPr="008B249B" w:rsidRDefault="00DE2CE3" w:rsidP="008B249B">
      <w:pPr>
        <w:spacing w:line="480" w:lineRule="auto"/>
        <w:rPr>
          <w:rFonts w:asciiTheme="minorHAnsi" w:hAnsiTheme="minorHAnsi" w:cstheme="minorHAnsi"/>
          <w:lang w:eastAsia="ja-JP"/>
        </w:rPr>
      </w:pPr>
      <w:r w:rsidRPr="008B249B">
        <w:rPr>
          <w:rFonts w:asciiTheme="minorHAnsi" w:hAnsiTheme="minorHAnsi" w:cstheme="minorHAnsi"/>
          <w:lang w:eastAsia="ja-JP"/>
        </w:rPr>
        <w:t>3) Guidelines for Proper Conduct of Animal Experiments (Science Council of Japan, June 1, 2006)</w:t>
      </w:r>
    </w:p>
    <w:p w14:paraId="739C400D" w14:textId="1E41AC89" w:rsidR="00DE2CE3" w:rsidRPr="008B249B" w:rsidRDefault="00DE2CE3" w:rsidP="008B249B">
      <w:pPr>
        <w:spacing w:line="480" w:lineRule="auto"/>
        <w:rPr>
          <w:rFonts w:asciiTheme="minorHAnsi" w:hAnsiTheme="minorHAnsi" w:cstheme="minorHAnsi"/>
          <w:lang w:eastAsia="ja-JP"/>
        </w:rPr>
      </w:pPr>
      <w:r w:rsidRPr="008B249B">
        <w:rPr>
          <w:rFonts w:asciiTheme="minorHAnsi" w:hAnsiTheme="minorHAnsi" w:cstheme="minorHAnsi"/>
          <w:lang w:eastAsia="ja-JP"/>
        </w:rPr>
        <w:t xml:space="preserve">The animals and </w:t>
      </w:r>
      <w:r w:rsidR="008B249B" w:rsidRPr="008B249B">
        <w:rPr>
          <w:rFonts w:asciiTheme="minorHAnsi" w:hAnsiTheme="minorHAnsi" w:cstheme="minorHAnsi"/>
          <w:lang w:eastAsia="ja-JP"/>
        </w:rPr>
        <w:t xml:space="preserve">monitored </w:t>
      </w:r>
      <w:r w:rsidR="00D70B26" w:rsidRPr="008B249B">
        <w:rPr>
          <w:rFonts w:asciiTheme="minorHAnsi" w:hAnsiTheme="minorHAnsi" w:cstheme="minorHAnsi"/>
          <w:lang w:eastAsia="ja-JP"/>
        </w:rPr>
        <w:t>for viability</w:t>
      </w:r>
      <w:r w:rsidRPr="008B249B">
        <w:rPr>
          <w:rFonts w:asciiTheme="minorHAnsi" w:hAnsiTheme="minorHAnsi" w:cstheme="minorHAnsi"/>
          <w:lang w:eastAsia="ja-JP"/>
        </w:rPr>
        <w:t xml:space="preserve">, clinical signs (lethargy, twitching, labored breathing) and behavior daily. Mice were observed for significant clinical signs of toxicity, moribundity and mortality before administration, just after administration and 1 hours after administration. The animals were sacrificed by exsanguination through direct cardiac puncture under isoflurane anesthesia (Pfizer Inc.). </w:t>
      </w:r>
    </w:p>
    <w:p w14:paraId="4C52297C" w14:textId="216E5496" w:rsidR="00DE2CE3" w:rsidRDefault="00DE2CE3" w:rsidP="008B249B">
      <w:pPr>
        <w:spacing w:line="480" w:lineRule="auto"/>
        <w:rPr>
          <w:rFonts w:asciiTheme="minorHAnsi" w:hAnsiTheme="minorHAnsi" w:cstheme="minorHAnsi"/>
          <w:lang w:eastAsia="ja-JP"/>
        </w:rPr>
      </w:pPr>
      <w:r w:rsidRPr="008B249B">
        <w:rPr>
          <w:rFonts w:asciiTheme="minorHAnsi" w:hAnsiTheme="minorHAnsi" w:cstheme="minorHAnsi"/>
          <w:lang w:eastAsia="ja-JP"/>
        </w:rPr>
        <w:t>If an animal show</w:t>
      </w:r>
      <w:r w:rsidR="008B249B">
        <w:rPr>
          <w:rFonts w:asciiTheme="minorHAnsi" w:hAnsiTheme="minorHAnsi" w:cstheme="minorHAnsi"/>
          <w:lang w:eastAsia="ja-JP"/>
        </w:rPr>
        <w:t>ed</w:t>
      </w:r>
      <w:r w:rsidRPr="008B249B">
        <w:rPr>
          <w:rFonts w:asciiTheme="minorHAnsi" w:hAnsiTheme="minorHAnsi" w:cstheme="minorHAnsi"/>
          <w:lang w:eastAsia="ja-JP"/>
        </w:rPr>
        <w:t xml:space="preserve"> &gt;25% body weight loss within a week or &gt;20% body weight loss compared to previous day, the animal </w:t>
      </w:r>
      <w:r w:rsidR="008B249B" w:rsidRPr="008B249B">
        <w:rPr>
          <w:rFonts w:asciiTheme="minorHAnsi" w:hAnsiTheme="minorHAnsi" w:cstheme="minorHAnsi"/>
          <w:lang w:eastAsia="ja-JP"/>
        </w:rPr>
        <w:t>was</w:t>
      </w:r>
      <w:r w:rsidRPr="008B249B">
        <w:rPr>
          <w:rFonts w:asciiTheme="minorHAnsi" w:hAnsiTheme="minorHAnsi" w:cstheme="minorHAnsi"/>
          <w:lang w:eastAsia="ja-JP"/>
        </w:rPr>
        <w:t xml:space="preserve"> euthanized ahead of study termination. If it </w:t>
      </w:r>
      <w:r w:rsidRPr="008B249B">
        <w:rPr>
          <w:rFonts w:asciiTheme="minorHAnsi" w:hAnsiTheme="minorHAnsi" w:cstheme="minorHAnsi"/>
          <w:lang w:eastAsia="ja-JP"/>
        </w:rPr>
        <w:lastRenderedPageBreak/>
        <w:t>show</w:t>
      </w:r>
      <w:r w:rsidR="008B249B">
        <w:rPr>
          <w:rFonts w:asciiTheme="minorHAnsi" w:hAnsiTheme="minorHAnsi" w:cstheme="minorHAnsi"/>
          <w:lang w:eastAsia="ja-JP"/>
        </w:rPr>
        <w:t>ed</w:t>
      </w:r>
      <w:r w:rsidRPr="008B249B">
        <w:rPr>
          <w:rFonts w:asciiTheme="minorHAnsi" w:hAnsiTheme="minorHAnsi" w:cstheme="minorHAnsi"/>
          <w:lang w:eastAsia="ja-JP"/>
        </w:rPr>
        <w:t xml:space="preserve"> a </w:t>
      </w:r>
      <w:r w:rsidR="008B249B" w:rsidRPr="008B249B">
        <w:rPr>
          <w:rFonts w:asciiTheme="minorHAnsi" w:hAnsiTheme="minorHAnsi" w:cstheme="minorHAnsi"/>
          <w:lang w:eastAsia="ja-JP"/>
        </w:rPr>
        <w:t>morbidity</w:t>
      </w:r>
      <w:r w:rsidRPr="008B249B">
        <w:rPr>
          <w:rFonts w:asciiTheme="minorHAnsi" w:hAnsiTheme="minorHAnsi" w:cstheme="minorHAnsi"/>
          <w:lang w:eastAsia="ja-JP"/>
        </w:rPr>
        <w:t xml:space="preserve"> sign such as prone position, the animal</w:t>
      </w:r>
      <w:r w:rsidR="00D70B26">
        <w:rPr>
          <w:rFonts w:asciiTheme="minorHAnsi" w:hAnsiTheme="minorHAnsi" w:cstheme="minorHAnsi"/>
          <w:lang w:eastAsia="ja-JP"/>
        </w:rPr>
        <w:t>s</w:t>
      </w:r>
      <w:r w:rsidRPr="008B249B">
        <w:rPr>
          <w:rFonts w:asciiTheme="minorHAnsi" w:hAnsiTheme="minorHAnsi" w:cstheme="minorHAnsi"/>
          <w:lang w:eastAsia="ja-JP"/>
        </w:rPr>
        <w:t xml:space="preserve"> were euthanized ahead of study termination.</w:t>
      </w:r>
    </w:p>
    <w:p w14:paraId="1398373D" w14:textId="77777777" w:rsidR="007A1E5A" w:rsidRPr="0094700F" w:rsidRDefault="007A1E5A" w:rsidP="007A1E5A">
      <w:pPr>
        <w:spacing w:after="0" w:line="480" w:lineRule="auto"/>
        <w:rPr>
          <w:rFonts w:asciiTheme="minorHAnsi" w:hAnsiTheme="minorHAnsi" w:cstheme="minorHAnsi"/>
        </w:rPr>
      </w:pPr>
      <w:r w:rsidRPr="0094700F">
        <w:rPr>
          <w:rFonts w:asciiTheme="minorHAnsi" w:hAnsiTheme="minorHAnsi" w:cstheme="minorHAnsi"/>
          <w:b/>
        </w:rPr>
        <w:t>Measurement of liver hydroxyproline content</w:t>
      </w:r>
    </w:p>
    <w:p w14:paraId="20AFCEAB" w14:textId="518BCCB7" w:rsidR="007A1E5A" w:rsidRPr="008B249B" w:rsidRDefault="007A1E5A" w:rsidP="007A1E5A">
      <w:pPr>
        <w:spacing w:line="480" w:lineRule="auto"/>
        <w:rPr>
          <w:rFonts w:asciiTheme="minorHAnsi" w:hAnsiTheme="minorHAnsi" w:cstheme="minorHAnsi"/>
          <w:lang w:eastAsia="ja-JP"/>
        </w:rPr>
      </w:pPr>
      <w:r w:rsidRPr="0094700F">
        <w:rPr>
          <w:rFonts w:asciiTheme="minorHAnsi" w:hAnsiTheme="minorHAnsi" w:cstheme="minorHAnsi"/>
        </w:rPr>
        <w:t>Frozen liver samples were processed by an alkaline-acid hydrolysis method to quantify the liver hydroxyproline content. Liver samples were defatted with 100% acetone, dried in the air, dissolved in 2N NaOH at 65°C, and autoclaved at 121°C for 20 minutes. The lysed samples (400 µL) were acid-hydrolyzed with 400 µL of 6N HCl at 121°C for 20 minutes and neutralized with 400 µL of 4N NaOH containing 10 mg/mL activated carbon. AC buffer (2.2M acetic acid/0.48M citric acid, 400 µL) was added to the samples, followed by centrifugation to collect the supernatant. A standard curve of hydroxyproline was constructed with serial dilutions of trans-4-hydroxy-L-proline (Sigma-Aldrich) starting at 16 µg/</w:t>
      </w:r>
      <w:proofErr w:type="spellStart"/>
      <w:r w:rsidRPr="0094700F">
        <w:rPr>
          <w:rFonts w:asciiTheme="minorHAnsi" w:hAnsiTheme="minorHAnsi" w:cstheme="minorHAnsi"/>
        </w:rPr>
        <w:t>mL.</w:t>
      </w:r>
      <w:proofErr w:type="spellEnd"/>
      <w:r w:rsidRPr="0094700F">
        <w:rPr>
          <w:rFonts w:asciiTheme="minorHAnsi" w:hAnsiTheme="minorHAnsi" w:cstheme="minorHAnsi"/>
        </w:rPr>
        <w:t xml:space="preserve"> The prepared samples and standards (each 400 µL) were mixed with 400 µL chloramine T solution (Wako Pure Chemical Industries) and incubated for 25 minutes at room temperature. The samples were then mixed with Ehrlich's solution (400 µL) and heated at 65°C for 20 minutes to develop the color. After samples were cooled on ice and centrifuged to remove precipitates, the optical density of each supernatant was measured at 560 nm. The concentrations of hydroxyproline were calculated from the</w:t>
      </w:r>
      <w:r>
        <w:rPr>
          <w:rFonts w:asciiTheme="minorHAnsi" w:hAnsiTheme="minorHAnsi" w:cstheme="minorHAnsi"/>
        </w:rPr>
        <w:t xml:space="preserve"> </w:t>
      </w:r>
      <w:r w:rsidRPr="0094700F">
        <w:rPr>
          <w:rFonts w:asciiTheme="minorHAnsi" w:hAnsiTheme="minorHAnsi" w:cstheme="minorHAnsi"/>
        </w:rPr>
        <w:t>hydroxyproline standard curve. Protein concentrations of liver samples were determined using a BCA protein assay kit (Thermo Fisher Scientific, USA) and used to normalize the calculated hydroxyproline values</w:t>
      </w:r>
      <w:r>
        <w:rPr>
          <w:rFonts w:asciiTheme="minorHAnsi" w:hAnsiTheme="minorHAnsi" w:cstheme="minorHAnsi"/>
        </w:rPr>
        <w:t xml:space="preserve"> and </w:t>
      </w:r>
      <w:r w:rsidRPr="0094700F">
        <w:rPr>
          <w:rFonts w:asciiTheme="minorHAnsi" w:hAnsiTheme="minorHAnsi" w:cstheme="minorHAnsi"/>
        </w:rPr>
        <w:t>expressed as µg per mg protein.</w:t>
      </w:r>
      <w:r w:rsidRPr="0094700F">
        <w:rPr>
          <w:rFonts w:asciiTheme="minorHAnsi" w:hAnsiTheme="minorHAnsi" w:cstheme="minorHAnsi"/>
        </w:rPr>
        <w:br/>
      </w:r>
      <w:bookmarkStart w:id="1" w:name="_GoBack"/>
      <w:bookmarkEnd w:id="1"/>
    </w:p>
    <w:p w14:paraId="54032F9A" w14:textId="77777777" w:rsidR="003771E3" w:rsidRPr="0094700F" w:rsidRDefault="003771E3" w:rsidP="003771E3">
      <w:pPr>
        <w:spacing w:after="0" w:line="480" w:lineRule="auto"/>
        <w:rPr>
          <w:rFonts w:asciiTheme="minorHAnsi" w:hAnsiTheme="minorHAnsi" w:cstheme="minorHAnsi"/>
          <w:b/>
        </w:rPr>
      </w:pPr>
      <w:r w:rsidRPr="0094700F">
        <w:rPr>
          <w:rFonts w:asciiTheme="minorHAnsi" w:hAnsiTheme="minorHAnsi" w:cstheme="minorHAnsi"/>
          <w:b/>
          <w:bCs/>
        </w:rPr>
        <w:t>Glutathione peroxidase (</w:t>
      </w:r>
      <w:proofErr w:type="spellStart"/>
      <w:r w:rsidRPr="0094700F">
        <w:rPr>
          <w:rFonts w:asciiTheme="minorHAnsi" w:hAnsiTheme="minorHAnsi" w:cstheme="minorHAnsi"/>
          <w:b/>
          <w:bCs/>
        </w:rPr>
        <w:t>GPx</w:t>
      </w:r>
      <w:proofErr w:type="spellEnd"/>
      <w:r w:rsidRPr="0094700F">
        <w:rPr>
          <w:rFonts w:asciiTheme="minorHAnsi" w:hAnsiTheme="minorHAnsi" w:cstheme="minorHAnsi"/>
          <w:b/>
          <w:bCs/>
        </w:rPr>
        <w:t xml:space="preserve">) </w:t>
      </w:r>
    </w:p>
    <w:p w14:paraId="1946176A" w14:textId="77777777" w:rsidR="003771E3" w:rsidRPr="0094700F" w:rsidRDefault="003771E3" w:rsidP="003771E3">
      <w:pPr>
        <w:spacing w:after="0" w:line="480" w:lineRule="auto"/>
        <w:rPr>
          <w:rFonts w:asciiTheme="minorHAnsi" w:hAnsiTheme="minorHAnsi" w:cstheme="minorHAnsi"/>
          <w:b/>
          <w:bCs/>
        </w:rPr>
      </w:pPr>
      <w:r w:rsidRPr="0094700F">
        <w:rPr>
          <w:rFonts w:asciiTheme="minorHAnsi" w:hAnsiTheme="minorHAnsi" w:cstheme="minorHAnsi"/>
        </w:rPr>
        <w:lastRenderedPageBreak/>
        <w:t xml:space="preserve">Glutathione peroxidase activity was determined according to the method of </w:t>
      </w:r>
      <w:r w:rsidRPr="0094700F">
        <w:rPr>
          <w:rFonts w:asciiTheme="minorHAnsi" w:hAnsiTheme="minorHAnsi" w:cstheme="minorHAnsi"/>
        </w:rPr>
        <w:fldChar w:fldCharType="begin"/>
      </w:r>
      <w:r>
        <w:rPr>
          <w:rFonts w:asciiTheme="minorHAnsi" w:hAnsiTheme="minorHAnsi" w:cstheme="minorHAnsi"/>
        </w:rPr>
        <w:instrText xml:space="preserve"> ADDIN EN.CITE &lt;EndNote&gt;&lt;Cite AuthorYear="1"&gt;&lt;Author&gt;Hafeman&lt;/Author&gt;&lt;Year&gt;1974&lt;/Year&gt;&lt;RecNum&gt;57&lt;/RecNum&gt;&lt;DisplayText&gt;Hafeman, et al. &lt;style face="superscript"&gt;37&lt;/style&gt;&lt;/DisplayText&gt;&lt;record&gt;&lt;rec-number&gt;57&lt;/rec-number&gt;&lt;foreign-keys&gt;&lt;key app="EN" db-id="zaz5waxr9sr02oesd9ap0dwezprtfvr29fpe" timestamp="1576557218"&gt;57&lt;/key&gt;&lt;/foreign-keys&gt;&lt;ref-type name="Journal Article"&gt;17&lt;/ref-type&gt;&lt;contributors&gt;&lt;authors&gt;&lt;author&gt;Hafeman, D. G.&lt;/author&gt;&lt;author&gt;Sunde, R. A.&lt;/author&gt;&lt;author&gt;Hoekstra, W. G.&lt;/author&gt;&lt;/authors&gt;&lt;/contributors&gt;&lt;titles&gt;&lt;title&gt;Effect of dietary selenium on erythrocyte and liver glutathione peroxidase in the rat&lt;/title&gt;&lt;secondary-title&gt;J Nutr&lt;/secondary-title&gt;&lt;/titles&gt;&lt;periodical&gt;&lt;full-title&gt;J Nutr&lt;/full-title&gt;&lt;/periodical&gt;&lt;pages&gt;580-7&lt;/pages&gt;&lt;volume&gt;104&lt;/volume&gt;&lt;number&gt;5&lt;/number&gt;&lt;dates&gt;&lt;year&gt;1974&lt;/year&gt;&lt;/dates&gt;&lt;isbn&gt;0022-3166 (Print)&amp;#xD;0022-3166 (Linking)&lt;/isbn&gt;&lt;urls&gt;&lt;/urls&gt;&lt;/record&gt;&lt;/Cite&gt;&lt;/EndNote&gt;</w:instrText>
      </w:r>
      <w:r w:rsidRPr="0094700F">
        <w:rPr>
          <w:rFonts w:asciiTheme="minorHAnsi" w:hAnsiTheme="minorHAnsi" w:cstheme="minorHAnsi"/>
        </w:rPr>
        <w:fldChar w:fldCharType="separate"/>
      </w:r>
      <w:r w:rsidRPr="0094700F">
        <w:rPr>
          <w:rFonts w:asciiTheme="minorHAnsi" w:hAnsiTheme="minorHAnsi" w:cstheme="minorHAnsi"/>
          <w:noProof/>
        </w:rPr>
        <w:t xml:space="preserve">Hafeman, et al. </w:t>
      </w:r>
      <w:r w:rsidRPr="0094700F">
        <w:rPr>
          <w:rFonts w:asciiTheme="minorHAnsi" w:hAnsiTheme="minorHAnsi" w:cstheme="minorHAnsi"/>
          <w:noProof/>
          <w:vertAlign w:val="superscript"/>
        </w:rPr>
        <w:t>37</w:t>
      </w:r>
      <w:r w:rsidRPr="0094700F">
        <w:rPr>
          <w:rFonts w:asciiTheme="minorHAnsi" w:hAnsiTheme="minorHAnsi" w:cstheme="minorHAnsi"/>
        </w:rPr>
        <w:fldChar w:fldCharType="end"/>
      </w:r>
      <w:r w:rsidRPr="0094700F">
        <w:rPr>
          <w:rFonts w:asciiTheme="minorHAnsi" w:hAnsiTheme="minorHAnsi" w:cstheme="minorHAnsi"/>
        </w:rPr>
        <w:t>. Glutathione peroxidase degrades H</w:t>
      </w:r>
      <w:r w:rsidRPr="0094700F">
        <w:rPr>
          <w:rFonts w:asciiTheme="minorHAnsi" w:hAnsiTheme="minorHAnsi" w:cstheme="minorHAnsi"/>
          <w:vertAlign w:val="subscript"/>
        </w:rPr>
        <w:t>2</w:t>
      </w:r>
      <w:r w:rsidRPr="0094700F">
        <w:rPr>
          <w:rFonts w:asciiTheme="minorHAnsi" w:hAnsiTheme="minorHAnsi" w:cstheme="minorHAnsi"/>
        </w:rPr>
        <w:t>O</w:t>
      </w:r>
      <w:r w:rsidRPr="0094700F">
        <w:rPr>
          <w:rFonts w:asciiTheme="minorHAnsi" w:hAnsiTheme="minorHAnsi" w:cstheme="minorHAnsi"/>
          <w:vertAlign w:val="subscript"/>
        </w:rPr>
        <w:t>2</w:t>
      </w:r>
      <w:r w:rsidRPr="0094700F">
        <w:rPr>
          <w:rFonts w:asciiTheme="minorHAnsi" w:hAnsiTheme="minorHAnsi" w:cstheme="minorHAnsi"/>
        </w:rPr>
        <w:t xml:space="preserve"> in the presence of glutathione (GSH), thereby depleting it. The remaining GSH is measured using Ellman's reagent (</w:t>
      </w:r>
      <w:r w:rsidRPr="0094700F">
        <w:rPr>
          <w:rFonts w:asciiTheme="minorHAnsi" w:hAnsiTheme="minorHAnsi" w:cstheme="minorHAnsi"/>
          <w:shd w:val="clear" w:color="auto" w:fill="FFFFFF"/>
        </w:rPr>
        <w:t>5,5′-dithio-</w:t>
      </w:r>
      <w:proofErr w:type="gramStart"/>
      <w:r w:rsidRPr="0094700F">
        <w:rPr>
          <w:rFonts w:asciiTheme="minorHAnsi" w:hAnsiTheme="minorHAnsi" w:cstheme="minorHAnsi"/>
          <w:shd w:val="clear" w:color="auto" w:fill="FFFFFF"/>
        </w:rPr>
        <w:t>bis(</w:t>
      </w:r>
      <w:proofErr w:type="gramEnd"/>
      <w:r w:rsidRPr="0094700F">
        <w:rPr>
          <w:rFonts w:asciiTheme="minorHAnsi" w:hAnsiTheme="minorHAnsi" w:cstheme="minorHAnsi"/>
          <w:shd w:val="clear" w:color="auto" w:fill="FFFFFF"/>
        </w:rPr>
        <w:t>2-nitrobenzoic acid) (DTNB),</w:t>
      </w:r>
      <w:r w:rsidRPr="0094700F">
        <w:rPr>
          <w:rFonts w:asciiTheme="minorHAnsi" w:hAnsiTheme="minorHAnsi" w:cstheme="minorHAnsi"/>
        </w:rPr>
        <w:t xml:space="preserve"> which gives a colored complex. </w:t>
      </w:r>
      <w:r w:rsidRPr="0094700F">
        <w:rPr>
          <w:rFonts w:asciiTheme="minorHAnsi" w:hAnsiTheme="minorHAnsi" w:cstheme="minorHAnsi"/>
          <w:bCs/>
        </w:rPr>
        <w:t xml:space="preserve">To a volume of </w:t>
      </w:r>
      <w:r w:rsidRPr="0094700F">
        <w:rPr>
          <w:rFonts w:asciiTheme="minorHAnsi" w:hAnsiTheme="minorHAnsi" w:cstheme="minorHAnsi"/>
        </w:rPr>
        <w:t xml:space="preserve">100 </w:t>
      </w:r>
      <w:proofErr w:type="spellStart"/>
      <w:r w:rsidRPr="0094700F">
        <w:rPr>
          <w:rFonts w:asciiTheme="minorHAnsi" w:hAnsiTheme="minorHAnsi" w:cstheme="minorHAnsi"/>
        </w:rPr>
        <w:t>μl</w:t>
      </w:r>
      <w:proofErr w:type="spellEnd"/>
      <w:r w:rsidRPr="0094700F">
        <w:rPr>
          <w:rFonts w:asciiTheme="minorHAnsi" w:hAnsiTheme="minorHAnsi" w:cstheme="minorHAnsi"/>
        </w:rPr>
        <w:t xml:space="preserve"> of cell lysate, 0.2 mM GSH, 0.05 mM H</w:t>
      </w:r>
      <w:r w:rsidRPr="0094700F">
        <w:rPr>
          <w:rFonts w:asciiTheme="minorHAnsi" w:hAnsiTheme="minorHAnsi" w:cstheme="minorHAnsi"/>
          <w:vertAlign w:val="subscript"/>
        </w:rPr>
        <w:t>2</w:t>
      </w:r>
      <w:r w:rsidRPr="0094700F">
        <w:rPr>
          <w:rFonts w:asciiTheme="minorHAnsi" w:hAnsiTheme="minorHAnsi" w:cstheme="minorHAnsi"/>
        </w:rPr>
        <w:t>O</w:t>
      </w:r>
      <w:r w:rsidRPr="0094700F">
        <w:rPr>
          <w:rFonts w:asciiTheme="minorHAnsi" w:hAnsiTheme="minorHAnsi" w:cstheme="minorHAnsi"/>
          <w:vertAlign w:val="subscript"/>
        </w:rPr>
        <w:t>2</w:t>
      </w:r>
      <w:r w:rsidRPr="0094700F">
        <w:rPr>
          <w:rFonts w:asciiTheme="minorHAnsi" w:hAnsiTheme="minorHAnsi" w:cstheme="minorHAnsi"/>
        </w:rPr>
        <w:t xml:space="preserve"> and 1 mM NaN</w:t>
      </w:r>
      <w:r w:rsidRPr="0094700F">
        <w:rPr>
          <w:rFonts w:asciiTheme="minorHAnsi" w:hAnsiTheme="minorHAnsi" w:cstheme="minorHAnsi"/>
          <w:vertAlign w:val="subscript"/>
        </w:rPr>
        <w:t xml:space="preserve">3 </w:t>
      </w:r>
      <w:r w:rsidRPr="0094700F">
        <w:rPr>
          <w:rFonts w:asciiTheme="minorHAnsi" w:hAnsiTheme="minorHAnsi" w:cstheme="minorHAnsi"/>
        </w:rPr>
        <w:t>were added and the volume was made up to</w:t>
      </w:r>
      <w:r w:rsidRPr="0094700F">
        <w:rPr>
          <w:rFonts w:asciiTheme="minorHAnsi" w:hAnsiTheme="minorHAnsi" w:cstheme="minorHAnsi"/>
          <w:vertAlign w:val="subscript"/>
        </w:rPr>
        <w:t xml:space="preserve"> </w:t>
      </w:r>
      <w:r w:rsidRPr="0094700F">
        <w:rPr>
          <w:rFonts w:asciiTheme="minorHAnsi" w:hAnsiTheme="minorHAnsi" w:cstheme="minorHAnsi"/>
        </w:rPr>
        <w:t>250 µl with 1M sodium phosphate buffer (pH 7.0). The reaction was incubated at 37ºC for 10 min and stopped by adding 50 µl of 25% TCA. The reaction mixture was centrifuged at 3000 rpm for 10 min and to 0.1 ml of the supernatant, 0.1 ml of 0.4 M N</w:t>
      </w:r>
      <w:r w:rsidRPr="003801B3">
        <w:rPr>
          <w:rFonts w:asciiTheme="minorHAnsi" w:hAnsiTheme="minorHAnsi" w:cstheme="minorHAnsi"/>
        </w:rPr>
        <w:t>a</w:t>
      </w:r>
      <w:r w:rsidRPr="0094700F">
        <w:rPr>
          <w:rFonts w:asciiTheme="minorHAnsi" w:hAnsiTheme="minorHAnsi" w:cstheme="minorHAnsi"/>
          <w:vertAlign w:val="subscript"/>
        </w:rPr>
        <w:t>2</w:t>
      </w:r>
      <w:r w:rsidRPr="0094700F">
        <w:rPr>
          <w:rFonts w:asciiTheme="minorHAnsi" w:hAnsiTheme="minorHAnsi" w:cstheme="minorHAnsi"/>
        </w:rPr>
        <w:t>HPO</w:t>
      </w:r>
      <w:r w:rsidRPr="0094700F">
        <w:rPr>
          <w:rFonts w:asciiTheme="minorHAnsi" w:hAnsiTheme="minorHAnsi" w:cstheme="minorHAnsi"/>
          <w:vertAlign w:val="subscript"/>
        </w:rPr>
        <w:t>4</w:t>
      </w:r>
      <w:r w:rsidRPr="0094700F">
        <w:rPr>
          <w:rFonts w:asciiTheme="minorHAnsi" w:hAnsiTheme="minorHAnsi" w:cstheme="minorHAnsi"/>
        </w:rPr>
        <w:t xml:space="preserve"> and 50 µl of 1 mM DTNB was added. The intensity of yellow color formation was measured at 412 nm after incubation at 37</w:t>
      </w:r>
      <w:r w:rsidRPr="0094700F">
        <w:rPr>
          <w:rFonts w:asciiTheme="minorHAnsi" w:hAnsiTheme="minorHAnsi" w:cstheme="minorHAnsi"/>
          <w:vertAlign w:val="superscript"/>
        </w:rPr>
        <w:t>º</w:t>
      </w:r>
      <w:r w:rsidRPr="0094700F">
        <w:rPr>
          <w:rFonts w:asciiTheme="minorHAnsi" w:hAnsiTheme="minorHAnsi" w:cstheme="minorHAnsi"/>
        </w:rPr>
        <w:t>C for 10 min. The enzyme activity was expressed as units/mg protein.</w:t>
      </w:r>
    </w:p>
    <w:p w14:paraId="1429E363" w14:textId="77777777" w:rsidR="003771E3" w:rsidRPr="0094700F" w:rsidRDefault="003771E3" w:rsidP="003771E3">
      <w:pPr>
        <w:pStyle w:val="Heading2"/>
        <w:spacing w:before="0" w:line="480" w:lineRule="auto"/>
        <w:rPr>
          <w:rFonts w:asciiTheme="minorHAnsi" w:hAnsiTheme="minorHAnsi" w:cstheme="minorHAnsi"/>
          <w:color w:val="auto"/>
          <w:sz w:val="24"/>
          <w:szCs w:val="24"/>
        </w:rPr>
      </w:pPr>
      <w:r w:rsidRPr="0094700F">
        <w:rPr>
          <w:rFonts w:asciiTheme="minorHAnsi" w:hAnsiTheme="minorHAnsi" w:cstheme="minorHAnsi"/>
          <w:color w:val="auto"/>
          <w:sz w:val="24"/>
          <w:szCs w:val="24"/>
        </w:rPr>
        <w:t>RNA extraction and quantitative RT-PCR</w:t>
      </w:r>
    </w:p>
    <w:p w14:paraId="2604F8A6" w14:textId="075A15DC" w:rsidR="003771E3" w:rsidRDefault="003771E3" w:rsidP="003771E3">
      <w:pPr>
        <w:autoSpaceDE w:val="0"/>
        <w:autoSpaceDN w:val="0"/>
        <w:adjustRightInd w:val="0"/>
        <w:spacing w:after="0" w:line="480" w:lineRule="auto"/>
        <w:rPr>
          <w:rFonts w:asciiTheme="minorHAnsi" w:hAnsiTheme="minorHAnsi" w:cstheme="minorHAnsi"/>
          <w:spacing w:val="3"/>
          <w:shd w:val="clear" w:color="auto" w:fill="FFFFFF"/>
        </w:rPr>
      </w:pPr>
      <w:r w:rsidRPr="0094700F">
        <w:rPr>
          <w:rFonts w:asciiTheme="minorHAnsi" w:hAnsiTheme="minorHAnsi" w:cstheme="minorHAnsi"/>
          <w:lang w:val="en-IN"/>
        </w:rPr>
        <w:t>For cDNA samples, the other 2 pieces of left lateral lobe were snap-frozen in liquid nitrogen and stored at -80°C until use. Total RNA was extracted from liver samples using RNA</w:t>
      </w:r>
      <w:r>
        <w:rPr>
          <w:rFonts w:asciiTheme="minorHAnsi" w:hAnsiTheme="minorHAnsi" w:cstheme="minorHAnsi"/>
          <w:lang w:val="en-IN"/>
        </w:rPr>
        <w:t xml:space="preserve"> </w:t>
      </w:r>
      <w:r w:rsidRPr="0094700F">
        <w:rPr>
          <w:rFonts w:asciiTheme="minorHAnsi" w:hAnsiTheme="minorHAnsi" w:cstheme="minorHAnsi"/>
          <w:lang w:val="en-IN"/>
        </w:rPr>
        <w:t xml:space="preserve">iso (Takara Bio, Japan) according to the manufacturer's instructions. One </w:t>
      </w:r>
      <w:proofErr w:type="spellStart"/>
      <w:r w:rsidRPr="0094700F">
        <w:rPr>
          <w:rFonts w:asciiTheme="minorHAnsi" w:hAnsiTheme="minorHAnsi" w:cstheme="minorHAnsi"/>
          <w:lang w:val="en-IN"/>
        </w:rPr>
        <w:t>μg</w:t>
      </w:r>
      <w:proofErr w:type="spellEnd"/>
      <w:r w:rsidRPr="0094700F">
        <w:rPr>
          <w:rFonts w:asciiTheme="minorHAnsi" w:hAnsiTheme="minorHAnsi" w:cstheme="minorHAnsi"/>
          <w:lang w:val="en-IN"/>
        </w:rPr>
        <w:t xml:space="preserve"> of RNA was reverse-transcribed using a reaction mixture containing 4.4 mM MgCl</w:t>
      </w:r>
      <w:r w:rsidRPr="00827B70">
        <w:rPr>
          <w:rFonts w:asciiTheme="minorHAnsi" w:hAnsiTheme="minorHAnsi" w:cstheme="minorHAnsi"/>
          <w:vertAlign w:val="subscript"/>
          <w:lang w:val="en-IN"/>
        </w:rPr>
        <w:t>2</w:t>
      </w:r>
      <w:r w:rsidRPr="0094700F">
        <w:rPr>
          <w:rFonts w:asciiTheme="minorHAnsi" w:hAnsiTheme="minorHAnsi" w:cstheme="minorHAnsi"/>
          <w:lang w:val="en-IN"/>
        </w:rPr>
        <w:t xml:space="preserve"> (F. Hoffmann-La Roche, Switzerland), 40 U RNase inhibitor (Toyobo, Japan), 0.5 mM dNTP (Promega, USA), 6.28 </w:t>
      </w:r>
      <w:proofErr w:type="spellStart"/>
      <w:r w:rsidRPr="0094700F">
        <w:rPr>
          <w:rFonts w:asciiTheme="minorHAnsi" w:hAnsiTheme="minorHAnsi" w:cstheme="minorHAnsi"/>
          <w:lang w:val="en-IN"/>
        </w:rPr>
        <w:t>μM</w:t>
      </w:r>
      <w:proofErr w:type="spellEnd"/>
      <w:r w:rsidRPr="0094700F">
        <w:rPr>
          <w:rFonts w:asciiTheme="minorHAnsi" w:hAnsiTheme="minorHAnsi" w:cstheme="minorHAnsi"/>
          <w:lang w:val="en-IN"/>
        </w:rPr>
        <w:t xml:space="preserve"> random hexamer (Promega),5 x first-strand buffer (Promega), 10 mM dithiothreitol (Invitrogen, USA) and 200 U MMLV-RT (Invitrogen) in a final volume of 20 </w:t>
      </w:r>
      <w:proofErr w:type="spellStart"/>
      <w:r w:rsidRPr="0094700F">
        <w:rPr>
          <w:rFonts w:asciiTheme="minorHAnsi" w:hAnsiTheme="minorHAnsi" w:cstheme="minorHAnsi"/>
          <w:lang w:val="en-IN"/>
        </w:rPr>
        <w:t>μL</w:t>
      </w:r>
      <w:proofErr w:type="spellEnd"/>
      <w:r w:rsidRPr="0094700F">
        <w:rPr>
          <w:rFonts w:asciiTheme="minorHAnsi" w:hAnsiTheme="minorHAnsi" w:cstheme="minorHAnsi"/>
          <w:lang w:val="en-IN"/>
        </w:rPr>
        <w:t xml:space="preserve">. The reaction was carried out for 1 hour at 37°C, followed by 5 minutes at 99°C. The samples were frozen in liquid nitrogen and stored at -80°C until use. </w:t>
      </w:r>
      <w:r w:rsidRPr="0094700F">
        <w:rPr>
          <w:rFonts w:asciiTheme="minorHAnsi" w:hAnsiTheme="minorHAnsi" w:cstheme="minorHAnsi"/>
        </w:rPr>
        <w:t>Quantitative real-time PCR (</w:t>
      </w:r>
      <w:proofErr w:type="spellStart"/>
      <w:r w:rsidRPr="0094700F">
        <w:rPr>
          <w:rFonts w:asciiTheme="minorHAnsi" w:hAnsiTheme="minorHAnsi" w:cstheme="minorHAnsi"/>
        </w:rPr>
        <w:t>qRT</w:t>
      </w:r>
      <w:proofErr w:type="spellEnd"/>
      <w:r w:rsidRPr="0094700F">
        <w:rPr>
          <w:rFonts w:asciiTheme="minorHAnsi" w:hAnsiTheme="minorHAnsi" w:cstheme="minorHAnsi"/>
        </w:rPr>
        <w:t xml:space="preserve">-PCR) was performed with SYBR Green I fluorescent dye using Light cycler 96 according to the </w:t>
      </w:r>
      <w:r w:rsidRPr="0094700F">
        <w:rPr>
          <w:rFonts w:asciiTheme="minorHAnsi" w:hAnsiTheme="minorHAnsi" w:cstheme="minorHAnsi"/>
          <w:shd w:val="clear" w:color="auto" w:fill="FFFFFF"/>
        </w:rPr>
        <w:t>manufacturer’s instructions (Light Cycler</w:t>
      </w:r>
      <w:r w:rsidRPr="0094700F">
        <w:rPr>
          <w:rFonts w:asciiTheme="minorHAnsi" w:hAnsiTheme="minorHAnsi" w:cstheme="minorHAnsi"/>
          <w:shd w:val="clear" w:color="auto" w:fill="FFFFFF"/>
          <w:vertAlign w:val="superscript"/>
        </w:rPr>
        <w:t>®</w:t>
      </w:r>
      <w:r>
        <w:rPr>
          <w:rFonts w:asciiTheme="minorHAnsi" w:hAnsiTheme="minorHAnsi" w:cstheme="minorHAnsi"/>
          <w:shd w:val="clear" w:color="auto" w:fill="FFFFFF"/>
          <w:vertAlign w:val="superscript"/>
        </w:rPr>
        <w:t xml:space="preserve"> </w:t>
      </w:r>
      <w:r w:rsidRPr="0094700F">
        <w:rPr>
          <w:rFonts w:asciiTheme="minorHAnsi" w:hAnsiTheme="minorHAnsi" w:cstheme="minorHAnsi"/>
          <w:shd w:val="clear" w:color="auto" w:fill="FFFFFF"/>
        </w:rPr>
        <w:t>FastStart DNA Master SYBR Green I, Roche). The primers used for the analysis are provided in Supplementary Table 1. Expression levels for all genes were normalized to β-actin gene amplification.</w:t>
      </w:r>
      <w:r w:rsidRPr="0094700F">
        <w:rPr>
          <w:rFonts w:asciiTheme="minorHAnsi" w:hAnsiTheme="minorHAnsi" w:cstheme="minorHAnsi"/>
          <w:spacing w:val="3"/>
          <w:shd w:val="clear" w:color="auto" w:fill="FFFFFF"/>
        </w:rPr>
        <w:t xml:space="preserve"> The gene expression of the target </w:t>
      </w:r>
      <w:r w:rsidRPr="0094700F">
        <w:rPr>
          <w:rFonts w:asciiTheme="minorHAnsi" w:hAnsiTheme="minorHAnsi" w:cstheme="minorHAnsi"/>
          <w:spacing w:val="3"/>
          <w:shd w:val="clear" w:color="auto" w:fill="FFFFFF"/>
        </w:rPr>
        <w:lastRenderedPageBreak/>
        <w:t>gene in each test sample was determined by relative quantification using the comparative Ct (</w:t>
      </w:r>
      <w:proofErr w:type="spellStart"/>
      <w:r w:rsidRPr="0094700F">
        <w:rPr>
          <w:rFonts w:asciiTheme="minorHAnsi" w:hAnsiTheme="minorHAnsi" w:cstheme="minorHAnsi"/>
          <w:spacing w:val="3"/>
          <w:shd w:val="clear" w:color="auto" w:fill="FFFFFF"/>
        </w:rPr>
        <w:t>ΔΔCt</w:t>
      </w:r>
      <w:proofErr w:type="spellEnd"/>
      <w:r w:rsidRPr="0094700F">
        <w:rPr>
          <w:rFonts w:asciiTheme="minorHAnsi" w:hAnsiTheme="minorHAnsi" w:cstheme="minorHAnsi"/>
          <w:spacing w:val="3"/>
          <w:shd w:val="clear" w:color="auto" w:fill="FFFFFF"/>
        </w:rPr>
        <w:t>) method.</w:t>
      </w:r>
    </w:p>
    <w:p w14:paraId="3614026C" w14:textId="77777777" w:rsidR="00612411" w:rsidRDefault="00612411" w:rsidP="00612411">
      <w:pPr>
        <w:spacing w:after="0" w:line="480" w:lineRule="auto"/>
        <w:rPr>
          <w:rFonts w:ascii="Times New Roman" w:hAnsi="Times New Roman" w:cs="Times New Roman"/>
          <w:b/>
          <w:lang w:val="en-IN"/>
        </w:rPr>
      </w:pPr>
      <w:r>
        <w:rPr>
          <w:rFonts w:ascii="Times New Roman" w:hAnsi="Times New Roman" w:cs="Times New Roman"/>
          <w:b/>
          <w:lang w:val="en-IN"/>
        </w:rPr>
        <w:t xml:space="preserve">Table </w:t>
      </w:r>
      <w:proofErr w:type="gramStart"/>
      <w:r>
        <w:rPr>
          <w:rFonts w:ascii="Times New Roman" w:hAnsi="Times New Roman" w:cs="Times New Roman"/>
          <w:b/>
          <w:lang w:val="en-IN"/>
        </w:rPr>
        <w:t>1  List</w:t>
      </w:r>
      <w:proofErr w:type="gramEnd"/>
      <w:r>
        <w:rPr>
          <w:rFonts w:ascii="Times New Roman" w:hAnsi="Times New Roman" w:cs="Times New Roman"/>
          <w:b/>
          <w:lang w:val="en-IN"/>
        </w:rPr>
        <w:t xml:space="preserve"> of Primers</w:t>
      </w:r>
    </w:p>
    <w:tbl>
      <w:tblPr>
        <w:tblW w:w="91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1984"/>
        <w:gridCol w:w="4606"/>
        <w:gridCol w:w="1551"/>
      </w:tblGrid>
      <w:tr w:rsidR="00612411" w:rsidRPr="00226753" w14:paraId="25223675" w14:textId="77777777" w:rsidTr="003933D5">
        <w:trPr>
          <w:trHeight w:val="454"/>
        </w:trPr>
        <w:tc>
          <w:tcPr>
            <w:tcW w:w="1008" w:type="dxa"/>
            <w:vAlign w:val="center"/>
          </w:tcPr>
          <w:p w14:paraId="38ADC7CB" w14:textId="77777777" w:rsidR="00612411" w:rsidRPr="00226753" w:rsidRDefault="00612411" w:rsidP="003933D5">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 No</w:t>
            </w:r>
          </w:p>
        </w:tc>
        <w:tc>
          <w:tcPr>
            <w:tcW w:w="1984" w:type="dxa"/>
            <w:shd w:val="clear" w:color="auto" w:fill="auto"/>
            <w:noWrap/>
            <w:vAlign w:val="center"/>
            <w:hideMark/>
          </w:tcPr>
          <w:p w14:paraId="7DD6996C" w14:textId="77777777" w:rsidR="00612411" w:rsidRPr="00226753" w:rsidRDefault="00612411" w:rsidP="003933D5">
            <w:pPr>
              <w:spacing w:after="0" w:line="240" w:lineRule="auto"/>
              <w:jc w:val="center"/>
              <w:rPr>
                <w:rFonts w:ascii="Times New Roman" w:eastAsia="Times New Roman" w:hAnsi="Times New Roman" w:cs="Times New Roman"/>
                <w:b/>
                <w:color w:val="000000"/>
              </w:rPr>
            </w:pPr>
            <w:r w:rsidRPr="00226753">
              <w:rPr>
                <w:rFonts w:ascii="Times New Roman" w:eastAsia="Times New Roman" w:hAnsi="Times New Roman" w:cs="Times New Roman"/>
                <w:b/>
                <w:color w:val="000000"/>
              </w:rPr>
              <w:t>Oligo Name</w:t>
            </w:r>
          </w:p>
        </w:tc>
        <w:tc>
          <w:tcPr>
            <w:tcW w:w="4606" w:type="dxa"/>
            <w:shd w:val="clear" w:color="auto" w:fill="auto"/>
            <w:noWrap/>
            <w:vAlign w:val="center"/>
            <w:hideMark/>
          </w:tcPr>
          <w:p w14:paraId="2CC8CCE8" w14:textId="77777777" w:rsidR="00612411" w:rsidRPr="00226753" w:rsidRDefault="00612411" w:rsidP="003933D5">
            <w:pPr>
              <w:spacing w:after="0" w:line="240" w:lineRule="auto"/>
              <w:jc w:val="center"/>
              <w:rPr>
                <w:rFonts w:ascii="Times New Roman" w:eastAsia="Times New Roman" w:hAnsi="Times New Roman" w:cs="Times New Roman"/>
                <w:b/>
                <w:color w:val="000000"/>
              </w:rPr>
            </w:pPr>
            <w:r w:rsidRPr="00226753">
              <w:rPr>
                <w:rFonts w:ascii="Times New Roman" w:eastAsia="Times New Roman" w:hAnsi="Times New Roman" w:cs="Times New Roman"/>
                <w:b/>
                <w:color w:val="000000"/>
              </w:rPr>
              <w:t>Seq</w:t>
            </w:r>
            <w:r>
              <w:rPr>
                <w:rFonts w:ascii="Times New Roman" w:eastAsia="Times New Roman" w:hAnsi="Times New Roman" w:cs="Times New Roman"/>
                <w:b/>
                <w:color w:val="000000"/>
              </w:rPr>
              <w:t>uence</w:t>
            </w:r>
            <w:r w:rsidRPr="00226753">
              <w:rPr>
                <w:rFonts w:ascii="Times New Roman" w:eastAsia="Times New Roman" w:hAnsi="Times New Roman" w:cs="Times New Roman"/>
                <w:b/>
                <w:color w:val="000000"/>
              </w:rPr>
              <w:t xml:space="preserve"> 5’ to 3’</w:t>
            </w:r>
          </w:p>
        </w:tc>
        <w:tc>
          <w:tcPr>
            <w:tcW w:w="1551" w:type="dxa"/>
            <w:shd w:val="clear" w:color="auto" w:fill="auto"/>
            <w:noWrap/>
            <w:vAlign w:val="center"/>
            <w:hideMark/>
          </w:tcPr>
          <w:p w14:paraId="2E699FBF" w14:textId="77777777" w:rsidR="00612411" w:rsidRPr="00226753" w:rsidRDefault="00612411" w:rsidP="003933D5">
            <w:pPr>
              <w:spacing w:after="0" w:line="240" w:lineRule="auto"/>
              <w:jc w:val="center"/>
              <w:rPr>
                <w:rFonts w:ascii="Times New Roman" w:eastAsia="Times New Roman" w:hAnsi="Times New Roman" w:cs="Times New Roman"/>
                <w:b/>
                <w:color w:val="000000"/>
              </w:rPr>
            </w:pPr>
            <w:r w:rsidRPr="00226753">
              <w:rPr>
                <w:rFonts w:ascii="Times New Roman" w:eastAsia="Times New Roman" w:hAnsi="Times New Roman" w:cs="Times New Roman"/>
                <w:b/>
                <w:color w:val="000000"/>
              </w:rPr>
              <w:t>Length</w:t>
            </w:r>
          </w:p>
        </w:tc>
      </w:tr>
      <w:tr w:rsidR="00612411" w:rsidRPr="00226753" w14:paraId="19FE3E05" w14:textId="77777777" w:rsidTr="003933D5">
        <w:trPr>
          <w:trHeight w:val="454"/>
        </w:trPr>
        <w:tc>
          <w:tcPr>
            <w:tcW w:w="1008" w:type="dxa"/>
            <w:vMerge w:val="restart"/>
            <w:vAlign w:val="center"/>
          </w:tcPr>
          <w:p w14:paraId="2C8FF8B4" w14:textId="77777777" w:rsidR="00612411" w:rsidRDefault="00612411" w:rsidP="003933D5">
            <w:pPr>
              <w:spacing w:after="0" w:line="240" w:lineRule="auto"/>
              <w:jc w:val="center"/>
              <w:rPr>
                <w:rFonts w:ascii="Times New Roman" w:eastAsia="Times New Roman" w:hAnsi="Times New Roman" w:cs="Times New Roman"/>
                <w:color w:val="000000"/>
              </w:rPr>
            </w:pPr>
          </w:p>
          <w:p w14:paraId="2A44CED5"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84" w:type="dxa"/>
            <w:shd w:val="clear" w:color="auto" w:fill="auto"/>
            <w:noWrap/>
            <w:vAlign w:val="center"/>
            <w:hideMark/>
          </w:tcPr>
          <w:p w14:paraId="2CBF991F"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TNα F</w:t>
            </w:r>
          </w:p>
        </w:tc>
        <w:tc>
          <w:tcPr>
            <w:tcW w:w="4606" w:type="dxa"/>
            <w:shd w:val="clear" w:color="auto" w:fill="auto"/>
            <w:noWrap/>
            <w:vAlign w:val="bottom"/>
            <w:hideMark/>
          </w:tcPr>
          <w:p w14:paraId="4D6208A3"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CACAGAAAGCATGATCCGCGACGT</w:t>
            </w:r>
          </w:p>
        </w:tc>
        <w:tc>
          <w:tcPr>
            <w:tcW w:w="1551" w:type="dxa"/>
            <w:shd w:val="clear" w:color="auto" w:fill="auto"/>
            <w:noWrap/>
            <w:vAlign w:val="bottom"/>
            <w:hideMark/>
          </w:tcPr>
          <w:p w14:paraId="44F22EE7"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24</w:t>
            </w:r>
          </w:p>
        </w:tc>
      </w:tr>
      <w:tr w:rsidR="00612411" w:rsidRPr="00226753" w14:paraId="51D1804E" w14:textId="77777777" w:rsidTr="003933D5">
        <w:trPr>
          <w:trHeight w:val="454"/>
        </w:trPr>
        <w:tc>
          <w:tcPr>
            <w:tcW w:w="1008" w:type="dxa"/>
            <w:vMerge/>
            <w:vAlign w:val="center"/>
          </w:tcPr>
          <w:p w14:paraId="499E0116" w14:textId="77777777" w:rsidR="00612411" w:rsidRPr="00226753" w:rsidRDefault="00612411" w:rsidP="003933D5">
            <w:pPr>
              <w:spacing w:after="0" w:line="240" w:lineRule="auto"/>
              <w:jc w:val="center"/>
              <w:rPr>
                <w:rFonts w:ascii="Times New Roman" w:eastAsia="Times New Roman" w:hAnsi="Times New Roman" w:cs="Times New Roman"/>
                <w:color w:val="000000"/>
              </w:rPr>
            </w:pPr>
          </w:p>
        </w:tc>
        <w:tc>
          <w:tcPr>
            <w:tcW w:w="1984" w:type="dxa"/>
            <w:shd w:val="clear" w:color="auto" w:fill="auto"/>
            <w:noWrap/>
            <w:vAlign w:val="center"/>
            <w:hideMark/>
          </w:tcPr>
          <w:p w14:paraId="4D9C7678"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TNα R</w:t>
            </w:r>
          </w:p>
        </w:tc>
        <w:tc>
          <w:tcPr>
            <w:tcW w:w="4606" w:type="dxa"/>
            <w:shd w:val="clear" w:color="auto" w:fill="auto"/>
            <w:noWrap/>
            <w:vAlign w:val="bottom"/>
            <w:hideMark/>
          </w:tcPr>
          <w:p w14:paraId="0679AC65"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CGGCAGAGAGGAGGTTGACTTTCT</w:t>
            </w:r>
          </w:p>
        </w:tc>
        <w:tc>
          <w:tcPr>
            <w:tcW w:w="1551" w:type="dxa"/>
            <w:shd w:val="clear" w:color="auto" w:fill="auto"/>
            <w:noWrap/>
            <w:vAlign w:val="bottom"/>
            <w:hideMark/>
          </w:tcPr>
          <w:p w14:paraId="04D74728"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24</w:t>
            </w:r>
          </w:p>
        </w:tc>
      </w:tr>
      <w:tr w:rsidR="00612411" w:rsidRPr="00226753" w14:paraId="4D52F180" w14:textId="77777777" w:rsidTr="003933D5">
        <w:trPr>
          <w:trHeight w:val="454"/>
        </w:trPr>
        <w:tc>
          <w:tcPr>
            <w:tcW w:w="1008" w:type="dxa"/>
            <w:vMerge w:val="restart"/>
            <w:vAlign w:val="center"/>
          </w:tcPr>
          <w:p w14:paraId="6D3401B5"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84" w:type="dxa"/>
            <w:shd w:val="clear" w:color="auto" w:fill="auto"/>
            <w:noWrap/>
            <w:vAlign w:val="center"/>
            <w:hideMark/>
          </w:tcPr>
          <w:p w14:paraId="7F3260A1"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 xml:space="preserve">m </w:t>
            </w:r>
            <w:proofErr w:type="spellStart"/>
            <w:r w:rsidRPr="00226753">
              <w:rPr>
                <w:rFonts w:ascii="Times New Roman" w:eastAsia="Times New Roman" w:hAnsi="Times New Roman" w:cs="Times New Roman"/>
                <w:color w:val="000000"/>
              </w:rPr>
              <w:t>NFκB</w:t>
            </w:r>
            <w:proofErr w:type="spellEnd"/>
            <w:r w:rsidRPr="00226753">
              <w:rPr>
                <w:rFonts w:ascii="Times New Roman" w:eastAsia="Times New Roman" w:hAnsi="Times New Roman" w:cs="Times New Roman"/>
                <w:color w:val="000000"/>
              </w:rPr>
              <w:t xml:space="preserve"> F</w:t>
            </w:r>
          </w:p>
        </w:tc>
        <w:tc>
          <w:tcPr>
            <w:tcW w:w="4606" w:type="dxa"/>
            <w:shd w:val="clear" w:color="auto" w:fill="auto"/>
            <w:noWrap/>
            <w:vAlign w:val="bottom"/>
            <w:hideMark/>
          </w:tcPr>
          <w:p w14:paraId="4AB205A3"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GAAATTCCTGATCCAGACAAAAAC</w:t>
            </w:r>
          </w:p>
        </w:tc>
        <w:tc>
          <w:tcPr>
            <w:tcW w:w="1551" w:type="dxa"/>
            <w:shd w:val="clear" w:color="auto" w:fill="auto"/>
            <w:noWrap/>
            <w:vAlign w:val="bottom"/>
            <w:hideMark/>
          </w:tcPr>
          <w:p w14:paraId="2A8F0F84"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24</w:t>
            </w:r>
          </w:p>
        </w:tc>
      </w:tr>
      <w:tr w:rsidR="00612411" w:rsidRPr="00226753" w14:paraId="72D2A84C" w14:textId="77777777" w:rsidTr="003933D5">
        <w:trPr>
          <w:trHeight w:val="454"/>
        </w:trPr>
        <w:tc>
          <w:tcPr>
            <w:tcW w:w="1008" w:type="dxa"/>
            <w:vMerge/>
            <w:vAlign w:val="center"/>
          </w:tcPr>
          <w:p w14:paraId="02079E56" w14:textId="77777777" w:rsidR="00612411" w:rsidRPr="00226753" w:rsidRDefault="00612411" w:rsidP="003933D5">
            <w:pPr>
              <w:spacing w:after="0" w:line="240" w:lineRule="auto"/>
              <w:jc w:val="center"/>
              <w:rPr>
                <w:rFonts w:ascii="Times New Roman" w:eastAsia="Times New Roman" w:hAnsi="Times New Roman" w:cs="Times New Roman"/>
                <w:color w:val="000000"/>
              </w:rPr>
            </w:pPr>
          </w:p>
        </w:tc>
        <w:tc>
          <w:tcPr>
            <w:tcW w:w="1984" w:type="dxa"/>
            <w:shd w:val="clear" w:color="auto" w:fill="auto"/>
            <w:noWrap/>
            <w:vAlign w:val="center"/>
            <w:hideMark/>
          </w:tcPr>
          <w:p w14:paraId="7951ECC1"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 xml:space="preserve">m </w:t>
            </w:r>
            <w:proofErr w:type="spellStart"/>
            <w:r w:rsidRPr="00226753">
              <w:rPr>
                <w:rFonts w:ascii="Times New Roman" w:eastAsia="Times New Roman" w:hAnsi="Times New Roman" w:cs="Times New Roman"/>
                <w:color w:val="000000"/>
              </w:rPr>
              <w:t>NFκB</w:t>
            </w:r>
            <w:proofErr w:type="spellEnd"/>
            <w:r w:rsidRPr="00226753">
              <w:rPr>
                <w:rFonts w:ascii="Times New Roman" w:eastAsia="Times New Roman" w:hAnsi="Times New Roman" w:cs="Times New Roman"/>
                <w:color w:val="000000"/>
              </w:rPr>
              <w:t xml:space="preserve"> R</w:t>
            </w:r>
          </w:p>
        </w:tc>
        <w:tc>
          <w:tcPr>
            <w:tcW w:w="4606" w:type="dxa"/>
            <w:shd w:val="clear" w:color="auto" w:fill="auto"/>
            <w:noWrap/>
            <w:vAlign w:val="bottom"/>
            <w:hideMark/>
          </w:tcPr>
          <w:p w14:paraId="56F4AC10"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ATCACTTCAATGGCCTCTGTGTAG</w:t>
            </w:r>
          </w:p>
        </w:tc>
        <w:tc>
          <w:tcPr>
            <w:tcW w:w="1551" w:type="dxa"/>
            <w:shd w:val="clear" w:color="auto" w:fill="auto"/>
            <w:noWrap/>
            <w:vAlign w:val="bottom"/>
            <w:hideMark/>
          </w:tcPr>
          <w:p w14:paraId="0379CDA3"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24</w:t>
            </w:r>
          </w:p>
        </w:tc>
      </w:tr>
      <w:tr w:rsidR="00612411" w:rsidRPr="00226753" w14:paraId="63B180D3" w14:textId="77777777" w:rsidTr="003933D5">
        <w:trPr>
          <w:trHeight w:val="454"/>
        </w:trPr>
        <w:tc>
          <w:tcPr>
            <w:tcW w:w="1008" w:type="dxa"/>
            <w:vMerge w:val="restart"/>
            <w:vAlign w:val="center"/>
          </w:tcPr>
          <w:p w14:paraId="168F73C2"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984" w:type="dxa"/>
            <w:shd w:val="clear" w:color="auto" w:fill="auto"/>
            <w:noWrap/>
            <w:vAlign w:val="center"/>
            <w:hideMark/>
          </w:tcPr>
          <w:p w14:paraId="18588E9A"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MCP-1 F</w:t>
            </w:r>
          </w:p>
        </w:tc>
        <w:tc>
          <w:tcPr>
            <w:tcW w:w="4606" w:type="dxa"/>
            <w:shd w:val="clear" w:color="auto" w:fill="auto"/>
            <w:noWrap/>
            <w:vAlign w:val="bottom"/>
            <w:hideMark/>
          </w:tcPr>
          <w:p w14:paraId="18637B78"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GCATCCACGTGTTGGCTCA</w:t>
            </w:r>
          </w:p>
        </w:tc>
        <w:tc>
          <w:tcPr>
            <w:tcW w:w="1551" w:type="dxa"/>
            <w:shd w:val="clear" w:color="auto" w:fill="auto"/>
            <w:noWrap/>
            <w:vAlign w:val="bottom"/>
            <w:hideMark/>
          </w:tcPr>
          <w:p w14:paraId="3B84760C"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19</w:t>
            </w:r>
          </w:p>
        </w:tc>
      </w:tr>
      <w:tr w:rsidR="00612411" w:rsidRPr="00226753" w14:paraId="1979096F" w14:textId="77777777" w:rsidTr="003933D5">
        <w:trPr>
          <w:trHeight w:val="454"/>
        </w:trPr>
        <w:tc>
          <w:tcPr>
            <w:tcW w:w="1008" w:type="dxa"/>
            <w:vMerge/>
            <w:vAlign w:val="center"/>
          </w:tcPr>
          <w:p w14:paraId="2BA81005" w14:textId="77777777" w:rsidR="00612411" w:rsidRPr="00226753" w:rsidRDefault="00612411" w:rsidP="003933D5">
            <w:pPr>
              <w:spacing w:after="0" w:line="240" w:lineRule="auto"/>
              <w:jc w:val="center"/>
              <w:rPr>
                <w:rFonts w:ascii="Times New Roman" w:eastAsia="Times New Roman" w:hAnsi="Times New Roman" w:cs="Times New Roman"/>
                <w:color w:val="000000"/>
              </w:rPr>
            </w:pPr>
          </w:p>
        </w:tc>
        <w:tc>
          <w:tcPr>
            <w:tcW w:w="1984" w:type="dxa"/>
            <w:shd w:val="clear" w:color="auto" w:fill="auto"/>
            <w:noWrap/>
            <w:vAlign w:val="center"/>
            <w:hideMark/>
          </w:tcPr>
          <w:p w14:paraId="697B62D6"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MCP-1 R</w:t>
            </w:r>
          </w:p>
        </w:tc>
        <w:tc>
          <w:tcPr>
            <w:tcW w:w="4606" w:type="dxa"/>
            <w:shd w:val="clear" w:color="auto" w:fill="auto"/>
            <w:noWrap/>
            <w:vAlign w:val="bottom"/>
            <w:hideMark/>
          </w:tcPr>
          <w:p w14:paraId="3D8B8F79"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CTCCAGCCTACTCATTGGGATCA</w:t>
            </w:r>
          </w:p>
        </w:tc>
        <w:tc>
          <w:tcPr>
            <w:tcW w:w="1551" w:type="dxa"/>
            <w:shd w:val="clear" w:color="auto" w:fill="auto"/>
            <w:noWrap/>
            <w:vAlign w:val="bottom"/>
            <w:hideMark/>
          </w:tcPr>
          <w:p w14:paraId="2E0BE5BB"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23</w:t>
            </w:r>
          </w:p>
        </w:tc>
      </w:tr>
      <w:tr w:rsidR="00612411" w:rsidRPr="00226753" w14:paraId="5030477A" w14:textId="77777777" w:rsidTr="003933D5">
        <w:trPr>
          <w:trHeight w:val="454"/>
        </w:trPr>
        <w:tc>
          <w:tcPr>
            <w:tcW w:w="1008" w:type="dxa"/>
            <w:vMerge w:val="restart"/>
            <w:vAlign w:val="center"/>
          </w:tcPr>
          <w:p w14:paraId="536B9A46"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84" w:type="dxa"/>
            <w:shd w:val="clear" w:color="auto" w:fill="auto"/>
            <w:noWrap/>
            <w:vAlign w:val="center"/>
            <w:hideMark/>
          </w:tcPr>
          <w:p w14:paraId="620A5D0C"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CRP F</w:t>
            </w:r>
          </w:p>
        </w:tc>
        <w:tc>
          <w:tcPr>
            <w:tcW w:w="4606" w:type="dxa"/>
            <w:shd w:val="clear" w:color="auto" w:fill="auto"/>
            <w:noWrap/>
            <w:vAlign w:val="bottom"/>
            <w:hideMark/>
          </w:tcPr>
          <w:p w14:paraId="42A08B99"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TGGATTGATGGGAAACCCAA</w:t>
            </w:r>
          </w:p>
        </w:tc>
        <w:tc>
          <w:tcPr>
            <w:tcW w:w="1551" w:type="dxa"/>
            <w:shd w:val="clear" w:color="auto" w:fill="auto"/>
            <w:noWrap/>
            <w:vAlign w:val="bottom"/>
            <w:hideMark/>
          </w:tcPr>
          <w:p w14:paraId="24183830"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20</w:t>
            </w:r>
          </w:p>
        </w:tc>
      </w:tr>
      <w:tr w:rsidR="00612411" w:rsidRPr="00226753" w14:paraId="381F0B72" w14:textId="77777777" w:rsidTr="003933D5">
        <w:trPr>
          <w:trHeight w:val="454"/>
        </w:trPr>
        <w:tc>
          <w:tcPr>
            <w:tcW w:w="1008" w:type="dxa"/>
            <w:vMerge/>
            <w:vAlign w:val="center"/>
          </w:tcPr>
          <w:p w14:paraId="6732FC71" w14:textId="77777777" w:rsidR="00612411" w:rsidRPr="00226753" w:rsidRDefault="00612411" w:rsidP="003933D5">
            <w:pPr>
              <w:spacing w:after="0" w:line="240" w:lineRule="auto"/>
              <w:jc w:val="center"/>
              <w:rPr>
                <w:rFonts w:ascii="Times New Roman" w:eastAsia="Times New Roman" w:hAnsi="Times New Roman" w:cs="Times New Roman"/>
                <w:color w:val="000000"/>
              </w:rPr>
            </w:pPr>
          </w:p>
        </w:tc>
        <w:tc>
          <w:tcPr>
            <w:tcW w:w="1984" w:type="dxa"/>
            <w:shd w:val="clear" w:color="auto" w:fill="auto"/>
            <w:noWrap/>
            <w:vAlign w:val="center"/>
            <w:hideMark/>
          </w:tcPr>
          <w:p w14:paraId="2A0B7530"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CRP R</w:t>
            </w:r>
          </w:p>
        </w:tc>
        <w:tc>
          <w:tcPr>
            <w:tcW w:w="4606" w:type="dxa"/>
            <w:shd w:val="clear" w:color="auto" w:fill="auto"/>
            <w:noWrap/>
            <w:vAlign w:val="bottom"/>
            <w:hideMark/>
          </w:tcPr>
          <w:p w14:paraId="149B68C3"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GCATCTGGCCCCACAGTG</w:t>
            </w:r>
          </w:p>
        </w:tc>
        <w:tc>
          <w:tcPr>
            <w:tcW w:w="1551" w:type="dxa"/>
            <w:shd w:val="clear" w:color="auto" w:fill="auto"/>
            <w:noWrap/>
            <w:vAlign w:val="bottom"/>
            <w:hideMark/>
          </w:tcPr>
          <w:p w14:paraId="290ECEC4"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18</w:t>
            </w:r>
          </w:p>
        </w:tc>
      </w:tr>
      <w:tr w:rsidR="00612411" w:rsidRPr="00226753" w14:paraId="12766AC2" w14:textId="77777777" w:rsidTr="003933D5">
        <w:trPr>
          <w:trHeight w:val="454"/>
        </w:trPr>
        <w:tc>
          <w:tcPr>
            <w:tcW w:w="1008" w:type="dxa"/>
            <w:vMerge w:val="restart"/>
            <w:vAlign w:val="center"/>
          </w:tcPr>
          <w:p w14:paraId="1A06F0E1"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984" w:type="dxa"/>
            <w:shd w:val="clear" w:color="auto" w:fill="auto"/>
            <w:noWrap/>
            <w:vAlign w:val="center"/>
            <w:hideMark/>
          </w:tcPr>
          <w:p w14:paraId="1753A0C3"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 xml:space="preserve">m </w:t>
            </w:r>
            <w:r>
              <w:rPr>
                <w:rFonts w:ascii="Times New Roman" w:eastAsia="Times New Roman" w:hAnsi="Times New Roman" w:cs="Times New Roman"/>
                <w:color w:val="000000"/>
              </w:rPr>
              <w:t>A</w:t>
            </w:r>
            <w:r w:rsidRPr="00226753">
              <w:rPr>
                <w:rFonts w:ascii="Times New Roman" w:eastAsia="Times New Roman" w:hAnsi="Times New Roman" w:cs="Times New Roman"/>
                <w:color w:val="000000"/>
              </w:rPr>
              <w:t>rginase I F</w:t>
            </w:r>
          </w:p>
        </w:tc>
        <w:tc>
          <w:tcPr>
            <w:tcW w:w="4606" w:type="dxa"/>
            <w:shd w:val="clear" w:color="auto" w:fill="auto"/>
            <w:noWrap/>
            <w:vAlign w:val="bottom"/>
            <w:hideMark/>
          </w:tcPr>
          <w:p w14:paraId="7E4B1514"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TGGCTTTAACCTTGGCTTGCTTCG</w:t>
            </w:r>
          </w:p>
        </w:tc>
        <w:tc>
          <w:tcPr>
            <w:tcW w:w="1551" w:type="dxa"/>
            <w:shd w:val="clear" w:color="auto" w:fill="auto"/>
            <w:noWrap/>
            <w:vAlign w:val="bottom"/>
            <w:hideMark/>
          </w:tcPr>
          <w:p w14:paraId="2174A1F8"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24</w:t>
            </w:r>
          </w:p>
        </w:tc>
      </w:tr>
      <w:tr w:rsidR="00612411" w:rsidRPr="00226753" w14:paraId="16F57A0A" w14:textId="77777777" w:rsidTr="003933D5">
        <w:trPr>
          <w:trHeight w:val="454"/>
        </w:trPr>
        <w:tc>
          <w:tcPr>
            <w:tcW w:w="1008" w:type="dxa"/>
            <w:vMerge/>
            <w:vAlign w:val="center"/>
          </w:tcPr>
          <w:p w14:paraId="63EA48C6" w14:textId="77777777" w:rsidR="00612411" w:rsidRPr="00226753" w:rsidRDefault="00612411" w:rsidP="003933D5">
            <w:pPr>
              <w:spacing w:after="0" w:line="240" w:lineRule="auto"/>
              <w:jc w:val="center"/>
              <w:rPr>
                <w:rFonts w:ascii="Times New Roman" w:eastAsia="Times New Roman" w:hAnsi="Times New Roman" w:cs="Times New Roman"/>
                <w:color w:val="000000"/>
              </w:rPr>
            </w:pPr>
          </w:p>
        </w:tc>
        <w:tc>
          <w:tcPr>
            <w:tcW w:w="1984" w:type="dxa"/>
            <w:shd w:val="clear" w:color="auto" w:fill="auto"/>
            <w:noWrap/>
            <w:vAlign w:val="center"/>
            <w:hideMark/>
          </w:tcPr>
          <w:p w14:paraId="2DF6CBE4"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 xml:space="preserve">m </w:t>
            </w:r>
            <w:r>
              <w:rPr>
                <w:rFonts w:ascii="Times New Roman" w:eastAsia="Times New Roman" w:hAnsi="Times New Roman" w:cs="Times New Roman"/>
                <w:color w:val="000000"/>
              </w:rPr>
              <w:t>A</w:t>
            </w:r>
            <w:r w:rsidRPr="00226753">
              <w:rPr>
                <w:rFonts w:ascii="Times New Roman" w:eastAsia="Times New Roman" w:hAnsi="Times New Roman" w:cs="Times New Roman"/>
                <w:color w:val="000000"/>
              </w:rPr>
              <w:t>rginase I R</w:t>
            </w:r>
          </w:p>
        </w:tc>
        <w:tc>
          <w:tcPr>
            <w:tcW w:w="4606" w:type="dxa"/>
            <w:shd w:val="clear" w:color="auto" w:fill="auto"/>
            <w:noWrap/>
            <w:vAlign w:val="bottom"/>
            <w:hideMark/>
          </w:tcPr>
          <w:p w14:paraId="6FF8BC3F"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AAAGAACAAGCCCTTGGGAGGAGA</w:t>
            </w:r>
          </w:p>
        </w:tc>
        <w:tc>
          <w:tcPr>
            <w:tcW w:w="1551" w:type="dxa"/>
            <w:shd w:val="clear" w:color="auto" w:fill="auto"/>
            <w:noWrap/>
            <w:vAlign w:val="bottom"/>
            <w:hideMark/>
          </w:tcPr>
          <w:p w14:paraId="345AB599"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24</w:t>
            </w:r>
          </w:p>
        </w:tc>
      </w:tr>
      <w:tr w:rsidR="00612411" w:rsidRPr="00226753" w14:paraId="479062F4" w14:textId="77777777" w:rsidTr="003933D5">
        <w:trPr>
          <w:trHeight w:val="454"/>
        </w:trPr>
        <w:tc>
          <w:tcPr>
            <w:tcW w:w="1008" w:type="dxa"/>
            <w:vMerge w:val="restart"/>
            <w:vAlign w:val="center"/>
          </w:tcPr>
          <w:p w14:paraId="625781BC"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984" w:type="dxa"/>
            <w:shd w:val="clear" w:color="auto" w:fill="auto"/>
            <w:noWrap/>
            <w:vAlign w:val="center"/>
            <w:hideMark/>
          </w:tcPr>
          <w:p w14:paraId="5218FAAA"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 Col</w:t>
            </w:r>
            <w:r w:rsidRPr="00226753">
              <w:rPr>
                <w:rFonts w:ascii="Times New Roman" w:eastAsia="Times New Roman" w:hAnsi="Times New Roman" w:cs="Times New Roman"/>
                <w:color w:val="000000"/>
              </w:rPr>
              <w:t>a1 F</w:t>
            </w:r>
          </w:p>
        </w:tc>
        <w:tc>
          <w:tcPr>
            <w:tcW w:w="4606" w:type="dxa"/>
            <w:shd w:val="clear" w:color="auto" w:fill="auto"/>
            <w:noWrap/>
            <w:vAlign w:val="bottom"/>
            <w:hideMark/>
          </w:tcPr>
          <w:p w14:paraId="23551EC8"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TTCCCTGGACCTAAGGGTACT</w:t>
            </w:r>
          </w:p>
        </w:tc>
        <w:tc>
          <w:tcPr>
            <w:tcW w:w="1551" w:type="dxa"/>
            <w:shd w:val="clear" w:color="auto" w:fill="auto"/>
            <w:noWrap/>
            <w:vAlign w:val="bottom"/>
            <w:hideMark/>
          </w:tcPr>
          <w:p w14:paraId="138A9C07"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21</w:t>
            </w:r>
          </w:p>
        </w:tc>
      </w:tr>
      <w:tr w:rsidR="00612411" w:rsidRPr="00226753" w14:paraId="257401F5" w14:textId="77777777" w:rsidTr="003933D5">
        <w:trPr>
          <w:trHeight w:val="454"/>
        </w:trPr>
        <w:tc>
          <w:tcPr>
            <w:tcW w:w="1008" w:type="dxa"/>
            <w:vMerge/>
            <w:vAlign w:val="center"/>
          </w:tcPr>
          <w:p w14:paraId="0930FD24" w14:textId="77777777" w:rsidR="00612411" w:rsidRPr="00226753" w:rsidRDefault="00612411" w:rsidP="003933D5">
            <w:pPr>
              <w:spacing w:after="0" w:line="240" w:lineRule="auto"/>
              <w:jc w:val="center"/>
              <w:rPr>
                <w:rFonts w:ascii="Times New Roman" w:eastAsia="Times New Roman" w:hAnsi="Times New Roman" w:cs="Times New Roman"/>
                <w:color w:val="000000"/>
              </w:rPr>
            </w:pPr>
          </w:p>
        </w:tc>
        <w:tc>
          <w:tcPr>
            <w:tcW w:w="1984" w:type="dxa"/>
            <w:shd w:val="clear" w:color="auto" w:fill="auto"/>
            <w:noWrap/>
            <w:vAlign w:val="center"/>
            <w:hideMark/>
          </w:tcPr>
          <w:p w14:paraId="376C0108"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 Col</w:t>
            </w:r>
            <w:r w:rsidRPr="00226753">
              <w:rPr>
                <w:rFonts w:ascii="Times New Roman" w:eastAsia="Times New Roman" w:hAnsi="Times New Roman" w:cs="Times New Roman"/>
                <w:color w:val="000000"/>
              </w:rPr>
              <w:t>a1 R</w:t>
            </w:r>
          </w:p>
        </w:tc>
        <w:tc>
          <w:tcPr>
            <w:tcW w:w="4606" w:type="dxa"/>
            <w:shd w:val="clear" w:color="auto" w:fill="auto"/>
            <w:noWrap/>
            <w:vAlign w:val="bottom"/>
            <w:hideMark/>
          </w:tcPr>
          <w:p w14:paraId="4570572A"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TTGAGCTCCAGCTTCGCC</w:t>
            </w:r>
          </w:p>
        </w:tc>
        <w:tc>
          <w:tcPr>
            <w:tcW w:w="1551" w:type="dxa"/>
            <w:shd w:val="clear" w:color="auto" w:fill="auto"/>
            <w:noWrap/>
            <w:vAlign w:val="bottom"/>
            <w:hideMark/>
          </w:tcPr>
          <w:p w14:paraId="01CCB623"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18</w:t>
            </w:r>
          </w:p>
        </w:tc>
      </w:tr>
      <w:tr w:rsidR="00612411" w:rsidRPr="00226753" w14:paraId="4D2C4853" w14:textId="77777777" w:rsidTr="003933D5">
        <w:trPr>
          <w:trHeight w:val="454"/>
        </w:trPr>
        <w:tc>
          <w:tcPr>
            <w:tcW w:w="1008" w:type="dxa"/>
            <w:vMerge w:val="restart"/>
            <w:vAlign w:val="center"/>
          </w:tcPr>
          <w:p w14:paraId="6E7BD20B"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984" w:type="dxa"/>
            <w:shd w:val="clear" w:color="auto" w:fill="auto"/>
            <w:noWrap/>
            <w:vAlign w:val="center"/>
            <w:hideMark/>
          </w:tcPr>
          <w:p w14:paraId="1F35F020"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TGFβ F</w:t>
            </w:r>
          </w:p>
        </w:tc>
        <w:tc>
          <w:tcPr>
            <w:tcW w:w="4606" w:type="dxa"/>
            <w:shd w:val="clear" w:color="auto" w:fill="auto"/>
            <w:noWrap/>
            <w:vAlign w:val="bottom"/>
            <w:hideMark/>
          </w:tcPr>
          <w:p w14:paraId="7349C67A"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GACCGCAACAACGCCATCTA</w:t>
            </w:r>
          </w:p>
        </w:tc>
        <w:tc>
          <w:tcPr>
            <w:tcW w:w="1551" w:type="dxa"/>
            <w:shd w:val="clear" w:color="auto" w:fill="auto"/>
            <w:noWrap/>
            <w:vAlign w:val="bottom"/>
            <w:hideMark/>
          </w:tcPr>
          <w:p w14:paraId="705021C4"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20</w:t>
            </w:r>
          </w:p>
        </w:tc>
      </w:tr>
      <w:tr w:rsidR="00612411" w:rsidRPr="00226753" w14:paraId="558CADBA" w14:textId="77777777" w:rsidTr="003933D5">
        <w:trPr>
          <w:trHeight w:val="454"/>
        </w:trPr>
        <w:tc>
          <w:tcPr>
            <w:tcW w:w="1008" w:type="dxa"/>
            <w:vMerge/>
          </w:tcPr>
          <w:p w14:paraId="36DF7630" w14:textId="77777777" w:rsidR="00612411" w:rsidRPr="00226753" w:rsidRDefault="00612411" w:rsidP="003933D5">
            <w:pPr>
              <w:spacing w:after="0" w:line="240" w:lineRule="auto"/>
              <w:rPr>
                <w:rFonts w:ascii="Times New Roman" w:eastAsia="Times New Roman" w:hAnsi="Times New Roman" w:cs="Times New Roman"/>
                <w:color w:val="000000"/>
              </w:rPr>
            </w:pPr>
          </w:p>
        </w:tc>
        <w:tc>
          <w:tcPr>
            <w:tcW w:w="1984" w:type="dxa"/>
            <w:shd w:val="clear" w:color="auto" w:fill="auto"/>
            <w:noWrap/>
            <w:vAlign w:val="center"/>
            <w:hideMark/>
          </w:tcPr>
          <w:p w14:paraId="35C5E7B4"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m TGFβ R</w:t>
            </w:r>
          </w:p>
        </w:tc>
        <w:tc>
          <w:tcPr>
            <w:tcW w:w="4606" w:type="dxa"/>
            <w:shd w:val="clear" w:color="auto" w:fill="auto"/>
            <w:noWrap/>
            <w:vAlign w:val="bottom"/>
            <w:hideMark/>
          </w:tcPr>
          <w:p w14:paraId="0456BD2F" w14:textId="77777777" w:rsidR="00612411" w:rsidRPr="00226753" w:rsidRDefault="00612411" w:rsidP="003933D5">
            <w:pPr>
              <w:spacing w:after="0" w:line="240" w:lineRule="auto"/>
              <w:rPr>
                <w:rFonts w:ascii="Times New Roman" w:eastAsia="Times New Roman" w:hAnsi="Times New Roman" w:cs="Times New Roman"/>
                <w:color w:val="000000"/>
              </w:rPr>
            </w:pPr>
            <w:r w:rsidRPr="00226753">
              <w:rPr>
                <w:rFonts w:ascii="Times New Roman" w:eastAsia="Times New Roman" w:hAnsi="Times New Roman" w:cs="Times New Roman"/>
                <w:color w:val="000000"/>
              </w:rPr>
              <w:t>GGCGTATCAGTGGGGGTCAG</w:t>
            </w:r>
          </w:p>
        </w:tc>
        <w:tc>
          <w:tcPr>
            <w:tcW w:w="1551" w:type="dxa"/>
            <w:shd w:val="clear" w:color="auto" w:fill="auto"/>
            <w:noWrap/>
            <w:vAlign w:val="bottom"/>
            <w:hideMark/>
          </w:tcPr>
          <w:p w14:paraId="0EA470EB" w14:textId="77777777" w:rsidR="00612411" w:rsidRPr="00226753" w:rsidRDefault="00612411" w:rsidP="003933D5">
            <w:pPr>
              <w:spacing w:after="0" w:line="240" w:lineRule="auto"/>
              <w:jc w:val="center"/>
              <w:rPr>
                <w:rFonts w:ascii="Times New Roman" w:eastAsia="Times New Roman" w:hAnsi="Times New Roman" w:cs="Times New Roman"/>
                <w:color w:val="000000"/>
              </w:rPr>
            </w:pPr>
            <w:r w:rsidRPr="00226753">
              <w:rPr>
                <w:rFonts w:ascii="Times New Roman" w:eastAsia="Times New Roman" w:hAnsi="Times New Roman" w:cs="Times New Roman"/>
                <w:color w:val="000000"/>
              </w:rPr>
              <w:t>20</w:t>
            </w:r>
          </w:p>
        </w:tc>
      </w:tr>
    </w:tbl>
    <w:p w14:paraId="2605582A" w14:textId="77777777" w:rsidR="00612411" w:rsidRPr="0094700F" w:rsidRDefault="00612411" w:rsidP="003771E3">
      <w:pPr>
        <w:autoSpaceDE w:val="0"/>
        <w:autoSpaceDN w:val="0"/>
        <w:adjustRightInd w:val="0"/>
        <w:spacing w:after="0" w:line="480" w:lineRule="auto"/>
        <w:rPr>
          <w:rFonts w:asciiTheme="minorHAnsi" w:hAnsiTheme="minorHAnsi" w:cstheme="minorHAnsi"/>
          <w:shd w:val="clear" w:color="auto" w:fill="FFFFFF"/>
        </w:rPr>
      </w:pPr>
    </w:p>
    <w:p w14:paraId="6D3632CD" w14:textId="77777777" w:rsidR="00561ECC" w:rsidRPr="005A7764" w:rsidRDefault="00561ECC" w:rsidP="00561ECC">
      <w:pPr>
        <w:spacing w:after="0" w:line="480" w:lineRule="auto"/>
        <w:rPr>
          <w:rFonts w:asciiTheme="minorHAnsi" w:hAnsiTheme="minorHAnsi" w:cstheme="minorHAnsi"/>
          <w:b/>
        </w:rPr>
      </w:pPr>
      <w:r w:rsidRPr="005A7764">
        <w:rPr>
          <w:rFonts w:asciiTheme="minorHAnsi" w:hAnsiTheme="minorHAnsi" w:cstheme="minorHAnsi"/>
          <w:b/>
        </w:rPr>
        <w:t>Immunoblotting</w:t>
      </w:r>
    </w:p>
    <w:p w14:paraId="5347DF14" w14:textId="25C16181" w:rsidR="00561ECC" w:rsidRDefault="00561ECC" w:rsidP="00561ECC">
      <w:pPr>
        <w:autoSpaceDE w:val="0"/>
        <w:autoSpaceDN w:val="0"/>
        <w:adjustRightInd w:val="0"/>
        <w:spacing w:after="0" w:line="480" w:lineRule="auto"/>
        <w:rPr>
          <w:rFonts w:asciiTheme="minorHAnsi" w:hAnsiTheme="minorHAnsi" w:cstheme="minorHAnsi"/>
          <w:shd w:val="clear" w:color="auto" w:fill="FFFFFF"/>
        </w:rPr>
      </w:pPr>
      <w:r w:rsidRPr="005A7764">
        <w:rPr>
          <w:rFonts w:asciiTheme="minorHAnsi" w:hAnsiTheme="minorHAnsi" w:cstheme="minorHAnsi"/>
          <w:shd w:val="clear" w:color="auto" w:fill="FFFFFF"/>
        </w:rPr>
        <w:t xml:space="preserve">Frozen liver from the animals were homogenized and the cells were lysed using </w:t>
      </w:r>
      <w:r w:rsidRPr="005A7764">
        <w:rPr>
          <w:rFonts w:asciiTheme="minorHAnsi" w:eastAsia="Times New Roman" w:hAnsiTheme="minorHAnsi" w:cstheme="minorHAnsi"/>
        </w:rPr>
        <w:t xml:space="preserve">ice-cold </w:t>
      </w:r>
      <w:r w:rsidRPr="005A7764">
        <w:rPr>
          <w:rFonts w:asciiTheme="minorHAnsi" w:hAnsiTheme="minorHAnsi" w:cstheme="minorHAnsi"/>
          <w:shd w:val="clear" w:color="auto" w:fill="FFFFFF"/>
        </w:rPr>
        <w:t xml:space="preserve">RIPA buffer containing protease (1x protease inhibitor cocktail – HI media) and phosphatase (sodium orthovanadate 1 mM) and incubated with constant agitation for 2 h at </w:t>
      </w:r>
      <w:r w:rsidRPr="005A7764">
        <w:rPr>
          <w:rFonts w:asciiTheme="minorHAnsi" w:eastAsia="Times New Roman" w:hAnsiTheme="minorHAnsi" w:cstheme="minorHAnsi"/>
        </w:rPr>
        <w:t>4°C. The lysate was centrifuged for 20 min at 12,000 rpm at 4°C and the supernatant was transferred to a fresh sterile tube and stored at -80 °C in small aliquots.</w:t>
      </w:r>
      <w:r w:rsidRPr="005A7764">
        <w:rPr>
          <w:rFonts w:asciiTheme="minorHAnsi" w:hAnsiTheme="minorHAnsi" w:cstheme="minorHAnsi"/>
          <w:shd w:val="clear" w:color="auto" w:fill="FFFFFF"/>
        </w:rPr>
        <w:t xml:space="preserve"> Protein concentration was estimated by the Bradford</w:t>
      </w:r>
      <w:r w:rsidRPr="005A7764">
        <w:rPr>
          <w:rStyle w:val="apple-converted-space"/>
          <w:rFonts w:asciiTheme="minorHAnsi" w:hAnsiTheme="minorHAnsi" w:cstheme="minorHAnsi"/>
          <w:shd w:val="clear" w:color="auto" w:fill="FFFFFF"/>
        </w:rPr>
        <w:t xml:space="preserve"> method </w:t>
      </w:r>
      <w:r w:rsidRPr="005A7764">
        <w:rPr>
          <w:rFonts w:asciiTheme="minorHAnsi" w:hAnsiTheme="minorHAnsi" w:cstheme="minorHAnsi"/>
          <w:b/>
          <w:shd w:val="clear" w:color="auto" w:fill="FFFFFF"/>
        </w:rPr>
        <w:t>(</w:t>
      </w:r>
      <w:r w:rsidRPr="005A7764">
        <w:rPr>
          <w:rFonts w:asciiTheme="minorHAnsi" w:hAnsiTheme="minorHAnsi" w:cstheme="minorHAnsi"/>
          <w:shd w:val="clear" w:color="auto" w:fill="FFFFFF"/>
        </w:rPr>
        <w:t xml:space="preserve">Sigma, USA). Cellular protein (100 </w:t>
      </w:r>
      <w:proofErr w:type="spellStart"/>
      <w:r w:rsidRPr="005A7764">
        <w:rPr>
          <w:rFonts w:asciiTheme="minorHAnsi" w:hAnsiTheme="minorHAnsi" w:cstheme="minorHAnsi"/>
          <w:shd w:val="clear" w:color="auto" w:fill="FFFFFF"/>
        </w:rPr>
        <w:t>μg</w:t>
      </w:r>
      <w:proofErr w:type="spellEnd"/>
      <w:r w:rsidRPr="005A7764">
        <w:rPr>
          <w:rFonts w:asciiTheme="minorHAnsi" w:hAnsiTheme="minorHAnsi" w:cstheme="minorHAnsi"/>
          <w:shd w:val="clear" w:color="auto" w:fill="FFFFFF"/>
        </w:rPr>
        <w:t xml:space="preserve">) was loaded per lane in denatured 10% polyacrylamide gel (SDS-PAGE). The separated proteins were </w:t>
      </w:r>
      <w:r w:rsidRPr="005A7764">
        <w:rPr>
          <w:rFonts w:asciiTheme="minorHAnsi" w:hAnsiTheme="minorHAnsi" w:cstheme="minorHAnsi"/>
          <w:shd w:val="clear" w:color="auto" w:fill="FFFFFF"/>
        </w:rPr>
        <w:lastRenderedPageBreak/>
        <w:t>transferred to a polyvinylidene difluoride membrane (</w:t>
      </w:r>
      <w:proofErr w:type="spellStart"/>
      <w:r w:rsidRPr="005A7764">
        <w:rPr>
          <w:rFonts w:asciiTheme="minorHAnsi" w:hAnsiTheme="minorHAnsi" w:cstheme="minorHAnsi"/>
          <w:bCs/>
          <w:spacing w:val="15"/>
        </w:rPr>
        <w:t>Invitrolon</w:t>
      </w:r>
      <w:proofErr w:type="spellEnd"/>
      <w:r w:rsidRPr="005A7764">
        <w:rPr>
          <w:rFonts w:asciiTheme="minorHAnsi" w:hAnsiTheme="minorHAnsi" w:cstheme="minorHAnsi"/>
          <w:bCs/>
          <w:spacing w:val="15"/>
        </w:rPr>
        <w:t>™ PVDF, Thermo Fisher Scientific, USA)</w:t>
      </w:r>
      <w:r w:rsidRPr="005A7764">
        <w:rPr>
          <w:rFonts w:asciiTheme="minorHAnsi" w:hAnsiTheme="minorHAnsi" w:cstheme="minorHAnsi"/>
          <w:shd w:val="clear" w:color="auto" w:fill="FFFFFF"/>
        </w:rPr>
        <w:t xml:space="preserve"> and blocked in 5% nonfat dry milk for 2 hours. Membranes were then incubated with the appropriate dilutions of anti-mouse primary antibodies at 4ᵒC for 18 hours, followed by horseradish peroxidase-conjugated secondary antibody (Thermo Scientific, USA) for 2 hours at 37ᵒC. The details of the antibodies are provided in Supplementary Table 2. Immunoreactive protein bands were detected by ECL (</w:t>
      </w:r>
      <w:r w:rsidRPr="005A7764">
        <w:rPr>
          <w:rFonts w:asciiTheme="minorHAnsi" w:hAnsiTheme="minorHAnsi" w:cstheme="minorHAnsi"/>
        </w:rPr>
        <w:t>(Pierce ECL plus,</w:t>
      </w:r>
      <w:r w:rsidR="00612411">
        <w:rPr>
          <w:rFonts w:asciiTheme="minorHAnsi" w:hAnsiTheme="minorHAnsi" w:cstheme="minorHAnsi"/>
        </w:rPr>
        <w:t xml:space="preserve"> </w:t>
      </w:r>
      <w:r w:rsidRPr="005A7764">
        <w:rPr>
          <w:rFonts w:asciiTheme="minorHAnsi" w:hAnsiTheme="minorHAnsi" w:cstheme="minorHAnsi"/>
        </w:rPr>
        <w:t>Thermo Scientific, USA</w:t>
      </w:r>
      <w:r w:rsidRPr="005A7764">
        <w:rPr>
          <w:rFonts w:asciiTheme="minorHAnsi" w:hAnsiTheme="minorHAnsi" w:cstheme="minorHAnsi"/>
          <w:shd w:val="clear" w:color="auto" w:fill="FFFFFF"/>
        </w:rPr>
        <w:t xml:space="preserve">). Immunoblots were quantified using Image J software (version 1.52a, National Institute of Health, USA). </w:t>
      </w:r>
    </w:p>
    <w:p w14:paraId="029DA6E8" w14:textId="6F668852" w:rsidR="00612411" w:rsidRDefault="00612411" w:rsidP="00612411">
      <w:pPr>
        <w:spacing w:after="0" w:line="480" w:lineRule="auto"/>
        <w:rPr>
          <w:rFonts w:ascii="Times New Roman" w:hAnsi="Times New Roman" w:cs="Times New Roman"/>
          <w:b/>
          <w:lang w:val="en-IN"/>
        </w:rPr>
      </w:pPr>
      <w:r>
        <w:rPr>
          <w:rFonts w:ascii="Times New Roman" w:hAnsi="Times New Roman" w:cs="Times New Roman"/>
          <w:b/>
          <w:lang w:val="en-IN"/>
        </w:rPr>
        <w:t xml:space="preserve">Table </w:t>
      </w:r>
      <w:r>
        <w:rPr>
          <w:rFonts w:ascii="Times New Roman" w:hAnsi="Times New Roman" w:cs="Times New Roman"/>
          <w:b/>
          <w:lang w:val="en-IN"/>
        </w:rPr>
        <w:t>2</w:t>
      </w:r>
      <w:r>
        <w:rPr>
          <w:rFonts w:ascii="Times New Roman" w:hAnsi="Times New Roman" w:cs="Times New Roman"/>
          <w:b/>
          <w:lang w:val="en-IN"/>
        </w:rPr>
        <w:t xml:space="preserve"> List of </w:t>
      </w:r>
      <w:r>
        <w:rPr>
          <w:rFonts w:ascii="Times New Roman" w:hAnsi="Times New Roman" w:cs="Times New Roman"/>
          <w:b/>
          <w:lang w:val="en-IN"/>
        </w:rPr>
        <w:t>Antibodies</w:t>
      </w:r>
    </w:p>
    <w:p w14:paraId="06C65AFF" w14:textId="77777777" w:rsidR="00612411" w:rsidRPr="005A7764" w:rsidRDefault="00612411" w:rsidP="00561ECC">
      <w:pPr>
        <w:autoSpaceDE w:val="0"/>
        <w:autoSpaceDN w:val="0"/>
        <w:adjustRightInd w:val="0"/>
        <w:spacing w:after="0" w:line="480" w:lineRule="auto"/>
        <w:rPr>
          <w:rFonts w:asciiTheme="minorHAnsi" w:hAnsiTheme="minorHAnsi" w:cstheme="minorHAnsi"/>
          <w:shd w:val="clear" w:color="auto" w:fill="FFFFFF"/>
        </w:rPr>
      </w:pPr>
    </w:p>
    <w:tbl>
      <w:tblPr>
        <w:tblW w:w="0" w:type="dxa"/>
        <w:tblLook w:val="04A0" w:firstRow="1" w:lastRow="0" w:firstColumn="1" w:lastColumn="0" w:noHBand="0" w:noVBand="1"/>
      </w:tblPr>
      <w:tblGrid>
        <w:gridCol w:w="3053"/>
        <w:gridCol w:w="1875"/>
        <w:gridCol w:w="1350"/>
      </w:tblGrid>
      <w:tr w:rsidR="00612411" w14:paraId="7A07451F" w14:textId="77777777" w:rsidTr="003933D5">
        <w:trPr>
          <w:trHeight w:val="315"/>
        </w:trPr>
        <w:tc>
          <w:tcPr>
            <w:tcW w:w="960"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center"/>
            <w:hideMark/>
          </w:tcPr>
          <w:p w14:paraId="4F708904" w14:textId="77777777" w:rsidR="00612411" w:rsidRDefault="00612411" w:rsidP="003933D5">
            <w:pPr>
              <w:jc w:val="center"/>
              <w:rPr>
                <w:rFonts w:eastAsia="Times New Roman"/>
                <w:b/>
                <w:bCs/>
                <w:color w:val="000000"/>
              </w:rPr>
            </w:pPr>
            <w:r>
              <w:rPr>
                <w:rFonts w:eastAsia="Times New Roman"/>
                <w:b/>
                <w:bCs/>
                <w:color w:val="000000"/>
              </w:rPr>
              <w:t>Antibody</w:t>
            </w:r>
          </w:p>
        </w:tc>
        <w:tc>
          <w:tcPr>
            <w:tcW w:w="960" w:type="dxa"/>
            <w:tcBorders>
              <w:top w:val="single" w:sz="6" w:space="0" w:color="D4D4D4"/>
              <w:left w:val="nil"/>
              <w:bottom w:val="single" w:sz="6" w:space="0" w:color="D4D4D4"/>
              <w:right w:val="single" w:sz="6" w:space="0" w:color="D4D4D4"/>
            </w:tcBorders>
            <w:tcMar>
              <w:top w:w="15" w:type="dxa"/>
              <w:left w:w="15" w:type="dxa"/>
              <w:bottom w:w="15" w:type="dxa"/>
              <w:right w:w="15" w:type="dxa"/>
            </w:tcMar>
            <w:vAlign w:val="center"/>
            <w:hideMark/>
          </w:tcPr>
          <w:p w14:paraId="2B454302" w14:textId="77777777" w:rsidR="00612411" w:rsidRDefault="00612411" w:rsidP="003933D5">
            <w:pPr>
              <w:jc w:val="center"/>
              <w:rPr>
                <w:rFonts w:eastAsia="Times New Roman"/>
                <w:b/>
                <w:bCs/>
                <w:color w:val="000000"/>
              </w:rPr>
            </w:pPr>
            <w:r>
              <w:rPr>
                <w:rFonts w:eastAsia="Times New Roman"/>
                <w:b/>
                <w:bCs/>
                <w:color w:val="000000"/>
              </w:rPr>
              <w:t>Code</w:t>
            </w:r>
          </w:p>
        </w:tc>
        <w:tc>
          <w:tcPr>
            <w:tcW w:w="960" w:type="dxa"/>
            <w:tcBorders>
              <w:top w:val="single" w:sz="6" w:space="0" w:color="D4D4D4"/>
              <w:left w:val="nil"/>
              <w:bottom w:val="single" w:sz="6" w:space="0" w:color="D4D4D4"/>
              <w:right w:val="single" w:sz="6" w:space="0" w:color="D4D4D4"/>
            </w:tcBorders>
            <w:tcMar>
              <w:top w:w="15" w:type="dxa"/>
              <w:left w:w="15" w:type="dxa"/>
              <w:bottom w:w="15" w:type="dxa"/>
              <w:right w:w="15" w:type="dxa"/>
            </w:tcMar>
            <w:vAlign w:val="center"/>
            <w:hideMark/>
          </w:tcPr>
          <w:p w14:paraId="1B28746D" w14:textId="77777777" w:rsidR="00612411" w:rsidRDefault="00612411" w:rsidP="003933D5">
            <w:pPr>
              <w:jc w:val="center"/>
              <w:rPr>
                <w:rFonts w:eastAsia="Times New Roman"/>
                <w:b/>
                <w:bCs/>
                <w:color w:val="000000"/>
              </w:rPr>
            </w:pPr>
            <w:r>
              <w:rPr>
                <w:rFonts w:eastAsia="Times New Roman"/>
                <w:b/>
                <w:bCs/>
                <w:color w:val="000000"/>
              </w:rPr>
              <w:t>Source</w:t>
            </w:r>
          </w:p>
        </w:tc>
      </w:tr>
      <w:tr w:rsidR="00612411" w14:paraId="5527378C" w14:textId="77777777" w:rsidTr="003933D5">
        <w:trPr>
          <w:trHeight w:val="315"/>
        </w:trPr>
        <w:tc>
          <w:tcPr>
            <w:tcW w:w="2820" w:type="dxa"/>
            <w:tcBorders>
              <w:top w:val="nil"/>
              <w:left w:val="single" w:sz="6" w:space="0" w:color="D4D4D4"/>
              <w:bottom w:val="single" w:sz="6" w:space="0" w:color="D4D4D4"/>
              <w:right w:val="single" w:sz="6" w:space="0" w:color="D4D4D4"/>
            </w:tcBorders>
            <w:tcMar>
              <w:top w:w="15" w:type="dxa"/>
              <w:left w:w="15" w:type="dxa"/>
              <w:bottom w:w="15" w:type="dxa"/>
              <w:right w:w="15" w:type="dxa"/>
            </w:tcMar>
            <w:vAlign w:val="center"/>
            <w:hideMark/>
          </w:tcPr>
          <w:p w14:paraId="03F3BA11" w14:textId="77777777" w:rsidR="00612411" w:rsidRDefault="00612411" w:rsidP="003933D5">
            <w:pPr>
              <w:jc w:val="center"/>
              <w:rPr>
                <w:rFonts w:eastAsia="Times New Roman"/>
                <w:color w:val="000000"/>
              </w:rPr>
            </w:pPr>
            <w:r>
              <w:rPr>
                <w:rFonts w:eastAsia="Times New Roman"/>
                <w:color w:val="000000"/>
              </w:rPr>
              <w:t>NFE2L2 Antibody 100ug/ml (NRF2)</w:t>
            </w:r>
          </w:p>
        </w:tc>
        <w:tc>
          <w:tcPr>
            <w:tcW w:w="1875" w:type="dxa"/>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3835BEC5" w14:textId="77777777" w:rsidR="00612411" w:rsidRDefault="00612411" w:rsidP="003933D5">
            <w:pPr>
              <w:jc w:val="center"/>
              <w:rPr>
                <w:rFonts w:eastAsia="Times New Roman"/>
              </w:rPr>
            </w:pPr>
            <w:r>
              <w:rPr>
                <w:rFonts w:eastAsia="Times New Roman"/>
              </w:rPr>
              <w:t>CSB-PA003481</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00E465EF" w14:textId="77777777" w:rsidR="00612411" w:rsidRDefault="00612411" w:rsidP="003933D5">
            <w:pPr>
              <w:jc w:val="center"/>
              <w:rPr>
                <w:rFonts w:eastAsia="Times New Roman"/>
                <w:color w:val="000000"/>
              </w:rPr>
            </w:pPr>
            <w:proofErr w:type="spellStart"/>
            <w:r>
              <w:rPr>
                <w:rFonts w:eastAsia="Times New Roman"/>
                <w:color w:val="000000"/>
              </w:rPr>
              <w:t>Cusabio</w:t>
            </w:r>
            <w:proofErr w:type="spellEnd"/>
          </w:p>
        </w:tc>
      </w:tr>
      <w:tr w:rsidR="00612411" w14:paraId="22D753E8" w14:textId="77777777" w:rsidTr="003933D5">
        <w:trPr>
          <w:trHeight w:val="315"/>
        </w:trPr>
        <w:tc>
          <w:tcPr>
            <w:tcW w:w="0" w:type="auto"/>
            <w:tcBorders>
              <w:top w:val="nil"/>
              <w:left w:val="single" w:sz="6" w:space="0" w:color="D4D4D4"/>
              <w:bottom w:val="single" w:sz="6" w:space="0" w:color="D4D4D4"/>
              <w:right w:val="single" w:sz="6" w:space="0" w:color="D4D4D4"/>
            </w:tcBorders>
            <w:tcMar>
              <w:top w:w="15" w:type="dxa"/>
              <w:left w:w="15" w:type="dxa"/>
              <w:bottom w:w="15" w:type="dxa"/>
              <w:right w:w="15" w:type="dxa"/>
            </w:tcMar>
            <w:vAlign w:val="center"/>
            <w:hideMark/>
          </w:tcPr>
          <w:p w14:paraId="5C8AD8C4" w14:textId="77777777" w:rsidR="00612411" w:rsidRDefault="00612411" w:rsidP="003933D5">
            <w:pPr>
              <w:jc w:val="center"/>
              <w:rPr>
                <w:rFonts w:eastAsia="Times New Roman"/>
                <w:color w:val="000000"/>
              </w:rPr>
            </w:pPr>
            <w:r>
              <w:rPr>
                <w:rFonts w:eastAsia="Times New Roman"/>
                <w:color w:val="000000"/>
              </w:rPr>
              <w:t>RELA (NFKB)</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55AAB384" w14:textId="77777777" w:rsidR="00612411" w:rsidRDefault="00612411" w:rsidP="003933D5">
            <w:pPr>
              <w:jc w:val="center"/>
              <w:rPr>
                <w:rFonts w:eastAsia="Times New Roman"/>
                <w:color w:val="000000"/>
              </w:rPr>
            </w:pPr>
            <w:r>
              <w:rPr>
                <w:rFonts w:eastAsia="Times New Roman"/>
                <w:color w:val="000000"/>
              </w:rPr>
              <w:t>CSB-PA03987A0RB</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10B5A067" w14:textId="77777777" w:rsidR="00612411" w:rsidRDefault="00612411" w:rsidP="003933D5">
            <w:pPr>
              <w:jc w:val="center"/>
              <w:rPr>
                <w:rFonts w:eastAsia="Times New Roman"/>
                <w:color w:val="000000"/>
              </w:rPr>
            </w:pPr>
            <w:r>
              <w:rPr>
                <w:rFonts w:eastAsia="Times New Roman"/>
                <w:color w:val="000000"/>
              </w:rPr>
              <w:t>CUSABIO</w:t>
            </w:r>
          </w:p>
        </w:tc>
      </w:tr>
      <w:tr w:rsidR="00612411" w14:paraId="55BB076A" w14:textId="77777777" w:rsidTr="003933D5">
        <w:trPr>
          <w:trHeight w:val="315"/>
        </w:trPr>
        <w:tc>
          <w:tcPr>
            <w:tcW w:w="0" w:type="auto"/>
            <w:tcBorders>
              <w:top w:val="nil"/>
              <w:left w:val="single" w:sz="6" w:space="0" w:color="D4D4D4"/>
              <w:bottom w:val="single" w:sz="6" w:space="0" w:color="D4D4D4"/>
              <w:right w:val="single" w:sz="6" w:space="0" w:color="D4D4D4"/>
            </w:tcBorders>
            <w:tcMar>
              <w:top w:w="15" w:type="dxa"/>
              <w:left w:w="15" w:type="dxa"/>
              <w:bottom w:w="15" w:type="dxa"/>
              <w:right w:w="15" w:type="dxa"/>
            </w:tcMar>
            <w:vAlign w:val="center"/>
            <w:hideMark/>
          </w:tcPr>
          <w:p w14:paraId="39BA9F82" w14:textId="77777777" w:rsidR="00612411" w:rsidRDefault="00612411" w:rsidP="003933D5">
            <w:pPr>
              <w:jc w:val="center"/>
              <w:rPr>
                <w:rFonts w:eastAsia="Times New Roman"/>
                <w:color w:val="000000"/>
              </w:rPr>
            </w:pPr>
            <w:proofErr w:type="spellStart"/>
            <w:r>
              <w:rPr>
                <w:rFonts w:eastAsia="Times New Roman"/>
                <w:color w:val="000000"/>
              </w:rPr>
              <w:t>Phospho</w:t>
            </w:r>
            <w:proofErr w:type="spellEnd"/>
            <w:r>
              <w:rPr>
                <w:rFonts w:eastAsia="Times New Roman"/>
                <w:color w:val="000000"/>
              </w:rPr>
              <w:t xml:space="preserve"> - </w:t>
            </w:r>
            <w:proofErr w:type="gramStart"/>
            <w:r>
              <w:rPr>
                <w:rFonts w:eastAsia="Times New Roman"/>
                <w:color w:val="000000"/>
              </w:rPr>
              <w:t>RELA  (</w:t>
            </w:r>
            <w:proofErr w:type="gramEnd"/>
            <w:r>
              <w:rPr>
                <w:rFonts w:eastAsia="Times New Roman"/>
                <w:color w:val="000000"/>
              </w:rPr>
              <w:t xml:space="preserve">S536)  </w:t>
            </w:r>
            <w:r>
              <w:rPr>
                <w:rFonts w:eastAsia="Times New Roman"/>
                <w:color w:val="000000"/>
                <w:shd w:val="clear" w:color="auto" w:fill="FFFFFF"/>
              </w:rPr>
              <w:t>(NFKB)</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478608DB" w14:textId="77777777" w:rsidR="00612411" w:rsidRDefault="00612411" w:rsidP="003933D5">
            <w:pPr>
              <w:jc w:val="center"/>
              <w:rPr>
                <w:rFonts w:eastAsia="Times New Roman"/>
                <w:color w:val="000000"/>
              </w:rPr>
            </w:pPr>
            <w:r>
              <w:rPr>
                <w:rFonts w:eastAsia="Times New Roman"/>
                <w:color w:val="000000"/>
              </w:rPr>
              <w:t>CSB-PA000586</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7C0E9019" w14:textId="77777777" w:rsidR="00612411" w:rsidRDefault="00612411" w:rsidP="003933D5">
            <w:pPr>
              <w:jc w:val="center"/>
              <w:rPr>
                <w:rFonts w:eastAsia="Times New Roman"/>
                <w:color w:val="000000"/>
              </w:rPr>
            </w:pPr>
            <w:r>
              <w:rPr>
                <w:rFonts w:eastAsia="Times New Roman"/>
                <w:color w:val="000000"/>
              </w:rPr>
              <w:t>CUSABIO</w:t>
            </w:r>
          </w:p>
        </w:tc>
      </w:tr>
      <w:tr w:rsidR="00612411" w14:paraId="157289F6" w14:textId="77777777" w:rsidTr="003933D5">
        <w:trPr>
          <w:trHeight w:val="315"/>
        </w:trPr>
        <w:tc>
          <w:tcPr>
            <w:tcW w:w="0" w:type="auto"/>
            <w:tcBorders>
              <w:top w:val="nil"/>
              <w:left w:val="single" w:sz="6" w:space="0" w:color="D4D4D4"/>
              <w:bottom w:val="single" w:sz="6" w:space="0" w:color="D4D4D4"/>
              <w:right w:val="single" w:sz="6" w:space="0" w:color="D4D4D4"/>
            </w:tcBorders>
            <w:tcMar>
              <w:top w:w="15" w:type="dxa"/>
              <w:left w:w="15" w:type="dxa"/>
              <w:bottom w:w="15" w:type="dxa"/>
              <w:right w:w="15" w:type="dxa"/>
            </w:tcMar>
            <w:vAlign w:val="center"/>
            <w:hideMark/>
          </w:tcPr>
          <w:p w14:paraId="031862ED" w14:textId="77777777" w:rsidR="00612411" w:rsidRDefault="00612411" w:rsidP="003933D5">
            <w:pPr>
              <w:jc w:val="center"/>
              <w:rPr>
                <w:rFonts w:eastAsia="Times New Roman"/>
                <w:color w:val="000000"/>
              </w:rPr>
            </w:pPr>
            <w:r>
              <w:rPr>
                <w:rFonts w:eastAsia="Times New Roman"/>
                <w:color w:val="000000"/>
              </w:rPr>
              <w:t>Anti-FGF21 antibody - 100 ul</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5997C369" w14:textId="77777777" w:rsidR="00612411" w:rsidRDefault="00612411" w:rsidP="003933D5">
            <w:pPr>
              <w:jc w:val="center"/>
              <w:rPr>
                <w:rFonts w:eastAsia="Times New Roman"/>
                <w:color w:val="000000"/>
              </w:rPr>
            </w:pPr>
            <w:r>
              <w:rPr>
                <w:rFonts w:eastAsia="Times New Roman"/>
                <w:color w:val="000000"/>
              </w:rPr>
              <w:t>AB171941</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2E307E85" w14:textId="77777777" w:rsidR="00612411" w:rsidRDefault="00612411" w:rsidP="003933D5">
            <w:pPr>
              <w:jc w:val="center"/>
              <w:rPr>
                <w:rFonts w:eastAsia="Times New Roman"/>
                <w:color w:val="000000"/>
              </w:rPr>
            </w:pPr>
            <w:r>
              <w:rPr>
                <w:rFonts w:eastAsia="Times New Roman"/>
                <w:color w:val="000000"/>
              </w:rPr>
              <w:t>Abcam</w:t>
            </w:r>
          </w:p>
        </w:tc>
      </w:tr>
      <w:tr w:rsidR="00612411" w14:paraId="5FDD58B0" w14:textId="77777777" w:rsidTr="003933D5">
        <w:trPr>
          <w:trHeight w:val="315"/>
        </w:trPr>
        <w:tc>
          <w:tcPr>
            <w:tcW w:w="0" w:type="auto"/>
            <w:tcBorders>
              <w:top w:val="nil"/>
              <w:left w:val="single" w:sz="6" w:space="0" w:color="D4D4D4"/>
              <w:bottom w:val="single" w:sz="6" w:space="0" w:color="D4D4D4"/>
              <w:right w:val="single" w:sz="6" w:space="0" w:color="D4D4D4"/>
            </w:tcBorders>
            <w:tcMar>
              <w:top w:w="15" w:type="dxa"/>
              <w:left w:w="15" w:type="dxa"/>
              <w:bottom w:w="15" w:type="dxa"/>
              <w:right w:w="15" w:type="dxa"/>
            </w:tcMar>
            <w:vAlign w:val="center"/>
            <w:hideMark/>
          </w:tcPr>
          <w:p w14:paraId="66236D71" w14:textId="77777777" w:rsidR="00612411" w:rsidRDefault="00612411" w:rsidP="003933D5">
            <w:pPr>
              <w:jc w:val="center"/>
              <w:rPr>
                <w:rFonts w:eastAsia="Times New Roman"/>
                <w:color w:val="000000"/>
              </w:rPr>
            </w:pPr>
            <w:r>
              <w:rPr>
                <w:rFonts w:eastAsia="Times New Roman"/>
                <w:color w:val="000000"/>
              </w:rPr>
              <w:t>Beta Actin</w:t>
            </w:r>
          </w:p>
        </w:tc>
        <w:tc>
          <w:tcPr>
            <w:tcW w:w="0" w:type="auto"/>
            <w:tcBorders>
              <w:top w:val="nil"/>
              <w:left w:val="nil"/>
              <w:bottom w:val="single" w:sz="6" w:space="0" w:color="D4D4D4"/>
              <w:right w:val="single" w:sz="6" w:space="0" w:color="D4D4D4"/>
            </w:tcBorders>
            <w:tcMar>
              <w:top w:w="15" w:type="dxa"/>
              <w:left w:w="15" w:type="dxa"/>
              <w:bottom w:w="15" w:type="dxa"/>
              <w:right w:w="15" w:type="dxa"/>
            </w:tcMar>
            <w:vAlign w:val="center"/>
            <w:hideMark/>
          </w:tcPr>
          <w:p w14:paraId="782A8866" w14:textId="77777777" w:rsidR="00612411" w:rsidRDefault="00612411" w:rsidP="003933D5">
            <w:pPr>
              <w:jc w:val="center"/>
              <w:rPr>
                <w:rFonts w:eastAsia="Times New Roman"/>
                <w:color w:val="000000"/>
              </w:rPr>
            </w:pPr>
            <w:r>
              <w:rPr>
                <w:rFonts w:eastAsia="Times New Roman"/>
                <w:color w:val="000000"/>
              </w:rPr>
              <w:t>4967</w:t>
            </w:r>
          </w:p>
        </w:tc>
        <w:tc>
          <w:tcPr>
            <w:tcW w:w="0" w:type="auto"/>
            <w:tcBorders>
              <w:top w:val="nil"/>
              <w:left w:val="nil"/>
              <w:bottom w:val="single" w:sz="6" w:space="0" w:color="D4D4D4"/>
              <w:right w:val="single" w:sz="6" w:space="0" w:color="D4D4D4"/>
            </w:tcBorders>
            <w:shd w:val="clear" w:color="auto" w:fill="EAF1DD"/>
            <w:tcMar>
              <w:top w:w="15" w:type="dxa"/>
              <w:left w:w="15" w:type="dxa"/>
              <w:bottom w:w="15" w:type="dxa"/>
              <w:right w:w="15" w:type="dxa"/>
            </w:tcMar>
            <w:vAlign w:val="center"/>
            <w:hideMark/>
          </w:tcPr>
          <w:p w14:paraId="12BFB708" w14:textId="77777777" w:rsidR="00612411" w:rsidRDefault="00612411" w:rsidP="003933D5">
            <w:pPr>
              <w:jc w:val="center"/>
              <w:rPr>
                <w:rFonts w:eastAsia="Times New Roman"/>
                <w:color w:val="000000"/>
              </w:rPr>
            </w:pPr>
            <w:r>
              <w:rPr>
                <w:rFonts w:eastAsia="Times New Roman"/>
                <w:color w:val="000000"/>
              </w:rPr>
              <w:t xml:space="preserve">Cell </w:t>
            </w:r>
            <w:proofErr w:type="spellStart"/>
            <w:r>
              <w:rPr>
                <w:rFonts w:eastAsia="Times New Roman"/>
                <w:color w:val="000000"/>
              </w:rPr>
              <w:t>signalling</w:t>
            </w:r>
            <w:proofErr w:type="spellEnd"/>
          </w:p>
        </w:tc>
      </w:tr>
    </w:tbl>
    <w:p w14:paraId="070E5025" w14:textId="77777777" w:rsidR="00DE2CE3" w:rsidRPr="008B249B" w:rsidRDefault="00DE2CE3" w:rsidP="008B249B">
      <w:pPr>
        <w:spacing w:line="480" w:lineRule="auto"/>
        <w:rPr>
          <w:rFonts w:asciiTheme="minorHAnsi" w:hAnsiTheme="minorHAnsi" w:cstheme="minorHAnsi"/>
          <w:lang w:eastAsia="ja-JP"/>
        </w:rPr>
      </w:pPr>
    </w:p>
    <w:p w14:paraId="453CA163" w14:textId="77777777" w:rsidR="00DE2CE3" w:rsidRDefault="00DE2CE3" w:rsidP="00F27D26">
      <w:pPr>
        <w:spacing w:after="0" w:line="480" w:lineRule="auto"/>
        <w:rPr>
          <w:rFonts w:ascii="Times New Roman" w:hAnsi="Times New Roman" w:cs="Times New Roman"/>
          <w:b/>
          <w:lang w:val="en-IN"/>
        </w:rPr>
      </w:pPr>
    </w:p>
    <w:p w14:paraId="4BCBC2D5" w14:textId="77777777" w:rsidR="00956898" w:rsidRDefault="00956898" w:rsidP="00F27D26">
      <w:pPr>
        <w:spacing w:after="0" w:line="480" w:lineRule="auto"/>
        <w:rPr>
          <w:rFonts w:ascii="Times New Roman" w:hAnsi="Times New Roman" w:cs="Times New Roman"/>
          <w:b/>
          <w:lang w:val="en-IN"/>
        </w:rPr>
      </w:pPr>
    </w:p>
    <w:p w14:paraId="62FE4AFB" w14:textId="77777777" w:rsidR="00956898" w:rsidRDefault="00956898" w:rsidP="00F27D26">
      <w:pPr>
        <w:spacing w:after="0" w:line="480" w:lineRule="auto"/>
        <w:rPr>
          <w:rFonts w:ascii="Times New Roman" w:hAnsi="Times New Roman" w:cs="Times New Roman"/>
          <w:b/>
          <w:lang w:val="en-IN"/>
        </w:rPr>
      </w:pPr>
    </w:p>
    <w:p w14:paraId="508F64B6" w14:textId="77777777" w:rsidR="00956898" w:rsidRDefault="00956898" w:rsidP="00F27D26">
      <w:pPr>
        <w:spacing w:after="0" w:line="480" w:lineRule="auto"/>
        <w:rPr>
          <w:rFonts w:ascii="Times New Roman" w:hAnsi="Times New Roman" w:cs="Times New Roman"/>
          <w:b/>
          <w:lang w:val="en-IN"/>
        </w:rPr>
      </w:pPr>
    </w:p>
    <w:p w14:paraId="281778AE" w14:textId="77777777" w:rsidR="00FE4488" w:rsidRDefault="00FE4488" w:rsidP="00F27D26">
      <w:pPr>
        <w:spacing w:after="0" w:line="480" w:lineRule="auto"/>
        <w:rPr>
          <w:rFonts w:ascii="Times New Roman" w:hAnsi="Times New Roman" w:cs="Times New Roman"/>
          <w:b/>
          <w:lang w:val="en-IN"/>
        </w:rPr>
      </w:pPr>
      <w:r>
        <w:rPr>
          <w:rFonts w:ascii="Times New Roman" w:hAnsi="Times New Roman" w:cs="Times New Roman"/>
          <w:b/>
          <w:lang w:val="en-IN"/>
        </w:rPr>
        <w:t>Results</w:t>
      </w:r>
    </w:p>
    <w:p w14:paraId="277D6788" w14:textId="533010E7" w:rsidR="00FE4488" w:rsidRPr="00423B2D" w:rsidRDefault="00FE4488" w:rsidP="00F27D26">
      <w:pPr>
        <w:spacing w:after="0" w:line="480" w:lineRule="auto"/>
        <w:rPr>
          <w:rFonts w:ascii="Times New Roman" w:hAnsi="Times New Roman" w:cs="Times New Roman"/>
          <w:b/>
          <w:lang w:val="en-IN"/>
        </w:rPr>
      </w:pPr>
      <w:r>
        <w:rPr>
          <w:rFonts w:ascii="Times New Roman" w:hAnsi="Times New Roman" w:cs="Times New Roman"/>
          <w:b/>
          <w:lang w:val="en-IN"/>
        </w:rPr>
        <w:t xml:space="preserve">Table </w:t>
      </w:r>
      <w:r w:rsidR="00612411">
        <w:rPr>
          <w:rFonts w:ascii="Times New Roman" w:hAnsi="Times New Roman" w:cs="Times New Roman"/>
          <w:b/>
          <w:lang w:val="en-IN"/>
        </w:rPr>
        <w:t>3</w:t>
      </w:r>
      <w:r>
        <w:rPr>
          <w:rFonts w:ascii="Times New Roman" w:hAnsi="Times New Roman" w:cs="Times New Roman"/>
          <w:b/>
          <w:lang w:val="en-IN"/>
        </w:rPr>
        <w:t xml:space="preserve"> – Details of calculating NAFLD activity score</w:t>
      </w:r>
    </w:p>
    <w:p w14:paraId="10F9885A" w14:textId="77777777" w:rsidR="00192E8D" w:rsidRDefault="00FE4488">
      <w:r>
        <w:rPr>
          <w:noProof/>
          <w:lang w:val="en-IN" w:eastAsia="en-IN"/>
        </w:rPr>
        <w:lastRenderedPageBreak/>
        <w:drawing>
          <wp:inline distT="0" distB="0" distL="0" distR="0" wp14:anchorId="28A65F34" wp14:editId="119F0A23">
            <wp:extent cx="5731510" cy="3676650"/>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31510" cy="3676650"/>
                    </a:xfrm>
                    <a:prstGeom prst="rect">
                      <a:avLst/>
                    </a:prstGeom>
                    <a:noFill/>
                    <a:ln w="9525">
                      <a:noFill/>
                      <a:miter lim="800000"/>
                      <a:headEnd/>
                      <a:tailEnd/>
                    </a:ln>
                  </pic:spPr>
                </pic:pic>
              </a:graphicData>
            </a:graphic>
          </wp:inline>
        </w:drawing>
      </w:r>
    </w:p>
    <w:p w14:paraId="4FF0A429" w14:textId="77777777" w:rsidR="00381AF6" w:rsidRDefault="00381AF6"/>
    <w:p w14:paraId="5DD68CF6" w14:textId="77777777" w:rsidR="004D13E7" w:rsidRDefault="004D13E7"/>
    <w:p w14:paraId="0AEAB1EE" w14:textId="77777777" w:rsidR="004D13E7" w:rsidRDefault="004D13E7"/>
    <w:p w14:paraId="68B8B4E6" w14:textId="77777777" w:rsidR="004D13E7" w:rsidRDefault="004D13E7"/>
    <w:p w14:paraId="1100D9AA" w14:textId="77777777" w:rsidR="004D13E7" w:rsidRDefault="004D13E7"/>
    <w:p w14:paraId="68AAF6C4" w14:textId="77777777" w:rsidR="004D13E7" w:rsidRDefault="004D13E7"/>
    <w:p w14:paraId="01C9BD42" w14:textId="77777777" w:rsidR="00381AF6" w:rsidRDefault="00381AF6"/>
    <w:p w14:paraId="336E50B6" w14:textId="77777777" w:rsidR="00381AF6" w:rsidRDefault="00381AF6"/>
    <w:p w14:paraId="2A1B37C1" w14:textId="77777777" w:rsidR="002E6946" w:rsidRDefault="002E6946"/>
    <w:p w14:paraId="7136A53A" w14:textId="77777777" w:rsidR="002E6946" w:rsidRDefault="002E6946"/>
    <w:p w14:paraId="586D9229" w14:textId="77777777" w:rsidR="002E6946" w:rsidRDefault="002E6946"/>
    <w:p w14:paraId="7E8D24E7" w14:textId="77777777" w:rsidR="004D13E7" w:rsidRDefault="004D13E7">
      <w:pPr>
        <w:rPr>
          <w:rFonts w:ascii="Times New Roman" w:hAnsi="Times New Roman" w:cs="Times New Roman"/>
          <w:b/>
        </w:rPr>
      </w:pPr>
    </w:p>
    <w:p w14:paraId="07CDB559" w14:textId="77777777" w:rsidR="004D13E7" w:rsidRDefault="004D13E7">
      <w:pPr>
        <w:rPr>
          <w:rFonts w:ascii="Times New Roman" w:hAnsi="Times New Roman" w:cs="Times New Roman"/>
          <w:b/>
        </w:rPr>
      </w:pPr>
    </w:p>
    <w:p w14:paraId="79B2BB85" w14:textId="77777777" w:rsidR="00381AF6" w:rsidRPr="002E6946" w:rsidRDefault="002E6946">
      <w:pPr>
        <w:rPr>
          <w:rFonts w:ascii="Times New Roman" w:hAnsi="Times New Roman" w:cs="Times New Roman"/>
          <w:b/>
        </w:rPr>
      </w:pPr>
      <w:r w:rsidRPr="002E6946">
        <w:rPr>
          <w:rFonts w:ascii="Times New Roman" w:hAnsi="Times New Roman" w:cs="Times New Roman"/>
          <w:b/>
        </w:rPr>
        <w:t xml:space="preserve">Figure 1 </w:t>
      </w:r>
      <w:r>
        <w:rPr>
          <w:rFonts w:ascii="Times New Roman" w:hAnsi="Times New Roman" w:cs="Times New Roman"/>
          <w:b/>
          <w:color w:val="222222"/>
          <w:shd w:val="clear" w:color="auto" w:fill="FFFFFF"/>
        </w:rPr>
        <w:t>F</w:t>
      </w:r>
      <w:r w:rsidRPr="002E6946">
        <w:rPr>
          <w:rFonts w:ascii="Times New Roman" w:hAnsi="Times New Roman" w:cs="Times New Roman"/>
          <w:b/>
          <w:color w:val="222222"/>
          <w:shd w:val="clear" w:color="auto" w:fill="FFFFFF"/>
        </w:rPr>
        <w:t xml:space="preserve">ull-length western blots </w:t>
      </w:r>
    </w:p>
    <w:p w14:paraId="58D0D341" w14:textId="77777777" w:rsidR="00381AF6" w:rsidRDefault="00381AF6"/>
    <w:p w14:paraId="5E453ADB" w14:textId="77777777" w:rsidR="00381AF6" w:rsidRDefault="00381AF6">
      <w:r>
        <w:rPr>
          <w:noProof/>
          <w:lang w:val="en-IN" w:eastAsia="en-IN"/>
        </w:rPr>
        <w:lastRenderedPageBreak/>
        <w:drawing>
          <wp:inline distT="0" distB="0" distL="0" distR="0" wp14:anchorId="1D5495B1" wp14:editId="50FF6AE3">
            <wp:extent cx="5293360" cy="4295775"/>
            <wp:effectExtent l="19050" t="0" r="2540" b="0"/>
            <wp:docPr id="3" name="Picture 1" descr="C:\Users\lakshmi\Documents\Results\NASH fibrosis Japan\data and report\total nfk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kshmi\Documents\Results\NASH fibrosis Japan\data and report\total nfkb2.jpg"/>
                    <pic:cNvPicPr>
                      <a:picLocks noChangeAspect="1" noChangeArrowheads="1"/>
                    </pic:cNvPicPr>
                  </pic:nvPicPr>
                  <pic:blipFill>
                    <a:blip r:embed="rId6"/>
                    <a:srcRect l="7645"/>
                    <a:stretch>
                      <a:fillRect/>
                    </a:stretch>
                  </pic:blipFill>
                  <pic:spPr bwMode="auto">
                    <a:xfrm>
                      <a:off x="0" y="0"/>
                      <a:ext cx="5293360" cy="4295775"/>
                    </a:xfrm>
                    <a:prstGeom prst="rect">
                      <a:avLst/>
                    </a:prstGeom>
                    <a:noFill/>
                    <a:ln w="9525">
                      <a:noFill/>
                      <a:miter lim="800000"/>
                      <a:headEnd/>
                      <a:tailEnd/>
                    </a:ln>
                  </pic:spPr>
                </pic:pic>
              </a:graphicData>
            </a:graphic>
          </wp:inline>
        </w:drawing>
      </w:r>
    </w:p>
    <w:p w14:paraId="20EFC006" w14:textId="77777777" w:rsidR="00381AF6" w:rsidRDefault="00381AF6">
      <w:r>
        <w:rPr>
          <w:noProof/>
          <w:lang w:val="en-IN" w:eastAsia="en-IN"/>
        </w:rPr>
        <w:drawing>
          <wp:inline distT="0" distB="0" distL="0" distR="0" wp14:anchorId="71B45A28" wp14:editId="2EF3AC9D">
            <wp:extent cx="5236210" cy="4295775"/>
            <wp:effectExtent l="19050" t="0" r="2540" b="0"/>
            <wp:docPr id="4" name="Picture 2" descr="C:\Users\lakshmi\Documents\Results\NASH fibrosis Japan\data and report\phosph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kshmi\Documents\Results\NASH fibrosis Japan\data and report\phospho 2.jpg"/>
                    <pic:cNvPicPr>
                      <a:picLocks noChangeAspect="1" noChangeArrowheads="1"/>
                    </pic:cNvPicPr>
                  </pic:nvPicPr>
                  <pic:blipFill>
                    <a:blip r:embed="rId7"/>
                    <a:srcRect l="8642"/>
                    <a:stretch>
                      <a:fillRect/>
                    </a:stretch>
                  </pic:blipFill>
                  <pic:spPr bwMode="auto">
                    <a:xfrm>
                      <a:off x="0" y="0"/>
                      <a:ext cx="5236210" cy="4295775"/>
                    </a:xfrm>
                    <a:prstGeom prst="rect">
                      <a:avLst/>
                    </a:prstGeom>
                    <a:noFill/>
                    <a:ln w="9525">
                      <a:noFill/>
                      <a:miter lim="800000"/>
                      <a:headEnd/>
                      <a:tailEnd/>
                    </a:ln>
                  </pic:spPr>
                </pic:pic>
              </a:graphicData>
            </a:graphic>
          </wp:inline>
        </w:drawing>
      </w:r>
    </w:p>
    <w:sectPr w:rsidR="00381AF6" w:rsidSect="000A4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D26"/>
    <w:rsid w:val="000A4817"/>
    <w:rsid w:val="00192E8D"/>
    <w:rsid w:val="002E6946"/>
    <w:rsid w:val="003771E3"/>
    <w:rsid w:val="00381AF6"/>
    <w:rsid w:val="003C7BBD"/>
    <w:rsid w:val="004249D0"/>
    <w:rsid w:val="004C5F80"/>
    <w:rsid w:val="004D13E7"/>
    <w:rsid w:val="004D49E2"/>
    <w:rsid w:val="00561ECC"/>
    <w:rsid w:val="005A2A4B"/>
    <w:rsid w:val="00612411"/>
    <w:rsid w:val="00657153"/>
    <w:rsid w:val="007306C3"/>
    <w:rsid w:val="00751F6D"/>
    <w:rsid w:val="007A1E5A"/>
    <w:rsid w:val="007C7A94"/>
    <w:rsid w:val="00827A1B"/>
    <w:rsid w:val="008B249B"/>
    <w:rsid w:val="009208F8"/>
    <w:rsid w:val="00956898"/>
    <w:rsid w:val="009C27CF"/>
    <w:rsid w:val="00B47A0C"/>
    <w:rsid w:val="00B6653B"/>
    <w:rsid w:val="00BD1F95"/>
    <w:rsid w:val="00C75B5D"/>
    <w:rsid w:val="00CB705A"/>
    <w:rsid w:val="00D37F22"/>
    <w:rsid w:val="00D70B26"/>
    <w:rsid w:val="00D871D8"/>
    <w:rsid w:val="00DE2CE3"/>
    <w:rsid w:val="00E977EC"/>
    <w:rsid w:val="00F27D26"/>
    <w:rsid w:val="00F91389"/>
    <w:rsid w:val="00FC007F"/>
    <w:rsid w:val="00FE01D0"/>
    <w:rsid w:val="00FE4488"/>
    <w:rsid w:val="00FF7A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85C7E"/>
  <w15:docId w15:val="{F8D96C12-678E-4454-ACB7-2489A5AC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24"/>
        <w:szCs w:val="24"/>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D26"/>
    <w:rPr>
      <w:lang w:val="en-US"/>
    </w:rPr>
  </w:style>
  <w:style w:type="paragraph" w:styleId="Heading2">
    <w:name w:val="heading 2"/>
    <w:basedOn w:val="Normal"/>
    <w:next w:val="Normal"/>
    <w:link w:val="Heading2Char"/>
    <w:uiPriority w:val="9"/>
    <w:unhideWhenUsed/>
    <w:qFormat/>
    <w:rsid w:val="003771E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4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488"/>
    <w:rPr>
      <w:rFonts w:ascii="Tahoma" w:hAnsi="Tahoma" w:cs="Tahoma"/>
      <w:sz w:val="16"/>
      <w:szCs w:val="16"/>
      <w:lang w:val="en-US"/>
    </w:rPr>
  </w:style>
  <w:style w:type="paragraph" w:styleId="CommentText">
    <w:name w:val="annotation text"/>
    <w:basedOn w:val="Normal"/>
    <w:link w:val="CommentTextChar"/>
    <w:uiPriority w:val="99"/>
    <w:unhideWhenUsed/>
    <w:rsid w:val="007306C3"/>
    <w:pPr>
      <w:spacing w:line="240" w:lineRule="auto"/>
    </w:pPr>
    <w:rPr>
      <w:sz w:val="20"/>
      <w:szCs w:val="20"/>
    </w:rPr>
  </w:style>
  <w:style w:type="character" w:customStyle="1" w:styleId="CommentTextChar">
    <w:name w:val="Comment Text Char"/>
    <w:basedOn w:val="DefaultParagraphFont"/>
    <w:link w:val="CommentText"/>
    <w:uiPriority w:val="99"/>
    <w:rsid w:val="007306C3"/>
    <w:rPr>
      <w:sz w:val="20"/>
      <w:szCs w:val="20"/>
      <w:lang w:val="en-US"/>
    </w:rPr>
  </w:style>
  <w:style w:type="paragraph" w:styleId="Title">
    <w:name w:val="Title"/>
    <w:basedOn w:val="Normal"/>
    <w:next w:val="Normal"/>
    <w:link w:val="TitleChar"/>
    <w:qFormat/>
    <w:rsid w:val="007306C3"/>
    <w:pPr>
      <w:suppressLineNumbers/>
      <w:spacing w:before="240" w:after="360" w:line="240" w:lineRule="auto"/>
      <w:jc w:val="center"/>
    </w:pPr>
    <w:rPr>
      <w:rFonts w:ascii="Times New Roman" w:hAnsi="Times New Roman" w:cs="Times New Roman"/>
      <w:b/>
      <w:sz w:val="32"/>
      <w:szCs w:val="32"/>
    </w:rPr>
  </w:style>
  <w:style w:type="character" w:customStyle="1" w:styleId="TitleChar">
    <w:name w:val="Title Char"/>
    <w:basedOn w:val="DefaultParagraphFont"/>
    <w:link w:val="Title"/>
    <w:rsid w:val="007306C3"/>
    <w:rPr>
      <w:rFonts w:ascii="Times New Roman" w:hAnsi="Times New Roman" w:cs="Times New Roman"/>
      <w:b/>
      <w:sz w:val="32"/>
      <w:szCs w:val="32"/>
      <w:lang w:val="en-US"/>
    </w:rPr>
  </w:style>
  <w:style w:type="character" w:customStyle="1" w:styleId="Heading2Char">
    <w:name w:val="Heading 2 Char"/>
    <w:basedOn w:val="DefaultParagraphFont"/>
    <w:link w:val="Heading2"/>
    <w:uiPriority w:val="9"/>
    <w:rsid w:val="003771E3"/>
    <w:rPr>
      <w:rFonts w:asciiTheme="majorHAnsi" w:eastAsiaTheme="majorEastAsia" w:hAnsiTheme="majorHAnsi" w:cstheme="majorBidi"/>
      <w:b/>
      <w:bCs/>
      <w:color w:val="4F81BD" w:themeColor="accent1"/>
      <w:sz w:val="26"/>
      <w:szCs w:val="26"/>
      <w:lang w:val="en-US"/>
    </w:rPr>
  </w:style>
  <w:style w:type="character" w:customStyle="1" w:styleId="apple-converted-space">
    <w:name w:val="apple-converted-space"/>
    <w:basedOn w:val="DefaultParagraphFont"/>
    <w:rsid w:val="00561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274962">
      <w:bodyDiv w:val="1"/>
      <w:marLeft w:val="0"/>
      <w:marRight w:val="0"/>
      <w:marTop w:val="0"/>
      <w:marBottom w:val="0"/>
      <w:divBdr>
        <w:top w:val="none" w:sz="0" w:space="0" w:color="auto"/>
        <w:left w:val="none" w:sz="0" w:space="0" w:color="auto"/>
        <w:bottom w:val="none" w:sz="0" w:space="0" w:color="auto"/>
        <w:right w:val="none" w:sz="0" w:space="0" w:color="auto"/>
      </w:divBdr>
    </w:div>
    <w:div w:id="154324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22279-97E4-496B-A5A7-20BF6696E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1392</Words>
  <Characters>7937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Lakshmi Mundkur</cp:lastModifiedBy>
  <cp:revision>2</cp:revision>
  <dcterms:created xsi:type="dcterms:W3CDTF">2020-02-21T11:29:00Z</dcterms:created>
  <dcterms:modified xsi:type="dcterms:W3CDTF">2020-03-30T09:52:00Z</dcterms:modified>
</cp:coreProperties>
</file>