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6FD" w:rsidRPr="00F51219" w:rsidRDefault="000C3531" w:rsidP="005076FD">
      <w:pPr>
        <w:spacing w:line="360" w:lineRule="auto"/>
        <w:rPr>
          <w:b/>
        </w:rPr>
      </w:pPr>
      <w:r>
        <w:rPr>
          <w:b/>
          <w:kern w:val="0"/>
        </w:rPr>
        <w:t>Ability of the post-operative ALBI grade to predict the outcomes of hepatocellular carcinoma after curative surgery</w:t>
      </w:r>
    </w:p>
    <w:p w:rsidR="005076FD" w:rsidRPr="00F51219" w:rsidRDefault="005076FD" w:rsidP="005076FD">
      <w:pPr>
        <w:spacing w:line="480" w:lineRule="auto"/>
      </w:pPr>
    </w:p>
    <w:p w:rsidR="005076FD" w:rsidRPr="00F51219" w:rsidRDefault="005076FD" w:rsidP="005076FD">
      <w:pPr>
        <w:spacing w:line="480" w:lineRule="auto"/>
        <w:rPr>
          <w:vertAlign w:val="superscript"/>
        </w:rPr>
      </w:pPr>
      <w:r w:rsidRPr="00F51219">
        <w:t>Wei-Ru Cho</w:t>
      </w:r>
      <w:r w:rsidRPr="00F51219">
        <w:rPr>
          <w:vertAlign w:val="superscript"/>
        </w:rPr>
        <w:t>1</w:t>
      </w:r>
      <w:r w:rsidRPr="00F51219">
        <w:t>, Chao-Hung Hung</w:t>
      </w:r>
      <w:r w:rsidRPr="00F51219">
        <w:rPr>
          <w:vertAlign w:val="superscript"/>
        </w:rPr>
        <w:t>1</w:t>
      </w:r>
      <w:r w:rsidRPr="00F51219">
        <w:t>, Chien-Hung Chen</w:t>
      </w:r>
      <w:r w:rsidRPr="00F51219">
        <w:rPr>
          <w:vertAlign w:val="superscript"/>
        </w:rPr>
        <w:t>1</w:t>
      </w:r>
      <w:r w:rsidRPr="00F51219">
        <w:t xml:space="preserve">, </w:t>
      </w:r>
      <w:r w:rsidRPr="00F51219">
        <w:rPr>
          <w:rFonts w:eastAsia="標楷體"/>
        </w:rPr>
        <w:t>Chih-Che Lin</w:t>
      </w:r>
      <w:r w:rsidRPr="00F51219">
        <w:rPr>
          <w:rFonts w:eastAsia="標楷體"/>
          <w:vertAlign w:val="superscript"/>
        </w:rPr>
        <w:t>2</w:t>
      </w:r>
      <w:r w:rsidRPr="00F51219">
        <w:rPr>
          <w:rFonts w:eastAsia="標楷體"/>
        </w:rPr>
        <w:t>, Chih-Chi Wang</w:t>
      </w:r>
      <w:r w:rsidRPr="00F51219">
        <w:rPr>
          <w:rFonts w:eastAsia="標楷體"/>
          <w:vertAlign w:val="superscript"/>
        </w:rPr>
        <w:t>2</w:t>
      </w:r>
      <w:r w:rsidRPr="00F51219">
        <w:rPr>
          <w:rFonts w:eastAsia="標楷體"/>
        </w:rPr>
        <w:t>,</w:t>
      </w:r>
      <w:r w:rsidRPr="00F51219">
        <w:t xml:space="preserve"> Yueh-Wei Liu</w:t>
      </w:r>
      <w:r w:rsidRPr="00F51219">
        <w:rPr>
          <w:vertAlign w:val="superscript"/>
        </w:rPr>
        <w:t>2</w:t>
      </w:r>
      <w:r w:rsidRPr="00F51219">
        <w:t>, Yi-Ju Wu</w:t>
      </w:r>
      <w:r w:rsidRPr="00F51219">
        <w:rPr>
          <w:vertAlign w:val="superscript"/>
        </w:rPr>
        <w:t>2</w:t>
      </w:r>
      <w:r w:rsidRPr="00F51219">
        <w:t>, Chee-Chien Yong</w:t>
      </w:r>
      <w:r w:rsidRPr="00F51219">
        <w:rPr>
          <w:vertAlign w:val="superscript"/>
        </w:rPr>
        <w:t xml:space="preserve">2 </w:t>
      </w:r>
      <w:r w:rsidR="00C32856">
        <w:t xml:space="preserve">, </w:t>
      </w:r>
      <w:r w:rsidR="00C32856">
        <w:rPr>
          <w:kern w:val="0"/>
        </w:rPr>
        <w:t>Kuang-Den Chen</w:t>
      </w:r>
      <w:r w:rsidRPr="00F51219">
        <w:rPr>
          <w:vertAlign w:val="superscript"/>
        </w:rPr>
        <w:t>4</w:t>
      </w:r>
      <w:r w:rsidRPr="00F51219">
        <w:t>, Yu-Chieh Tsai</w:t>
      </w:r>
      <w:r w:rsidRPr="00F51219">
        <w:rPr>
          <w:vertAlign w:val="superscript"/>
        </w:rPr>
        <w:t>3</w:t>
      </w:r>
      <w:r w:rsidRPr="00F51219">
        <w:t>, Tsung-Hui Hu</w:t>
      </w:r>
      <w:r w:rsidRPr="00F51219">
        <w:rPr>
          <w:vertAlign w:val="superscript"/>
        </w:rPr>
        <w:t>1</w:t>
      </w:r>
      <w:r w:rsidRPr="00F51219">
        <w:t>, Ming-Chao Tsai</w:t>
      </w:r>
      <w:r w:rsidRPr="00F51219">
        <w:rPr>
          <w:vertAlign w:val="superscript"/>
        </w:rPr>
        <w:t>1,5</w:t>
      </w:r>
    </w:p>
    <w:p w:rsidR="005076FD" w:rsidRPr="00F51219" w:rsidRDefault="005076FD" w:rsidP="005076FD">
      <w:pPr>
        <w:spacing w:line="480" w:lineRule="auto"/>
      </w:pPr>
    </w:p>
    <w:p w:rsidR="005076FD" w:rsidRPr="00F51219" w:rsidRDefault="005076FD" w:rsidP="005076FD">
      <w:pPr>
        <w:spacing w:line="480" w:lineRule="auto"/>
      </w:pPr>
      <w:r w:rsidRPr="00F51219">
        <w:rPr>
          <w:vertAlign w:val="superscript"/>
        </w:rPr>
        <w:t>1.</w:t>
      </w:r>
      <w:r w:rsidRPr="00F51219">
        <w:t xml:space="preserve">Division of Hepato-Gastroenterology, Department of Internal Medicine, </w:t>
      </w:r>
      <w:r w:rsidRPr="00F51219">
        <w:rPr>
          <w:rFonts w:eastAsia="Times New Roman"/>
        </w:rPr>
        <w:t>Kaohsiung Chang Gung Memorial Hospital and Chang Gung University College of Medicine, Kaohsiung, Taiwan</w:t>
      </w:r>
      <w:r w:rsidRPr="00F51219">
        <w:t xml:space="preserve">; </w:t>
      </w:r>
      <w:r w:rsidRPr="00F51219">
        <w:rPr>
          <w:rStyle w:val="highlight"/>
          <w:rFonts w:eastAsia="Times New Roman"/>
          <w:vertAlign w:val="superscript"/>
        </w:rPr>
        <w:t>2.</w:t>
      </w:r>
      <w:r w:rsidRPr="00F51219">
        <w:rPr>
          <w:rStyle w:val="highlight"/>
          <w:rFonts w:eastAsia="Times New Roman"/>
        </w:rPr>
        <w:t>Liver Transplantation</w:t>
      </w:r>
      <w:r w:rsidRPr="00F51219">
        <w:rPr>
          <w:rFonts w:eastAsia="Times New Roman"/>
        </w:rPr>
        <w:t xml:space="preserve"> Center and Department of Surgery, Kaohsiung Chang Gung Memorial Hospital and Chang Gung University College of Medicine, Kaohsiung, Taiwan</w:t>
      </w:r>
      <w:r w:rsidRPr="00F51219">
        <w:t>;</w:t>
      </w:r>
      <w:r w:rsidRPr="00F51219">
        <w:rPr>
          <w:kern w:val="0"/>
          <w:vertAlign w:val="superscript"/>
        </w:rPr>
        <w:t xml:space="preserve"> 3.</w:t>
      </w:r>
      <w:r w:rsidRPr="00F51219">
        <w:rPr>
          <w:kern w:val="0"/>
        </w:rPr>
        <w:t>Center for Translational Research in Biomedical Sciences, Liver Transplantation Program and Department of Surgery, Kaohsiung Chang Gung Memorial Hospital and Chang Gung University College of Medicine, Kaohsiung, Taiwan</w:t>
      </w:r>
      <w:r w:rsidRPr="00F51219">
        <w:t xml:space="preserve"> </w:t>
      </w:r>
      <w:r w:rsidRPr="00F51219">
        <w:rPr>
          <w:vertAlign w:val="superscript"/>
        </w:rPr>
        <w:t>4.</w:t>
      </w:r>
      <w:r w:rsidRPr="00F51219">
        <w:t xml:space="preserve">Department of Internal Medicine, Kaohsiung Chang Gung Memorial Hospital; </w:t>
      </w:r>
      <w:r w:rsidRPr="00F51219">
        <w:rPr>
          <w:vertAlign w:val="superscript"/>
        </w:rPr>
        <w:t>5.</w:t>
      </w:r>
      <w:r w:rsidRPr="00F51219">
        <w:t xml:space="preserve"> </w:t>
      </w:r>
      <w:r w:rsidRPr="00F51219">
        <w:rPr>
          <w:rFonts w:eastAsia="標楷體"/>
        </w:rPr>
        <w:t>Graduate Institute of Clinical Medical Sciences</w:t>
      </w:r>
      <w:r w:rsidRPr="00F51219">
        <w:t xml:space="preserve">, </w:t>
      </w:r>
      <w:r w:rsidRPr="00F51219">
        <w:rPr>
          <w:rFonts w:eastAsia="標楷體"/>
        </w:rPr>
        <w:t>Chang Gung University College of Medicine, Taiwan</w:t>
      </w:r>
    </w:p>
    <w:p w:rsidR="005076FD" w:rsidRPr="00F51219" w:rsidRDefault="005076FD" w:rsidP="005076FD">
      <w:pPr>
        <w:spacing w:line="360" w:lineRule="auto"/>
        <w:rPr>
          <w:kern w:val="0"/>
        </w:rPr>
      </w:pPr>
      <w:r w:rsidRPr="00F51219">
        <w:rPr>
          <w:b/>
          <w:kern w:val="0"/>
        </w:rPr>
        <w:br w:type="page"/>
      </w:r>
    </w:p>
    <w:p w:rsidR="005076FD" w:rsidRPr="00F51219" w:rsidRDefault="005076FD" w:rsidP="005076FD">
      <w:pPr>
        <w:spacing w:line="360" w:lineRule="auto"/>
        <w:rPr>
          <w:b/>
          <w:kern w:val="0"/>
        </w:rPr>
      </w:pPr>
      <w:r w:rsidRPr="00F51219">
        <w:rPr>
          <w:b/>
          <w:kern w:val="0"/>
        </w:rPr>
        <w:lastRenderedPageBreak/>
        <w:t>Correspondence to</w:t>
      </w:r>
    </w:p>
    <w:p w:rsidR="005076FD" w:rsidRPr="00F51219" w:rsidRDefault="005076FD" w:rsidP="005076FD">
      <w:pPr>
        <w:spacing w:line="360" w:lineRule="auto"/>
      </w:pPr>
      <w:r w:rsidRPr="00F51219">
        <w:t>Ming-Chao Tsai</w:t>
      </w:r>
    </w:p>
    <w:p w:rsidR="005076FD" w:rsidRPr="00F51219" w:rsidRDefault="005076FD" w:rsidP="005076FD">
      <w:pPr>
        <w:spacing w:line="480" w:lineRule="auto"/>
      </w:pPr>
      <w:r w:rsidRPr="00F51219">
        <w:t xml:space="preserve">Division of Hepato-Gastroenterology, Department of Internal Medicine, Kaohsiung Chang Gung Memorial Hospital, </w:t>
      </w:r>
      <w:r w:rsidRPr="00F51219">
        <w:rPr>
          <w:rFonts w:eastAsia="標楷體"/>
          <w:snapToGrid w:val="0"/>
        </w:rPr>
        <w:t xml:space="preserve">123 Ta Pei Road, </w:t>
      </w:r>
      <w:r w:rsidRPr="00F51219">
        <w:t>Kaohsiung, Taiwan</w:t>
      </w:r>
    </w:p>
    <w:p w:rsidR="005076FD" w:rsidRPr="00F51219" w:rsidRDefault="005076FD" w:rsidP="005076FD">
      <w:pPr>
        <w:spacing w:line="480" w:lineRule="auto"/>
      </w:pPr>
      <w:r w:rsidRPr="00F51219">
        <w:t xml:space="preserve">Tel: +886-7-731-7123, ext. 8310; Fax: +886-7-732-2402; </w:t>
      </w:r>
    </w:p>
    <w:p w:rsidR="005076FD" w:rsidRPr="00F51219" w:rsidRDefault="005076FD" w:rsidP="005076FD">
      <w:pPr>
        <w:spacing w:line="480" w:lineRule="auto"/>
        <w:rPr>
          <w:rStyle w:val="a4"/>
        </w:rPr>
      </w:pPr>
      <w:r w:rsidRPr="00F51219">
        <w:t>E-mail: tony0779@gmail.com</w:t>
      </w:r>
    </w:p>
    <w:p w:rsidR="00F631E9" w:rsidRPr="005076FD" w:rsidRDefault="00F631E9"/>
    <w:p w:rsidR="005076FD" w:rsidRDefault="005076FD"/>
    <w:p w:rsidR="005076FD" w:rsidRDefault="005076FD"/>
    <w:p w:rsidR="005076FD" w:rsidRDefault="005076FD"/>
    <w:p w:rsidR="005076FD" w:rsidRDefault="005076FD"/>
    <w:p w:rsidR="005076FD" w:rsidRDefault="005076FD"/>
    <w:p w:rsidR="005076FD" w:rsidRDefault="005076FD"/>
    <w:p w:rsidR="005076FD" w:rsidRDefault="005076FD">
      <w:pPr>
        <w:widowControl/>
      </w:pPr>
      <w:r>
        <w:br w:type="page"/>
      </w:r>
    </w:p>
    <w:p w:rsidR="005076FD" w:rsidRPr="00F51219" w:rsidRDefault="005076FD" w:rsidP="005076FD">
      <w:pPr>
        <w:rPr>
          <w:b/>
        </w:rPr>
      </w:pPr>
      <w:r w:rsidRPr="00F51219">
        <w:rPr>
          <w:b/>
        </w:rPr>
        <w:lastRenderedPageBreak/>
        <w:t>Figure S1: Recurrence-free survival (A) and liver-related survival (B) in HCC patients after curative resection according to the operation year</w:t>
      </w:r>
      <w:r w:rsidRPr="00F51219">
        <w:t xml:space="preserve"> </w:t>
      </w:r>
    </w:p>
    <w:p w:rsidR="005076FD" w:rsidRPr="00F51219" w:rsidRDefault="005076FD" w:rsidP="005076FD">
      <w:pPr>
        <w:rPr>
          <w:b/>
        </w:rPr>
      </w:pPr>
      <w:r w:rsidRPr="00F51219">
        <w:rPr>
          <w:b/>
        </w:rPr>
        <w:t xml:space="preserve">(A)                                                       </w:t>
      </w:r>
    </w:p>
    <w:p w:rsidR="005076FD" w:rsidRPr="00F51219" w:rsidRDefault="00BE799D" w:rsidP="005076FD">
      <w:pPr>
        <w:rPr>
          <w:b/>
        </w:rPr>
      </w:pPr>
      <w:r w:rsidRPr="00BE799D">
        <w:rPr>
          <w:b/>
          <w:noProof/>
        </w:rPr>
        <w:drawing>
          <wp:inline distT="0" distB="0" distL="0" distR="0">
            <wp:extent cx="4693567" cy="3531383"/>
            <wp:effectExtent l="0" t="0" r="0" b="0"/>
            <wp:docPr id="1" name="圖片 1" descr="C:\Users\韋儒\Desktop\Scientific reports 216\supplementary 圖片\新增資料夾\figure S1 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韋儒\Desktop\Scientific reports 216\supplementary 圖片\新增資料夾\figure S1 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500" cy="35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EAD" w:rsidRDefault="005076FD" w:rsidP="005076FD">
      <w:pPr>
        <w:rPr>
          <w:noProof/>
        </w:rPr>
      </w:pPr>
      <w:r w:rsidRPr="00F51219">
        <w:rPr>
          <w:b/>
        </w:rPr>
        <w:t>(B)</w:t>
      </w:r>
      <w:r w:rsidRPr="005076FD">
        <w:rPr>
          <w:noProof/>
        </w:rPr>
        <w:t xml:space="preserve"> </w:t>
      </w:r>
    </w:p>
    <w:p w:rsidR="005B0EAD" w:rsidRDefault="00BE799D">
      <w:pPr>
        <w:widowControl/>
        <w:rPr>
          <w:noProof/>
        </w:rPr>
      </w:pPr>
      <w:r w:rsidRPr="00BE799D">
        <w:rPr>
          <w:noProof/>
        </w:rPr>
        <w:drawing>
          <wp:inline distT="0" distB="0" distL="0" distR="0" wp14:anchorId="1F7BCB6A" wp14:editId="6B3768FD">
            <wp:extent cx="4605010" cy="3165714"/>
            <wp:effectExtent l="0" t="0" r="5715" b="0"/>
            <wp:docPr id="3" name="圖片 3" descr="C:\Users\韋儒\Desktop\Scientific reports 216\supplementary 圖片\新增資料夾\figure S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韋儒\Desktop\Scientific reports 216\supplementary 圖片\新增資料夾\figure S1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415" cy="3187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99D" w:rsidRDefault="00BE799D" w:rsidP="005B0EAD">
      <w:pPr>
        <w:rPr>
          <w:b/>
        </w:rPr>
      </w:pPr>
    </w:p>
    <w:p w:rsidR="00BE799D" w:rsidRDefault="00BE799D" w:rsidP="005B0EAD">
      <w:pPr>
        <w:rPr>
          <w:b/>
        </w:rPr>
      </w:pPr>
    </w:p>
    <w:p w:rsidR="00BE799D" w:rsidRDefault="00BE799D" w:rsidP="005B0EAD">
      <w:pPr>
        <w:rPr>
          <w:b/>
        </w:rPr>
      </w:pPr>
    </w:p>
    <w:p w:rsidR="00BE799D" w:rsidRDefault="00BE799D" w:rsidP="005B0EAD">
      <w:pPr>
        <w:rPr>
          <w:b/>
        </w:rPr>
      </w:pPr>
    </w:p>
    <w:p w:rsidR="005B0EAD" w:rsidRPr="005B0EAD" w:rsidRDefault="005B0EAD" w:rsidP="005B0EAD">
      <w:pPr>
        <w:rPr>
          <w:b/>
        </w:rPr>
      </w:pPr>
      <w:r w:rsidRPr="00F51219">
        <w:rPr>
          <w:b/>
        </w:rPr>
        <w:lastRenderedPageBreak/>
        <w:t>Figure S</w:t>
      </w:r>
      <w:r w:rsidRPr="00F51219">
        <w:rPr>
          <w:rFonts w:hint="eastAsia"/>
          <w:b/>
        </w:rPr>
        <w:t>2</w:t>
      </w:r>
      <w:r w:rsidRPr="00F51219">
        <w:rPr>
          <w:b/>
        </w:rPr>
        <w:t xml:space="preserve">: </w:t>
      </w:r>
      <w:r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The distribution of pre- operation Child-Pugh score and pre-operation ALBI score</w:t>
      </w:r>
    </w:p>
    <w:p w:rsidR="005B0EAD" w:rsidRDefault="005B0EAD" w:rsidP="005B0EAD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p w:rsidR="005B0EAD" w:rsidRDefault="00BE799D" w:rsidP="005B0EAD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r w:rsidRPr="00BE799D">
        <w:rPr>
          <w:rFonts w:ascii="Times New Roman" w:hAnsi="Times New Roman" w:cs="Times New Roman"/>
          <w:noProof/>
          <w:kern w:val="0"/>
          <w:szCs w:val="24"/>
        </w:rPr>
        <w:drawing>
          <wp:inline distT="0" distB="0" distL="0" distR="0">
            <wp:extent cx="5367256" cy="2928195"/>
            <wp:effectExtent l="0" t="0" r="5080" b="5715"/>
            <wp:docPr id="4" name="圖片 4" descr="C:\Users\韋儒\Desktop\Scientific reports 216\supplementary 圖片\新增資料夾\figure 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韋儒\Desktop\Scientific reports 216\supplementary 圖片\新增資料夾\figure S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356" cy="293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EAD" w:rsidRDefault="005B0EAD" w:rsidP="005B0EAD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p w:rsidR="005B0EAD" w:rsidRDefault="00197782" w:rsidP="005B0EAD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  <w:r>
        <w:rPr>
          <w:rFonts w:ascii="Times New Roman" w:hAnsi="Times New Roman" w:cs="Times New Roman"/>
          <w:kern w:val="0"/>
          <w:szCs w:val="24"/>
        </w:rPr>
        <w:t>The mean ALBI score</w:t>
      </w:r>
      <w:r w:rsidR="005B0EAD" w:rsidRPr="0035770D">
        <w:rPr>
          <w:rFonts w:ascii="Times New Roman" w:hAnsi="Times New Roman" w:cs="Times New Roman"/>
          <w:kern w:val="0"/>
          <w:szCs w:val="24"/>
        </w:rPr>
        <w:t xml:space="preserve"> </w:t>
      </w:r>
      <w:r w:rsidR="005B0EAD">
        <w:rPr>
          <w:rFonts w:ascii="Times New Roman" w:hAnsi="Times New Roman" w:cs="Times New Roman"/>
          <w:kern w:val="0"/>
          <w:szCs w:val="24"/>
        </w:rPr>
        <w:t xml:space="preserve">increases with higher </w:t>
      </w:r>
      <w:r w:rsidR="005B0EAD" w:rsidRPr="0035770D">
        <w:rPr>
          <w:rFonts w:ascii="Times New Roman" w:hAnsi="Times New Roman" w:cs="Times New Roman"/>
          <w:kern w:val="0"/>
          <w:szCs w:val="24"/>
        </w:rPr>
        <w:t>Child Pugh score (</w:t>
      </w:r>
      <w:r w:rsidR="005B0EAD" w:rsidRPr="0035770D">
        <w:rPr>
          <w:rFonts w:ascii="Times New Roman" w:hAnsi="Times New Roman" w:cs="Times New Roman" w:hint="eastAsia"/>
          <w:i/>
          <w:kern w:val="0"/>
          <w:szCs w:val="24"/>
        </w:rPr>
        <w:t>p=0.004 for linear trend</w:t>
      </w:r>
      <w:r w:rsidR="005B0EAD" w:rsidRPr="0035770D">
        <w:rPr>
          <w:rFonts w:ascii="Times New Roman" w:hAnsi="Times New Roman" w:cs="Times New Roman"/>
          <w:kern w:val="0"/>
          <w:szCs w:val="24"/>
        </w:rPr>
        <w:t>)</w:t>
      </w:r>
      <w:r w:rsidR="005B0EAD">
        <w:rPr>
          <w:rFonts w:ascii="Times New Roman" w:hAnsi="Times New Roman" w:cs="Times New Roman"/>
          <w:kern w:val="0"/>
          <w:szCs w:val="24"/>
        </w:rPr>
        <w:t>.</w:t>
      </w:r>
      <w:r w:rsidR="005B0EAD" w:rsidRPr="0035770D">
        <w:rPr>
          <w:rFonts w:ascii="Times New Roman" w:hAnsi="Times New Roman" w:cs="Times New Roman"/>
          <w:kern w:val="0"/>
          <w:szCs w:val="24"/>
        </w:rPr>
        <w:t xml:space="preserve"> </w:t>
      </w:r>
      <w:r w:rsidR="005B0EAD">
        <w:rPr>
          <w:rFonts w:ascii="Times New Roman" w:hAnsi="Times New Roman" w:cs="Times New Roman"/>
          <w:color w:val="000000"/>
          <w:sz w:val="27"/>
          <w:szCs w:val="27"/>
        </w:rPr>
        <w:t>Error bars indicate standard deviation.</w:t>
      </w:r>
      <w:r w:rsidR="005B0EAD">
        <w:rPr>
          <w:rFonts w:ascii="Verdana" w:hAnsi="Verdana"/>
          <w:color w:val="000000"/>
          <w:sz w:val="18"/>
          <w:szCs w:val="18"/>
        </w:rPr>
        <w:t xml:space="preserve">   </w:t>
      </w:r>
    </w:p>
    <w:p w:rsidR="007A7929" w:rsidRDefault="007A7929" w:rsidP="005B0EAD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:rsidR="007A7929" w:rsidRPr="007A7929" w:rsidRDefault="007A7929" w:rsidP="005B0EAD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:rsidR="007A7929" w:rsidRPr="00354335" w:rsidRDefault="007A7929" w:rsidP="005B0EAD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  <w:sectPr w:rsidR="007A7929" w:rsidRPr="00354335" w:rsidSect="00063983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5076FD" w:rsidRPr="00F51219" w:rsidRDefault="005076FD" w:rsidP="005076FD">
      <w:pPr>
        <w:rPr>
          <w:b/>
        </w:rPr>
      </w:pPr>
      <w:r w:rsidRPr="00F51219">
        <w:rPr>
          <w:b/>
        </w:rPr>
        <w:lastRenderedPageBreak/>
        <w:t>Figure S</w:t>
      </w:r>
      <w:r w:rsidR="002543FB">
        <w:rPr>
          <w:rFonts w:hint="eastAsia"/>
          <w:b/>
        </w:rPr>
        <w:t>3</w:t>
      </w:r>
      <w:r w:rsidRPr="00F51219">
        <w:rPr>
          <w:b/>
        </w:rPr>
        <w:t xml:space="preserve">: Recurrence-free survival (A) and liver-related survival (B) in HCC patients </w:t>
      </w:r>
      <w:r w:rsidRPr="00F51219">
        <w:rPr>
          <w:rFonts w:hint="eastAsia"/>
          <w:b/>
        </w:rPr>
        <w:t>with different anti-</w:t>
      </w:r>
      <w:r w:rsidRPr="00F51219">
        <w:rPr>
          <w:b/>
        </w:rPr>
        <w:t>HBV therapy after curative resection according to the operation year</w:t>
      </w:r>
      <w:r w:rsidRPr="00F51219">
        <w:t xml:space="preserve"> </w:t>
      </w:r>
    </w:p>
    <w:p w:rsidR="005076FD" w:rsidRPr="00F51219" w:rsidRDefault="005076FD" w:rsidP="005076FD">
      <w:pPr>
        <w:rPr>
          <w:b/>
        </w:rPr>
      </w:pPr>
      <w:r w:rsidRPr="00F51219">
        <w:rPr>
          <w:b/>
        </w:rPr>
        <w:t>(A)</w:t>
      </w:r>
    </w:p>
    <w:p w:rsidR="005076FD" w:rsidRPr="00F51219" w:rsidRDefault="00BE799D" w:rsidP="005076FD">
      <w:pPr>
        <w:rPr>
          <w:b/>
        </w:rPr>
      </w:pPr>
      <w:r w:rsidRPr="00BE799D">
        <w:rPr>
          <w:b/>
          <w:noProof/>
        </w:rPr>
        <w:drawing>
          <wp:inline distT="0" distB="0" distL="0" distR="0">
            <wp:extent cx="4941988" cy="3718292"/>
            <wp:effectExtent l="0" t="0" r="0" b="0"/>
            <wp:docPr id="5" name="圖片 5" descr="C:\Users\韋儒\Desktop\Scientific reports 216\supplementary 圖片\新增資料夾\figure S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韋儒\Desktop\Scientific reports 216\supplementary 圖片\新增資料夾\figure S3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995" cy="3726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6FD" w:rsidRPr="00F51219" w:rsidRDefault="005076FD" w:rsidP="005076FD">
      <w:pPr>
        <w:rPr>
          <w:b/>
        </w:rPr>
      </w:pPr>
    </w:p>
    <w:p w:rsidR="005076FD" w:rsidRPr="00F51219" w:rsidRDefault="005076FD" w:rsidP="005076FD">
      <w:pPr>
        <w:rPr>
          <w:b/>
        </w:rPr>
      </w:pPr>
      <w:r w:rsidRPr="00F51219">
        <w:rPr>
          <w:b/>
        </w:rPr>
        <w:t>(B)</w:t>
      </w:r>
    </w:p>
    <w:p w:rsidR="005076FD" w:rsidRPr="00F51219" w:rsidRDefault="00BE799D" w:rsidP="005076FD">
      <w:pPr>
        <w:rPr>
          <w:b/>
        </w:rPr>
      </w:pPr>
      <w:r w:rsidRPr="00BE799D">
        <w:rPr>
          <w:b/>
          <w:noProof/>
        </w:rPr>
        <w:drawing>
          <wp:inline distT="0" distB="0" distL="0" distR="0">
            <wp:extent cx="4915560" cy="3161030"/>
            <wp:effectExtent l="0" t="0" r="0" b="1270"/>
            <wp:docPr id="6" name="圖片 6" descr="C:\Users\韋儒\Desktop\Scientific reports 216\supplementary 圖片\新增資料夾\figure S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韋儒\Desktop\Scientific reports 216\supplementary 圖片\新增資料夾\figure S3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008" cy="3174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6FD" w:rsidRPr="00F51219" w:rsidRDefault="005076FD" w:rsidP="005076FD">
      <w:pPr>
        <w:rPr>
          <w:b/>
        </w:rPr>
      </w:pPr>
      <w:r w:rsidRPr="00F51219">
        <w:t>LAM = lamivudine, LdT = telbivudine, ETV = entecavir, TDF = tenofovir</w:t>
      </w:r>
    </w:p>
    <w:p w:rsidR="007A7929" w:rsidRPr="00BE799D" w:rsidRDefault="00A57301" w:rsidP="00BE799D">
      <w:pPr>
        <w:widowControl/>
        <w:rPr>
          <w:b/>
        </w:rPr>
      </w:pPr>
      <w:r>
        <w:rPr>
          <w:b/>
        </w:rPr>
        <w:br w:type="page"/>
      </w:r>
      <w:r w:rsidR="007A7929" w:rsidRPr="00F51219">
        <w:rPr>
          <w:b/>
        </w:rPr>
        <w:lastRenderedPageBreak/>
        <w:t>Figure S</w:t>
      </w:r>
      <w:r w:rsidR="007A7929">
        <w:rPr>
          <w:rFonts w:hint="eastAsia"/>
          <w:b/>
        </w:rPr>
        <w:t>4</w:t>
      </w:r>
      <w:r w:rsidR="005B08DB">
        <w:rPr>
          <w:b/>
        </w:rPr>
        <w:t>:</w:t>
      </w:r>
      <w:r w:rsidR="007A7929">
        <w:rPr>
          <w:b/>
        </w:rPr>
        <w:t xml:space="preserve"> </w:t>
      </w:r>
      <w:r w:rsidR="007A7929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T</w:t>
      </w:r>
      <w:r w:rsidR="007A7929" w:rsidRPr="004A1E82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he association between ALBI grade at recurrence and the treatment </w:t>
      </w:r>
      <w:r w:rsidR="007A7929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strategies </w:t>
      </w:r>
      <w:r w:rsidR="007A7929" w:rsidRPr="004A1E82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for recurrence</w:t>
      </w:r>
    </w:p>
    <w:p w:rsidR="007A7929" w:rsidRDefault="00BE799D" w:rsidP="007A7929">
      <w:pPr>
        <w:rPr>
          <w:noProof/>
        </w:rPr>
      </w:pPr>
      <w:r w:rsidRPr="00BE799D">
        <w:rPr>
          <w:noProof/>
        </w:rPr>
        <w:drawing>
          <wp:inline distT="0" distB="0" distL="0" distR="0">
            <wp:extent cx="6213381" cy="3515392"/>
            <wp:effectExtent l="0" t="0" r="0" b="8890"/>
            <wp:docPr id="7" name="圖片 7" descr="C:\Users\韋儒\Desktop\Scientific reports 216\supplementary 圖片\新增資料夾\figure 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韋儒\Desktop\Scientific reports 216\supplementary 圖片\新增資料夾\figure S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693" cy="352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929" w:rsidRPr="00475929" w:rsidRDefault="007A7929" w:rsidP="007A7929">
      <w:pPr>
        <w:jc w:val="both"/>
        <w:rPr>
          <w:rFonts w:ascii="Times New Roman" w:hAnsi="Times New Roman" w:cs="Times New Roman"/>
          <w:sz w:val="20"/>
          <w:szCs w:val="20"/>
        </w:rPr>
      </w:pPr>
      <w:r w:rsidRPr="00475929">
        <w:rPr>
          <w:rFonts w:ascii="Times New Roman" w:hAnsi="Times New Roman" w:cs="Times New Roman"/>
          <w:sz w:val="20"/>
          <w:szCs w:val="20"/>
        </w:rPr>
        <w:t>RFA =</w:t>
      </w:r>
      <w:r w:rsidRPr="00475929">
        <w:rPr>
          <w:rFonts w:ascii="Times New Roman" w:hAnsi="Times New Roman" w:cs="Times New Roman"/>
          <w:kern w:val="0"/>
          <w:sz w:val="20"/>
          <w:szCs w:val="20"/>
        </w:rPr>
        <w:t xml:space="preserve"> Radiofrequency ablation</w:t>
      </w:r>
      <w:r w:rsidRPr="00475929">
        <w:rPr>
          <w:rFonts w:ascii="Times New Roman" w:hAnsi="Times New Roman" w:cs="Times New Roman"/>
          <w:sz w:val="20"/>
          <w:szCs w:val="20"/>
        </w:rPr>
        <w:t>, TACE= Trans-arterial chemoembolization, PEI= Percutaneous ethanol injection, ALBI = albumin-bilirubin.</w:t>
      </w:r>
    </w:p>
    <w:p w:rsidR="007A7929" w:rsidRPr="00475929" w:rsidRDefault="007A7929" w:rsidP="007A7929">
      <w:pPr>
        <w:rPr>
          <w:rFonts w:ascii="Times New Roman" w:hAnsi="Times New Roman" w:cs="Times New Roman"/>
          <w:noProof/>
        </w:rPr>
      </w:pPr>
      <w:r w:rsidRPr="00475929">
        <w:rPr>
          <w:rFonts w:ascii="Times New Roman" w:hAnsi="Times New Roman" w:cs="Times New Roman"/>
          <w:noProof/>
        </w:rPr>
        <w:t>Treatment plans are associated with the different ALBI grades at recurrence.</w:t>
      </w:r>
      <w:r w:rsidRPr="00475929">
        <w:rPr>
          <w:rFonts w:ascii="Times New Roman" w:hAnsi="Times New Roman" w:cs="Times New Roman"/>
          <w:b/>
          <w:color w:val="FF0000"/>
          <w:sz w:val="18"/>
          <w:szCs w:val="18"/>
          <w:shd w:val="clear" w:color="auto" w:fill="FFFFFF"/>
        </w:rPr>
        <w:t xml:space="preserve"> </w:t>
      </w:r>
      <w:r w:rsidRPr="00475929">
        <w:rPr>
          <w:rFonts w:ascii="Times New Roman" w:hAnsi="Times New Roman" w:cs="Times New Roman"/>
          <w:noProof/>
        </w:rPr>
        <w:t xml:space="preserve">The RFA group has lower percentage of ALBI grade III than in hospice.( </w:t>
      </w:r>
      <w:r w:rsidRPr="00475929">
        <w:rPr>
          <w:rFonts w:ascii="Times New Roman" w:hAnsi="Times New Roman" w:cs="Times New Roman"/>
          <w:i/>
          <w:noProof/>
        </w:rPr>
        <w:t>p=0.027</w:t>
      </w:r>
      <w:r w:rsidRPr="00475929">
        <w:rPr>
          <w:rFonts w:ascii="Times New Roman" w:hAnsi="Times New Roman" w:cs="Times New Roman"/>
          <w:noProof/>
        </w:rPr>
        <w:t>)</w:t>
      </w:r>
    </w:p>
    <w:p w:rsidR="007A7929" w:rsidRPr="00475929" w:rsidRDefault="007A7929" w:rsidP="007A7929">
      <w:pPr>
        <w:jc w:val="right"/>
        <w:rPr>
          <w:rFonts w:ascii="Times New Roman" w:hAnsi="Times New Roman" w:cs="Times New Roman"/>
          <w:noProof/>
        </w:rPr>
      </w:pPr>
      <w:r w:rsidRPr="00475929">
        <w:rPr>
          <w:rFonts w:ascii="Times New Roman" w:hAnsi="Times New Roman" w:cs="Times New Roman"/>
          <w:noProof/>
        </w:rPr>
        <w:t xml:space="preserve">Chi square test and Donferroni correction for multiple comparison. </w:t>
      </w:r>
    </w:p>
    <w:p w:rsidR="007A7929" w:rsidRDefault="007A7929">
      <w:pPr>
        <w:widowControl/>
        <w:rPr>
          <w:b/>
        </w:rPr>
      </w:pPr>
      <w:r>
        <w:rPr>
          <w:b/>
        </w:rPr>
        <w:br w:type="page"/>
      </w:r>
    </w:p>
    <w:p w:rsidR="00004207" w:rsidRDefault="00004207" w:rsidP="00004207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F51219">
        <w:rPr>
          <w:b/>
        </w:rPr>
        <w:lastRenderedPageBreak/>
        <w:t>Figure S</w:t>
      </w:r>
      <w:r>
        <w:rPr>
          <w:rFonts w:hint="eastAsia"/>
          <w:b/>
        </w:rPr>
        <w:t>5</w:t>
      </w:r>
      <w:r w:rsidRPr="00F51219">
        <w:rPr>
          <w:b/>
        </w:rPr>
        <w:t>:</w:t>
      </w:r>
      <w:r>
        <w:rPr>
          <w:b/>
        </w:rPr>
        <w:t xml:space="preserve"> </w:t>
      </w:r>
      <w:r w:rsidRPr="00AD1556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Kaplan-Meier curves by treatment for recurrences</w:t>
      </w:r>
    </w:p>
    <w:p w:rsidR="00BE799D" w:rsidRPr="00AD1556" w:rsidRDefault="00BE799D" w:rsidP="00004207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BE799D">
        <w:rPr>
          <w:rFonts w:ascii="Verdana" w:hAnsi="Verdana"/>
          <w:b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>
            <wp:extent cx="5840531" cy="4100737"/>
            <wp:effectExtent l="0" t="0" r="8255" b="0"/>
            <wp:docPr id="8" name="圖片 8" descr="C:\Users\韋儒\Desktop\Scientific reports 216\supplementary 圖片\新增資料夾\figure 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韋儒\Desktop\Scientific reports 216\supplementary 圖片\新增資料夾\figure S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648" cy="410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4207" w:rsidRPr="005B08DB" w:rsidRDefault="00874963" w:rsidP="00004207">
      <w:pPr>
        <w:spacing w:line="480" w:lineRule="auto"/>
        <w:rPr>
          <w:rFonts w:cstheme="minorHAnsi"/>
          <w:b/>
          <w:color w:val="000000"/>
          <w:szCs w:val="24"/>
          <w:shd w:val="clear" w:color="auto" w:fill="FFFFFF"/>
        </w:rPr>
      </w:pPr>
      <w:r w:rsidRPr="005B08DB">
        <w:rPr>
          <w:rFonts w:cstheme="minorHAnsi"/>
          <w:b/>
          <w:color w:val="000000"/>
          <w:szCs w:val="24"/>
          <w:shd w:val="clear" w:color="auto" w:fill="FFFFFF"/>
        </w:rPr>
        <w:t>Table S1</w:t>
      </w:r>
      <w:r w:rsidR="005B08DB" w:rsidRPr="005B08DB">
        <w:rPr>
          <w:rFonts w:cstheme="minorHAnsi"/>
          <w:b/>
          <w:color w:val="000000"/>
          <w:szCs w:val="24"/>
          <w:shd w:val="clear" w:color="auto" w:fill="FFFFFF"/>
        </w:rPr>
        <w:t>:</w:t>
      </w:r>
      <w:r w:rsidRPr="005B08DB">
        <w:rPr>
          <w:rFonts w:cstheme="minorHAnsi"/>
          <w:b/>
          <w:color w:val="000000"/>
          <w:szCs w:val="24"/>
          <w:shd w:val="clear" w:color="auto" w:fill="FFFFFF"/>
        </w:rPr>
        <w:t xml:space="preserve"> </w:t>
      </w:r>
      <w:r w:rsidR="00004207" w:rsidRPr="005B08DB">
        <w:rPr>
          <w:rFonts w:cstheme="minorHAnsi"/>
          <w:b/>
          <w:color w:val="000000"/>
          <w:szCs w:val="24"/>
          <w:shd w:val="clear" w:color="auto" w:fill="FFFFFF"/>
        </w:rPr>
        <w:t>P value between treatment</w:t>
      </w:r>
      <w:r w:rsidRPr="005B08DB">
        <w:rPr>
          <w:rFonts w:cstheme="minorHAnsi"/>
          <w:b/>
          <w:color w:val="000000"/>
          <w:szCs w:val="24"/>
          <w:shd w:val="clear" w:color="auto" w:fill="FFFFFF"/>
        </w:rPr>
        <w:t xml:space="preserve"> at recurrence </w:t>
      </w:r>
      <w:r w:rsidR="00004207" w:rsidRPr="005B08DB">
        <w:rPr>
          <w:rFonts w:cstheme="minorHAnsi"/>
          <w:b/>
          <w:color w:val="000000"/>
          <w:szCs w:val="24"/>
          <w:shd w:val="clear" w:color="auto" w:fill="FFFFFF"/>
        </w:rPr>
        <w:t xml:space="preserve"> </w:t>
      </w:r>
    </w:p>
    <w:tbl>
      <w:tblPr>
        <w:tblStyle w:val="a3"/>
        <w:tblW w:w="8448" w:type="dxa"/>
        <w:tblLook w:val="04A0" w:firstRow="1" w:lastRow="0" w:firstColumn="1" w:lastColumn="0" w:noHBand="0" w:noVBand="1"/>
      </w:tblPr>
      <w:tblGrid>
        <w:gridCol w:w="1282"/>
        <w:gridCol w:w="1257"/>
        <w:gridCol w:w="1142"/>
        <w:gridCol w:w="1142"/>
        <w:gridCol w:w="1281"/>
        <w:gridCol w:w="1142"/>
        <w:gridCol w:w="1202"/>
      </w:tblGrid>
      <w:tr w:rsidR="00004207" w:rsidRPr="005B08DB" w:rsidTr="00261A55">
        <w:trPr>
          <w:trHeight w:val="360"/>
        </w:trPr>
        <w:tc>
          <w:tcPr>
            <w:tcW w:w="1282" w:type="dxa"/>
          </w:tcPr>
          <w:p w:rsidR="00004207" w:rsidRPr="005B08DB" w:rsidRDefault="00004207" w:rsidP="00261A55">
            <w:pPr>
              <w:rPr>
                <w:rFonts w:cstheme="minorHAnsi"/>
                <w:b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257" w:type="dxa"/>
          </w:tcPr>
          <w:p w:rsidR="00004207" w:rsidRPr="005B08DB" w:rsidRDefault="00004207" w:rsidP="00261A55">
            <w:pPr>
              <w:jc w:val="center"/>
              <w:rPr>
                <w:rFonts w:cstheme="minorHAnsi"/>
                <w:b/>
                <w:color w:val="000000"/>
                <w:szCs w:val="24"/>
                <w:shd w:val="clear" w:color="auto" w:fill="FFFFFF"/>
              </w:rPr>
            </w:pPr>
            <w:r w:rsidRPr="005B08DB">
              <w:rPr>
                <w:rFonts w:cstheme="minorHAnsi" w:hint="eastAsia"/>
                <w:b/>
                <w:color w:val="000000"/>
                <w:szCs w:val="24"/>
                <w:shd w:val="clear" w:color="auto" w:fill="FFFFFF"/>
              </w:rPr>
              <w:t>Resection</w:t>
            </w:r>
          </w:p>
        </w:tc>
        <w:tc>
          <w:tcPr>
            <w:tcW w:w="1142" w:type="dxa"/>
          </w:tcPr>
          <w:p w:rsidR="00004207" w:rsidRPr="005B08DB" w:rsidRDefault="00004207" w:rsidP="00261A55">
            <w:pPr>
              <w:jc w:val="center"/>
              <w:rPr>
                <w:rFonts w:cstheme="minorHAnsi"/>
                <w:b/>
                <w:color w:val="000000"/>
                <w:szCs w:val="24"/>
                <w:shd w:val="clear" w:color="auto" w:fill="FFFFFF"/>
              </w:rPr>
            </w:pPr>
            <w:r w:rsidRPr="005B08DB">
              <w:rPr>
                <w:rFonts w:cstheme="minorHAnsi" w:hint="eastAsia"/>
                <w:b/>
                <w:color w:val="000000"/>
                <w:szCs w:val="24"/>
                <w:shd w:val="clear" w:color="auto" w:fill="FFFFFF"/>
              </w:rPr>
              <w:t>RFA</w:t>
            </w:r>
          </w:p>
        </w:tc>
        <w:tc>
          <w:tcPr>
            <w:tcW w:w="1142" w:type="dxa"/>
          </w:tcPr>
          <w:p w:rsidR="00004207" w:rsidRPr="005B08DB" w:rsidRDefault="00004207" w:rsidP="00261A55">
            <w:pPr>
              <w:jc w:val="center"/>
              <w:rPr>
                <w:rFonts w:cstheme="minorHAnsi"/>
                <w:b/>
                <w:color w:val="000000"/>
                <w:szCs w:val="24"/>
                <w:shd w:val="clear" w:color="auto" w:fill="FFFFFF"/>
              </w:rPr>
            </w:pPr>
            <w:r w:rsidRPr="005B08DB">
              <w:rPr>
                <w:rFonts w:cstheme="minorHAnsi" w:hint="eastAsia"/>
                <w:b/>
                <w:color w:val="000000"/>
                <w:szCs w:val="24"/>
                <w:shd w:val="clear" w:color="auto" w:fill="FFFFFF"/>
              </w:rPr>
              <w:t>TACE</w:t>
            </w:r>
          </w:p>
        </w:tc>
        <w:tc>
          <w:tcPr>
            <w:tcW w:w="1281" w:type="dxa"/>
          </w:tcPr>
          <w:p w:rsidR="00004207" w:rsidRPr="005B08DB" w:rsidRDefault="00004207" w:rsidP="00261A55">
            <w:pPr>
              <w:jc w:val="center"/>
              <w:rPr>
                <w:rFonts w:cstheme="minorHAnsi"/>
                <w:b/>
                <w:color w:val="000000"/>
                <w:szCs w:val="24"/>
                <w:shd w:val="clear" w:color="auto" w:fill="FFFFFF"/>
              </w:rPr>
            </w:pPr>
            <w:r w:rsidRPr="005B08DB">
              <w:rPr>
                <w:rFonts w:cstheme="minorHAnsi" w:hint="eastAsia"/>
                <w:b/>
                <w:color w:val="000000"/>
                <w:szCs w:val="24"/>
                <w:shd w:val="clear" w:color="auto" w:fill="FFFFFF"/>
              </w:rPr>
              <w:t>TACE/RFA</w:t>
            </w:r>
          </w:p>
        </w:tc>
        <w:tc>
          <w:tcPr>
            <w:tcW w:w="1142" w:type="dxa"/>
          </w:tcPr>
          <w:p w:rsidR="00004207" w:rsidRPr="005B08DB" w:rsidRDefault="00004207" w:rsidP="00261A55">
            <w:pPr>
              <w:jc w:val="center"/>
              <w:rPr>
                <w:rFonts w:cstheme="minorHAnsi"/>
                <w:b/>
                <w:color w:val="000000"/>
                <w:szCs w:val="24"/>
                <w:shd w:val="clear" w:color="auto" w:fill="FFFFFF"/>
              </w:rPr>
            </w:pPr>
            <w:r w:rsidRPr="005B08DB">
              <w:rPr>
                <w:rFonts w:cstheme="minorHAnsi" w:hint="eastAsia"/>
                <w:b/>
                <w:color w:val="000000"/>
                <w:szCs w:val="24"/>
                <w:shd w:val="clear" w:color="auto" w:fill="FFFFFF"/>
              </w:rPr>
              <w:t>PEI</w:t>
            </w:r>
          </w:p>
        </w:tc>
        <w:tc>
          <w:tcPr>
            <w:tcW w:w="1202" w:type="dxa"/>
          </w:tcPr>
          <w:p w:rsidR="00004207" w:rsidRPr="005B08DB" w:rsidRDefault="00004207" w:rsidP="00261A55">
            <w:pPr>
              <w:jc w:val="center"/>
              <w:rPr>
                <w:rFonts w:cstheme="minorHAnsi"/>
                <w:b/>
                <w:color w:val="000000"/>
                <w:szCs w:val="24"/>
                <w:shd w:val="clear" w:color="auto" w:fill="FFFFFF"/>
              </w:rPr>
            </w:pPr>
            <w:r w:rsidRPr="005B08DB">
              <w:rPr>
                <w:rFonts w:cstheme="minorHAnsi" w:hint="eastAsia"/>
                <w:b/>
                <w:color w:val="000000"/>
                <w:szCs w:val="24"/>
                <w:shd w:val="clear" w:color="auto" w:fill="FFFFFF"/>
              </w:rPr>
              <w:t>Systemic</w:t>
            </w:r>
          </w:p>
        </w:tc>
      </w:tr>
      <w:tr w:rsidR="00004207" w:rsidRPr="005B08DB" w:rsidTr="00261A55">
        <w:trPr>
          <w:trHeight w:val="360"/>
        </w:trPr>
        <w:tc>
          <w:tcPr>
            <w:tcW w:w="1282" w:type="dxa"/>
          </w:tcPr>
          <w:p w:rsidR="00004207" w:rsidRPr="005B08DB" w:rsidRDefault="00004207" w:rsidP="00261A55">
            <w:pPr>
              <w:rPr>
                <w:rFonts w:cstheme="minorHAnsi"/>
                <w:b/>
                <w:color w:val="000000"/>
                <w:szCs w:val="24"/>
                <w:shd w:val="clear" w:color="auto" w:fill="FFFFFF"/>
              </w:rPr>
            </w:pPr>
            <w:r w:rsidRPr="005B08DB">
              <w:rPr>
                <w:rFonts w:cstheme="minorHAnsi" w:hint="eastAsia"/>
                <w:b/>
                <w:color w:val="000000"/>
                <w:szCs w:val="24"/>
                <w:shd w:val="clear" w:color="auto" w:fill="FFFFFF"/>
              </w:rPr>
              <w:t>RFA</w:t>
            </w:r>
          </w:p>
        </w:tc>
        <w:tc>
          <w:tcPr>
            <w:tcW w:w="1257" w:type="dxa"/>
          </w:tcPr>
          <w:p w:rsidR="00004207" w:rsidRPr="005B08DB" w:rsidRDefault="00004207" w:rsidP="00261A55">
            <w:pPr>
              <w:jc w:val="center"/>
              <w:rPr>
                <w:rFonts w:cstheme="minorHAnsi"/>
                <w:b/>
                <w:color w:val="000000"/>
                <w:szCs w:val="24"/>
                <w:shd w:val="clear" w:color="auto" w:fill="FFFFFF"/>
              </w:rPr>
            </w:pPr>
            <w:r w:rsidRPr="005B08DB">
              <w:rPr>
                <w:rFonts w:cstheme="minorHAnsi"/>
                <w:b/>
                <w:color w:val="000000"/>
                <w:szCs w:val="24"/>
                <w:shd w:val="clear" w:color="auto" w:fill="FFFFFF"/>
              </w:rPr>
              <w:t>ns</w:t>
            </w:r>
          </w:p>
        </w:tc>
        <w:tc>
          <w:tcPr>
            <w:tcW w:w="1142" w:type="dxa"/>
          </w:tcPr>
          <w:p w:rsidR="00004207" w:rsidRPr="005B08DB" w:rsidRDefault="00004207" w:rsidP="00261A55">
            <w:pPr>
              <w:jc w:val="center"/>
              <w:rPr>
                <w:rFonts w:cstheme="minorHAnsi"/>
                <w:b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142" w:type="dxa"/>
          </w:tcPr>
          <w:p w:rsidR="00004207" w:rsidRPr="005B08DB" w:rsidRDefault="00004207" w:rsidP="00261A55">
            <w:pPr>
              <w:jc w:val="center"/>
              <w:rPr>
                <w:rFonts w:cstheme="minorHAnsi"/>
                <w:b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281" w:type="dxa"/>
          </w:tcPr>
          <w:p w:rsidR="00004207" w:rsidRPr="005B08DB" w:rsidRDefault="00004207" w:rsidP="00261A55">
            <w:pPr>
              <w:jc w:val="center"/>
              <w:rPr>
                <w:rFonts w:cstheme="minorHAnsi"/>
                <w:b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142" w:type="dxa"/>
          </w:tcPr>
          <w:p w:rsidR="00004207" w:rsidRPr="005B08DB" w:rsidRDefault="00004207" w:rsidP="00261A55">
            <w:pPr>
              <w:jc w:val="center"/>
              <w:rPr>
                <w:rFonts w:cstheme="minorHAnsi"/>
                <w:b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202" w:type="dxa"/>
          </w:tcPr>
          <w:p w:rsidR="00004207" w:rsidRPr="005B08DB" w:rsidRDefault="00004207" w:rsidP="00261A55">
            <w:pPr>
              <w:jc w:val="center"/>
              <w:rPr>
                <w:rFonts w:cstheme="minorHAnsi"/>
                <w:b/>
                <w:color w:val="000000"/>
                <w:szCs w:val="24"/>
                <w:shd w:val="clear" w:color="auto" w:fill="FFFFFF"/>
              </w:rPr>
            </w:pPr>
          </w:p>
        </w:tc>
      </w:tr>
      <w:tr w:rsidR="00004207" w:rsidTr="00261A55">
        <w:trPr>
          <w:trHeight w:val="360"/>
        </w:trPr>
        <w:tc>
          <w:tcPr>
            <w:tcW w:w="1282" w:type="dxa"/>
          </w:tcPr>
          <w:p w:rsidR="00004207" w:rsidRDefault="00004207" w:rsidP="00261A55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 w:hint="eastAsia"/>
                <w:color w:val="000000"/>
                <w:sz w:val="18"/>
                <w:szCs w:val="18"/>
              </w:rPr>
              <w:t>TACE</w:t>
            </w:r>
          </w:p>
        </w:tc>
        <w:tc>
          <w:tcPr>
            <w:tcW w:w="1257" w:type="dxa"/>
          </w:tcPr>
          <w:p w:rsidR="00004207" w:rsidRDefault="00004207" w:rsidP="00261A5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 w:hint="eastAsia"/>
                <w:color w:val="000000"/>
                <w:sz w:val="18"/>
                <w:szCs w:val="18"/>
              </w:rPr>
              <w:t>0.0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0</w:t>
            </w:r>
            <w:r>
              <w:rPr>
                <w:rFonts w:ascii="Verdana" w:hAnsi="Verdana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42" w:type="dxa"/>
          </w:tcPr>
          <w:p w:rsidR="00004207" w:rsidRDefault="00004207" w:rsidP="00261A5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&lt;</w:t>
            </w:r>
            <w:r>
              <w:rPr>
                <w:rFonts w:ascii="Verdana" w:hAnsi="Verdana" w:hint="eastAsia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142" w:type="dxa"/>
          </w:tcPr>
          <w:p w:rsidR="00004207" w:rsidRDefault="00004207" w:rsidP="00261A5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</w:tcPr>
          <w:p w:rsidR="00004207" w:rsidRDefault="00004207" w:rsidP="00261A5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42" w:type="dxa"/>
          </w:tcPr>
          <w:p w:rsidR="00004207" w:rsidRDefault="00004207" w:rsidP="00261A5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</w:tcPr>
          <w:p w:rsidR="00004207" w:rsidRDefault="00004207" w:rsidP="00261A5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004207" w:rsidTr="00261A55">
        <w:trPr>
          <w:trHeight w:val="360"/>
        </w:trPr>
        <w:tc>
          <w:tcPr>
            <w:tcW w:w="1282" w:type="dxa"/>
          </w:tcPr>
          <w:p w:rsidR="00004207" w:rsidRDefault="00004207" w:rsidP="00261A55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 w:hint="eastAsia"/>
                <w:color w:val="000000"/>
                <w:sz w:val="18"/>
                <w:szCs w:val="18"/>
              </w:rPr>
              <w:t>TACE/RFA</w:t>
            </w:r>
          </w:p>
        </w:tc>
        <w:tc>
          <w:tcPr>
            <w:tcW w:w="1257" w:type="dxa"/>
          </w:tcPr>
          <w:p w:rsidR="00004207" w:rsidRDefault="00004207" w:rsidP="00261A5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 w:hint="eastAsia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1142" w:type="dxa"/>
          </w:tcPr>
          <w:p w:rsidR="00004207" w:rsidRDefault="00004207" w:rsidP="00261A5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 w:hint="eastAsia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42" w:type="dxa"/>
          </w:tcPr>
          <w:p w:rsidR="00004207" w:rsidRDefault="00004207" w:rsidP="00261A5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 w:hint="eastAsia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281" w:type="dxa"/>
          </w:tcPr>
          <w:p w:rsidR="00004207" w:rsidRDefault="00004207" w:rsidP="00261A5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42" w:type="dxa"/>
          </w:tcPr>
          <w:p w:rsidR="00004207" w:rsidRDefault="00004207" w:rsidP="00261A5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</w:tcPr>
          <w:p w:rsidR="00004207" w:rsidRDefault="00004207" w:rsidP="00261A5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004207" w:rsidTr="00261A55">
        <w:trPr>
          <w:trHeight w:val="360"/>
        </w:trPr>
        <w:tc>
          <w:tcPr>
            <w:tcW w:w="1282" w:type="dxa"/>
          </w:tcPr>
          <w:p w:rsidR="00004207" w:rsidRDefault="00004207" w:rsidP="00261A55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 w:hint="eastAsia"/>
                <w:color w:val="000000"/>
                <w:sz w:val="18"/>
                <w:szCs w:val="18"/>
              </w:rPr>
              <w:t>PEI</w:t>
            </w:r>
          </w:p>
        </w:tc>
        <w:tc>
          <w:tcPr>
            <w:tcW w:w="1257" w:type="dxa"/>
          </w:tcPr>
          <w:p w:rsidR="00004207" w:rsidRDefault="00004207" w:rsidP="00261A5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 w:hint="eastAsia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1142" w:type="dxa"/>
          </w:tcPr>
          <w:p w:rsidR="00004207" w:rsidRDefault="00004207" w:rsidP="00261A5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 w:hint="eastAsia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42" w:type="dxa"/>
          </w:tcPr>
          <w:p w:rsidR="00004207" w:rsidRDefault="00004207" w:rsidP="00261A5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 w:hint="eastAsia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281" w:type="dxa"/>
          </w:tcPr>
          <w:p w:rsidR="00004207" w:rsidRDefault="00004207" w:rsidP="00261A5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 w:hint="eastAsia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42" w:type="dxa"/>
          </w:tcPr>
          <w:p w:rsidR="00004207" w:rsidRDefault="00004207" w:rsidP="00261A5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</w:tcPr>
          <w:p w:rsidR="00004207" w:rsidRDefault="00004207" w:rsidP="00261A5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004207" w:rsidTr="00261A55">
        <w:trPr>
          <w:trHeight w:val="360"/>
        </w:trPr>
        <w:tc>
          <w:tcPr>
            <w:tcW w:w="1282" w:type="dxa"/>
          </w:tcPr>
          <w:p w:rsidR="00004207" w:rsidRDefault="00004207" w:rsidP="00261A55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 w:hint="eastAsia"/>
                <w:color w:val="000000"/>
                <w:sz w:val="18"/>
                <w:szCs w:val="18"/>
              </w:rPr>
              <w:t>Systemic</w:t>
            </w:r>
          </w:p>
        </w:tc>
        <w:tc>
          <w:tcPr>
            <w:tcW w:w="1257" w:type="dxa"/>
          </w:tcPr>
          <w:p w:rsidR="00004207" w:rsidRDefault="00004207" w:rsidP="00261A5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&lt;</w:t>
            </w:r>
            <w:r>
              <w:rPr>
                <w:rFonts w:ascii="Verdana" w:hAnsi="Verdana" w:hint="eastAsia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142" w:type="dxa"/>
          </w:tcPr>
          <w:p w:rsidR="00004207" w:rsidRDefault="00004207" w:rsidP="00261A5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&lt;</w:t>
            </w:r>
            <w:r>
              <w:rPr>
                <w:rFonts w:ascii="Verdana" w:hAnsi="Verdana" w:hint="eastAsia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142" w:type="dxa"/>
          </w:tcPr>
          <w:p w:rsidR="00004207" w:rsidRDefault="00004207" w:rsidP="00261A5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&lt;</w:t>
            </w:r>
            <w:r>
              <w:rPr>
                <w:rFonts w:ascii="Verdana" w:hAnsi="Verdana" w:hint="eastAsia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281" w:type="dxa"/>
          </w:tcPr>
          <w:p w:rsidR="00004207" w:rsidRDefault="00004207" w:rsidP="00261A5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 w:hint="eastAsia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1142" w:type="dxa"/>
          </w:tcPr>
          <w:p w:rsidR="00004207" w:rsidRDefault="00004207" w:rsidP="00261A5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 w:hint="eastAsia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1202" w:type="dxa"/>
          </w:tcPr>
          <w:p w:rsidR="00004207" w:rsidRDefault="00004207" w:rsidP="00261A5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004207" w:rsidTr="00261A55">
        <w:trPr>
          <w:trHeight w:val="354"/>
        </w:trPr>
        <w:tc>
          <w:tcPr>
            <w:tcW w:w="1282" w:type="dxa"/>
          </w:tcPr>
          <w:p w:rsidR="00004207" w:rsidRDefault="00004207" w:rsidP="00261A55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 w:hint="eastAsia"/>
                <w:color w:val="000000"/>
                <w:sz w:val="18"/>
                <w:szCs w:val="18"/>
              </w:rPr>
              <w:t xml:space="preserve">Hospice </w:t>
            </w:r>
          </w:p>
        </w:tc>
        <w:tc>
          <w:tcPr>
            <w:tcW w:w="1257" w:type="dxa"/>
          </w:tcPr>
          <w:p w:rsidR="00004207" w:rsidRDefault="00004207" w:rsidP="00261A5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 w:hint="eastAsia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42" w:type="dxa"/>
          </w:tcPr>
          <w:p w:rsidR="00004207" w:rsidRDefault="00004207" w:rsidP="00261A5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&lt;</w:t>
            </w:r>
            <w:r>
              <w:rPr>
                <w:rFonts w:ascii="Verdana" w:hAnsi="Verdana" w:hint="eastAsia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142" w:type="dxa"/>
          </w:tcPr>
          <w:p w:rsidR="00004207" w:rsidRDefault="00004207" w:rsidP="00261A5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&lt;</w:t>
            </w:r>
            <w:r>
              <w:rPr>
                <w:rFonts w:ascii="Verdana" w:hAnsi="Verdana" w:hint="eastAsia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281" w:type="dxa"/>
          </w:tcPr>
          <w:p w:rsidR="00004207" w:rsidRDefault="00004207" w:rsidP="00261A5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 w:hint="eastAsia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42" w:type="dxa"/>
          </w:tcPr>
          <w:p w:rsidR="00004207" w:rsidRDefault="00004207" w:rsidP="00261A5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 w:hint="eastAsia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1202" w:type="dxa"/>
          </w:tcPr>
          <w:p w:rsidR="00004207" w:rsidRDefault="00004207" w:rsidP="00261A5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 w:hint="eastAsia"/>
                <w:color w:val="000000"/>
                <w:sz w:val="18"/>
                <w:szCs w:val="18"/>
              </w:rPr>
              <w:t>ns</w:t>
            </w:r>
          </w:p>
        </w:tc>
      </w:tr>
    </w:tbl>
    <w:p w:rsidR="00004207" w:rsidRPr="00475929" w:rsidRDefault="00004207" w:rsidP="00004207">
      <w:pPr>
        <w:jc w:val="both"/>
        <w:rPr>
          <w:rFonts w:ascii="Times New Roman" w:hAnsi="Times New Roman" w:cs="Times New Roman"/>
          <w:sz w:val="20"/>
          <w:szCs w:val="20"/>
        </w:rPr>
      </w:pPr>
      <w:r w:rsidRPr="00475929">
        <w:rPr>
          <w:rFonts w:ascii="Times New Roman" w:hAnsi="Times New Roman" w:cs="Times New Roman"/>
          <w:sz w:val="20"/>
          <w:szCs w:val="20"/>
        </w:rPr>
        <w:t>RFA =</w:t>
      </w:r>
      <w:r w:rsidRPr="00475929">
        <w:rPr>
          <w:rFonts w:ascii="Times New Roman" w:hAnsi="Times New Roman" w:cs="Times New Roman"/>
          <w:kern w:val="0"/>
          <w:sz w:val="20"/>
          <w:szCs w:val="20"/>
        </w:rPr>
        <w:t xml:space="preserve"> Radiofrequency ablation</w:t>
      </w:r>
      <w:r w:rsidRPr="00475929">
        <w:rPr>
          <w:rFonts w:ascii="Times New Roman" w:hAnsi="Times New Roman" w:cs="Times New Roman"/>
          <w:sz w:val="20"/>
          <w:szCs w:val="20"/>
        </w:rPr>
        <w:t>, TACE= Trans-arterial chemoembolization, PEI= Percutaneous ethanol injection, ALBI = albumin-bilirubin.</w:t>
      </w:r>
      <w:r w:rsidRPr="0047592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475929">
        <w:rPr>
          <w:rFonts w:ascii="Times New Roman" w:hAnsi="Times New Roman" w:cs="Times New Roman"/>
          <w:i/>
          <w:color w:val="000000"/>
          <w:sz w:val="18"/>
          <w:szCs w:val="18"/>
        </w:rPr>
        <w:t>p</w:t>
      </w:r>
      <w:r w:rsidRPr="00475929">
        <w:rPr>
          <w:rFonts w:ascii="Times New Roman" w:hAnsi="Times New Roman" w:cs="Times New Roman"/>
          <w:color w:val="000000"/>
          <w:sz w:val="18"/>
          <w:szCs w:val="18"/>
        </w:rPr>
        <w:t xml:space="preserve">&gt;0.05, ns </w:t>
      </w:r>
    </w:p>
    <w:p w:rsidR="00004207" w:rsidRPr="00475929" w:rsidRDefault="00004207" w:rsidP="00004207">
      <w:pPr>
        <w:rPr>
          <w:rFonts w:ascii="Times New Roman" w:hAnsi="Times New Roman" w:cs="Times New Roman"/>
          <w:color w:val="000000"/>
          <w:szCs w:val="24"/>
        </w:rPr>
      </w:pPr>
      <w:r w:rsidRPr="00475929">
        <w:rPr>
          <w:rFonts w:ascii="Times New Roman" w:hAnsi="Times New Roman" w:cs="Times New Roman"/>
          <w:color w:val="000000"/>
          <w:szCs w:val="24"/>
        </w:rPr>
        <w:t>Treatment with r</w:t>
      </w:r>
      <w:r w:rsidR="00874963" w:rsidRPr="00475929">
        <w:rPr>
          <w:rFonts w:ascii="Times New Roman" w:hAnsi="Times New Roman" w:cs="Times New Roman"/>
          <w:color w:val="000000"/>
          <w:szCs w:val="24"/>
        </w:rPr>
        <w:t>esection or</w:t>
      </w:r>
      <w:r w:rsidRPr="00475929">
        <w:rPr>
          <w:rFonts w:ascii="Times New Roman" w:hAnsi="Times New Roman" w:cs="Times New Roman"/>
          <w:color w:val="000000"/>
          <w:szCs w:val="24"/>
        </w:rPr>
        <w:t xml:space="preserve"> RFA when recurrence have better survival than systemic therapy or hospice care. (</w:t>
      </w:r>
      <w:r w:rsidRPr="00475929">
        <w:rPr>
          <w:rFonts w:ascii="Times New Roman" w:hAnsi="Times New Roman" w:cs="Times New Roman"/>
          <w:i/>
          <w:color w:val="000000"/>
          <w:szCs w:val="24"/>
        </w:rPr>
        <w:t>p&lt;0.001</w:t>
      </w:r>
      <w:r w:rsidRPr="00475929">
        <w:rPr>
          <w:rFonts w:ascii="Times New Roman" w:hAnsi="Times New Roman" w:cs="Times New Roman"/>
          <w:color w:val="000000"/>
          <w:szCs w:val="24"/>
        </w:rPr>
        <w:t>)</w:t>
      </w:r>
    </w:p>
    <w:p w:rsidR="00A57301" w:rsidRDefault="00A57301">
      <w:pPr>
        <w:widowControl/>
      </w:pPr>
      <w:r>
        <w:br w:type="page"/>
      </w:r>
    </w:p>
    <w:p w:rsidR="00137F47" w:rsidRPr="00475929" w:rsidRDefault="00137F47" w:rsidP="00137F47">
      <w:pPr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</w:pPr>
      <w:r w:rsidRPr="00475929"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lastRenderedPageBreak/>
        <w:t>Table S2</w:t>
      </w:r>
      <w:r w:rsidR="005B08DB" w:rsidRPr="00475929"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>:</w:t>
      </w:r>
      <w:r w:rsidRPr="00475929"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 xml:space="preserve"> The correlations between pre-OP serum albumin levels and pre-OP ALBI</w:t>
      </w:r>
      <w:r w:rsidRPr="00475929"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 xml:space="preserve"> </w:t>
      </w:r>
      <w:r w:rsidRPr="00475929"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 xml:space="preserve">score, and post-OP 1 year ALBI score and post-OP </w:t>
      </w:r>
      <w:r w:rsidR="00EA799E" w:rsidRPr="00475929"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>1 year</w:t>
      </w:r>
      <w:r w:rsidRPr="00475929"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 xml:space="preserve"> serum albumin levels </w:t>
      </w:r>
    </w:p>
    <w:tbl>
      <w:tblPr>
        <w:tblStyle w:val="a3"/>
        <w:tblpPr w:leftFromText="180" w:rightFromText="180" w:vertAnchor="text" w:horzAnchor="margin" w:tblpXSpec="center" w:tblpY="188"/>
        <w:tblW w:w="9614" w:type="dxa"/>
        <w:tblLook w:val="04A0" w:firstRow="1" w:lastRow="0" w:firstColumn="1" w:lastColumn="0" w:noHBand="0" w:noVBand="1"/>
      </w:tblPr>
      <w:tblGrid>
        <w:gridCol w:w="2036"/>
        <w:gridCol w:w="1692"/>
        <w:gridCol w:w="2009"/>
        <w:gridCol w:w="1867"/>
        <w:gridCol w:w="2010"/>
      </w:tblGrid>
      <w:tr w:rsidR="00137F47" w:rsidRPr="005B08DB" w:rsidTr="005B08DB">
        <w:trPr>
          <w:trHeight w:val="356"/>
        </w:trPr>
        <w:tc>
          <w:tcPr>
            <w:tcW w:w="2036" w:type="dxa"/>
          </w:tcPr>
          <w:p w:rsidR="00137F47" w:rsidRPr="00EA799E" w:rsidRDefault="00137F47" w:rsidP="00137F47">
            <w:pP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EA799E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Spearman’s correlation coefficient</w:t>
            </w:r>
          </w:p>
        </w:tc>
        <w:tc>
          <w:tcPr>
            <w:tcW w:w="1692" w:type="dxa"/>
          </w:tcPr>
          <w:p w:rsidR="00137F47" w:rsidRPr="00EA799E" w:rsidRDefault="00137F47" w:rsidP="00137F47">
            <w:pPr>
              <w:rPr>
                <w:rFonts w:cstheme="minorHAnsi"/>
                <w:color w:val="000000"/>
                <w:szCs w:val="24"/>
                <w:shd w:val="clear" w:color="auto" w:fill="FFFFFF"/>
              </w:rPr>
            </w:pPr>
            <w:r w:rsidRPr="00EA799E">
              <w:rPr>
                <w:rFonts w:cstheme="minorHAnsi"/>
                <w:color w:val="000000"/>
                <w:szCs w:val="24"/>
                <w:shd w:val="clear" w:color="auto" w:fill="FFFFFF"/>
              </w:rPr>
              <w:t>pre-OP albumin</w:t>
            </w:r>
          </w:p>
        </w:tc>
        <w:tc>
          <w:tcPr>
            <w:tcW w:w="2009" w:type="dxa"/>
          </w:tcPr>
          <w:p w:rsidR="00137F47" w:rsidRPr="00EA799E" w:rsidRDefault="00137F47" w:rsidP="00137F47">
            <w:pPr>
              <w:rPr>
                <w:rFonts w:cstheme="minorHAnsi"/>
                <w:color w:val="000000"/>
                <w:szCs w:val="24"/>
                <w:shd w:val="clear" w:color="auto" w:fill="FFFFFF"/>
              </w:rPr>
            </w:pPr>
            <w:r w:rsidRPr="00EA799E">
              <w:rPr>
                <w:rFonts w:cstheme="minorHAnsi"/>
                <w:color w:val="000000"/>
                <w:szCs w:val="24"/>
                <w:shd w:val="clear" w:color="auto" w:fill="FFFFFF"/>
              </w:rPr>
              <w:t>pre-OP ALBI score</w:t>
            </w:r>
          </w:p>
        </w:tc>
        <w:tc>
          <w:tcPr>
            <w:tcW w:w="1867" w:type="dxa"/>
          </w:tcPr>
          <w:p w:rsidR="00137F47" w:rsidRPr="00EA799E" w:rsidRDefault="00137F47" w:rsidP="00137F47">
            <w:pPr>
              <w:rPr>
                <w:rFonts w:cstheme="minorHAnsi"/>
                <w:color w:val="000000"/>
                <w:szCs w:val="24"/>
                <w:shd w:val="clear" w:color="auto" w:fill="FFFFFF"/>
              </w:rPr>
            </w:pPr>
            <w:r w:rsidRPr="00EA799E">
              <w:rPr>
                <w:rFonts w:cstheme="minorHAnsi"/>
                <w:color w:val="000000"/>
                <w:szCs w:val="24"/>
                <w:shd w:val="clear" w:color="auto" w:fill="FFFFFF"/>
              </w:rPr>
              <w:t>post-OP albumin</w:t>
            </w:r>
          </w:p>
        </w:tc>
        <w:tc>
          <w:tcPr>
            <w:tcW w:w="2010" w:type="dxa"/>
          </w:tcPr>
          <w:p w:rsidR="00137F47" w:rsidRPr="00EA799E" w:rsidRDefault="00137F47" w:rsidP="00137F47">
            <w:pPr>
              <w:rPr>
                <w:rFonts w:cstheme="minorHAnsi"/>
                <w:color w:val="000000"/>
                <w:szCs w:val="24"/>
                <w:shd w:val="clear" w:color="auto" w:fill="FFFFFF"/>
              </w:rPr>
            </w:pPr>
            <w:r w:rsidRPr="00EA799E">
              <w:rPr>
                <w:rFonts w:cstheme="minorHAnsi"/>
                <w:color w:val="000000"/>
                <w:szCs w:val="24"/>
                <w:shd w:val="clear" w:color="auto" w:fill="FFFFFF"/>
              </w:rPr>
              <w:t>post-OP ALBI score</w:t>
            </w:r>
          </w:p>
        </w:tc>
      </w:tr>
      <w:tr w:rsidR="00137F47" w:rsidRPr="005B08DB" w:rsidTr="005B08DB">
        <w:trPr>
          <w:trHeight w:val="300"/>
        </w:trPr>
        <w:tc>
          <w:tcPr>
            <w:tcW w:w="2036" w:type="dxa"/>
          </w:tcPr>
          <w:p w:rsidR="00137F47" w:rsidRPr="00EA799E" w:rsidRDefault="00137F47" w:rsidP="00137F47">
            <w:pPr>
              <w:rPr>
                <w:rFonts w:cstheme="minorHAnsi"/>
                <w:color w:val="000000"/>
                <w:szCs w:val="24"/>
                <w:shd w:val="clear" w:color="auto" w:fill="FFFFFF"/>
              </w:rPr>
            </w:pPr>
            <w:r w:rsidRPr="00EA799E">
              <w:rPr>
                <w:rFonts w:cstheme="minorHAnsi"/>
                <w:color w:val="000000"/>
                <w:szCs w:val="24"/>
                <w:shd w:val="clear" w:color="auto" w:fill="FFFFFF"/>
              </w:rPr>
              <w:t>pre-OP albumin</w:t>
            </w:r>
          </w:p>
        </w:tc>
        <w:tc>
          <w:tcPr>
            <w:tcW w:w="1692" w:type="dxa"/>
          </w:tcPr>
          <w:p w:rsidR="00137F47" w:rsidRPr="005B08DB" w:rsidRDefault="00137F47" w:rsidP="00137F47">
            <w:pPr>
              <w:rPr>
                <w:rFonts w:cstheme="minorHAnsi"/>
                <w:color w:val="000000"/>
                <w:szCs w:val="24"/>
                <w:shd w:val="clear" w:color="auto" w:fill="FFFFFF"/>
              </w:rPr>
            </w:pPr>
            <w:r w:rsidRPr="005B08DB">
              <w:rPr>
                <w:rFonts w:cstheme="minorHAnsi"/>
                <w:color w:val="000000"/>
                <w:szCs w:val="24"/>
                <w:shd w:val="clear" w:color="auto" w:fill="FFFFFF"/>
              </w:rPr>
              <w:t>1</w:t>
            </w:r>
          </w:p>
        </w:tc>
        <w:tc>
          <w:tcPr>
            <w:tcW w:w="2009" w:type="dxa"/>
          </w:tcPr>
          <w:p w:rsidR="00137F47" w:rsidRPr="005B08DB" w:rsidRDefault="00137F47" w:rsidP="00137F47">
            <w:pPr>
              <w:rPr>
                <w:rFonts w:cstheme="minorHAnsi"/>
                <w:color w:val="000000"/>
                <w:szCs w:val="24"/>
                <w:shd w:val="clear" w:color="auto" w:fill="FFFFFF"/>
              </w:rPr>
            </w:pPr>
            <w:r w:rsidRPr="005B08DB">
              <w:rPr>
                <w:rFonts w:cstheme="minorHAnsi"/>
                <w:color w:val="000000"/>
                <w:szCs w:val="24"/>
                <w:shd w:val="clear" w:color="auto" w:fill="FFFFFF"/>
              </w:rPr>
              <w:t>-0.969**</w:t>
            </w:r>
          </w:p>
        </w:tc>
        <w:tc>
          <w:tcPr>
            <w:tcW w:w="1867" w:type="dxa"/>
          </w:tcPr>
          <w:p w:rsidR="00137F47" w:rsidRPr="005B08DB" w:rsidRDefault="00137F47" w:rsidP="00137F47">
            <w:pPr>
              <w:rPr>
                <w:rFonts w:cstheme="minorHAnsi"/>
                <w:color w:val="000000"/>
                <w:szCs w:val="24"/>
                <w:shd w:val="clear" w:color="auto" w:fill="FFFFFF"/>
              </w:rPr>
            </w:pPr>
            <w:r w:rsidRPr="005B08DB">
              <w:rPr>
                <w:rFonts w:cstheme="minorHAnsi"/>
                <w:color w:val="000000"/>
                <w:szCs w:val="24"/>
                <w:shd w:val="clear" w:color="auto" w:fill="FFFFFF"/>
              </w:rPr>
              <w:t>0.112</w:t>
            </w:r>
          </w:p>
        </w:tc>
        <w:tc>
          <w:tcPr>
            <w:tcW w:w="2010" w:type="dxa"/>
          </w:tcPr>
          <w:p w:rsidR="00137F47" w:rsidRPr="005B08DB" w:rsidRDefault="00137F47" w:rsidP="00137F47">
            <w:pPr>
              <w:rPr>
                <w:rFonts w:cstheme="minorHAnsi"/>
                <w:color w:val="000000"/>
                <w:szCs w:val="24"/>
                <w:shd w:val="clear" w:color="auto" w:fill="FFFFFF"/>
              </w:rPr>
            </w:pPr>
            <w:r w:rsidRPr="005B08DB">
              <w:rPr>
                <w:rFonts w:cstheme="minorHAnsi"/>
                <w:color w:val="000000"/>
                <w:szCs w:val="24"/>
                <w:shd w:val="clear" w:color="auto" w:fill="FFFFFF"/>
              </w:rPr>
              <w:t>-0.114</w:t>
            </w:r>
          </w:p>
        </w:tc>
      </w:tr>
      <w:tr w:rsidR="00137F47" w:rsidRPr="005B08DB" w:rsidTr="005B08DB">
        <w:trPr>
          <w:trHeight w:val="300"/>
        </w:trPr>
        <w:tc>
          <w:tcPr>
            <w:tcW w:w="2036" w:type="dxa"/>
          </w:tcPr>
          <w:p w:rsidR="00137F47" w:rsidRPr="00EA799E" w:rsidRDefault="00137F47" w:rsidP="00137F47">
            <w:pPr>
              <w:rPr>
                <w:rFonts w:cstheme="minorHAnsi"/>
                <w:color w:val="000000"/>
                <w:szCs w:val="24"/>
                <w:shd w:val="clear" w:color="auto" w:fill="FFFFFF"/>
              </w:rPr>
            </w:pPr>
            <w:r w:rsidRPr="00EA799E">
              <w:rPr>
                <w:rFonts w:cstheme="minorHAnsi"/>
                <w:color w:val="000000"/>
                <w:szCs w:val="24"/>
                <w:shd w:val="clear" w:color="auto" w:fill="FFFFFF"/>
              </w:rPr>
              <w:t xml:space="preserve">pre-OP ALBI score  </w:t>
            </w:r>
          </w:p>
        </w:tc>
        <w:tc>
          <w:tcPr>
            <w:tcW w:w="1692" w:type="dxa"/>
          </w:tcPr>
          <w:p w:rsidR="00137F47" w:rsidRPr="005B08DB" w:rsidRDefault="00137F47" w:rsidP="00137F47">
            <w:pPr>
              <w:rPr>
                <w:rFonts w:cstheme="minorHAnsi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2009" w:type="dxa"/>
          </w:tcPr>
          <w:p w:rsidR="00137F47" w:rsidRPr="005B08DB" w:rsidRDefault="00137F47" w:rsidP="00137F47">
            <w:pPr>
              <w:rPr>
                <w:rFonts w:cstheme="minorHAnsi"/>
                <w:color w:val="000000"/>
                <w:szCs w:val="24"/>
                <w:shd w:val="clear" w:color="auto" w:fill="FFFFFF"/>
              </w:rPr>
            </w:pPr>
            <w:r w:rsidRPr="005B08DB">
              <w:rPr>
                <w:rFonts w:cstheme="minorHAnsi"/>
                <w:color w:val="000000"/>
                <w:szCs w:val="24"/>
                <w:shd w:val="clear" w:color="auto" w:fill="FFFFFF"/>
              </w:rPr>
              <w:t>1</w:t>
            </w:r>
          </w:p>
        </w:tc>
        <w:tc>
          <w:tcPr>
            <w:tcW w:w="1867" w:type="dxa"/>
          </w:tcPr>
          <w:p w:rsidR="00137F47" w:rsidRPr="005B08DB" w:rsidRDefault="00137F47" w:rsidP="00137F47">
            <w:pPr>
              <w:rPr>
                <w:rFonts w:cstheme="minorHAnsi"/>
                <w:color w:val="000000"/>
                <w:szCs w:val="24"/>
                <w:shd w:val="clear" w:color="auto" w:fill="FFFFFF"/>
              </w:rPr>
            </w:pPr>
            <w:r w:rsidRPr="005B08DB">
              <w:rPr>
                <w:rFonts w:cstheme="minorHAnsi"/>
                <w:color w:val="000000"/>
                <w:szCs w:val="24"/>
                <w:shd w:val="clear" w:color="auto" w:fill="FFFFFF"/>
              </w:rPr>
              <w:t>-0.108</w:t>
            </w:r>
          </w:p>
        </w:tc>
        <w:tc>
          <w:tcPr>
            <w:tcW w:w="2010" w:type="dxa"/>
          </w:tcPr>
          <w:p w:rsidR="00137F47" w:rsidRPr="005B08DB" w:rsidRDefault="00137F47" w:rsidP="00137F47">
            <w:pPr>
              <w:rPr>
                <w:rFonts w:cstheme="minorHAnsi"/>
                <w:color w:val="000000"/>
                <w:szCs w:val="24"/>
                <w:shd w:val="clear" w:color="auto" w:fill="FFFFFF"/>
              </w:rPr>
            </w:pPr>
            <w:r w:rsidRPr="005B08DB">
              <w:rPr>
                <w:rFonts w:cstheme="minorHAnsi"/>
                <w:color w:val="000000"/>
                <w:szCs w:val="24"/>
                <w:shd w:val="clear" w:color="auto" w:fill="FFFFFF"/>
              </w:rPr>
              <w:t>0.142*</w:t>
            </w:r>
          </w:p>
        </w:tc>
      </w:tr>
      <w:tr w:rsidR="00137F47" w:rsidRPr="005B08DB" w:rsidTr="005B08DB">
        <w:trPr>
          <w:trHeight w:val="306"/>
        </w:trPr>
        <w:tc>
          <w:tcPr>
            <w:tcW w:w="2036" w:type="dxa"/>
          </w:tcPr>
          <w:p w:rsidR="00137F47" w:rsidRPr="00EA799E" w:rsidRDefault="00137F47" w:rsidP="00137F47">
            <w:pPr>
              <w:rPr>
                <w:rFonts w:cstheme="minorHAnsi"/>
                <w:color w:val="000000"/>
                <w:szCs w:val="24"/>
                <w:shd w:val="clear" w:color="auto" w:fill="FFFFFF"/>
              </w:rPr>
            </w:pPr>
            <w:r w:rsidRPr="00EA799E">
              <w:rPr>
                <w:rFonts w:cstheme="minorHAnsi"/>
                <w:color w:val="000000"/>
                <w:szCs w:val="24"/>
                <w:shd w:val="clear" w:color="auto" w:fill="FFFFFF"/>
              </w:rPr>
              <w:t>post-OP albumin</w:t>
            </w:r>
          </w:p>
        </w:tc>
        <w:tc>
          <w:tcPr>
            <w:tcW w:w="1692" w:type="dxa"/>
          </w:tcPr>
          <w:p w:rsidR="00137F47" w:rsidRPr="005B08DB" w:rsidRDefault="00137F47" w:rsidP="00137F47">
            <w:pPr>
              <w:rPr>
                <w:rFonts w:cstheme="minorHAnsi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2009" w:type="dxa"/>
          </w:tcPr>
          <w:p w:rsidR="00137F47" w:rsidRPr="005B08DB" w:rsidRDefault="00137F47" w:rsidP="00137F47">
            <w:pPr>
              <w:rPr>
                <w:rFonts w:cstheme="minorHAnsi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867" w:type="dxa"/>
          </w:tcPr>
          <w:p w:rsidR="00137F47" w:rsidRPr="005B08DB" w:rsidRDefault="00137F47" w:rsidP="00137F47">
            <w:pPr>
              <w:rPr>
                <w:rFonts w:cstheme="minorHAnsi"/>
                <w:color w:val="000000"/>
                <w:szCs w:val="24"/>
                <w:shd w:val="clear" w:color="auto" w:fill="FFFFFF"/>
              </w:rPr>
            </w:pPr>
            <w:r w:rsidRPr="005B08DB">
              <w:rPr>
                <w:rFonts w:cstheme="minorHAnsi"/>
                <w:color w:val="000000"/>
                <w:szCs w:val="24"/>
                <w:shd w:val="clear" w:color="auto" w:fill="FFFFFF"/>
              </w:rPr>
              <w:t>1</w:t>
            </w:r>
          </w:p>
        </w:tc>
        <w:tc>
          <w:tcPr>
            <w:tcW w:w="2010" w:type="dxa"/>
          </w:tcPr>
          <w:p w:rsidR="00137F47" w:rsidRPr="005B08DB" w:rsidRDefault="00137F47" w:rsidP="00137F47">
            <w:pPr>
              <w:rPr>
                <w:rFonts w:cstheme="minorHAnsi"/>
                <w:color w:val="FF0000"/>
                <w:szCs w:val="24"/>
                <w:shd w:val="clear" w:color="auto" w:fill="FFFFFF"/>
              </w:rPr>
            </w:pPr>
            <w:r w:rsidRPr="005B08DB">
              <w:rPr>
                <w:rFonts w:cstheme="minorHAnsi"/>
                <w:szCs w:val="24"/>
                <w:shd w:val="clear" w:color="auto" w:fill="FFFFFF"/>
              </w:rPr>
              <w:t>-0.938**</w:t>
            </w:r>
          </w:p>
        </w:tc>
      </w:tr>
      <w:tr w:rsidR="00137F47" w:rsidRPr="005B08DB" w:rsidTr="005B08DB">
        <w:trPr>
          <w:trHeight w:val="300"/>
        </w:trPr>
        <w:tc>
          <w:tcPr>
            <w:tcW w:w="2036" w:type="dxa"/>
          </w:tcPr>
          <w:p w:rsidR="00137F47" w:rsidRPr="00EA799E" w:rsidRDefault="00137F47" w:rsidP="00137F47">
            <w:pPr>
              <w:rPr>
                <w:rFonts w:cstheme="minorHAnsi"/>
                <w:color w:val="000000"/>
                <w:szCs w:val="24"/>
                <w:shd w:val="clear" w:color="auto" w:fill="FFFFFF"/>
              </w:rPr>
            </w:pPr>
            <w:r w:rsidRPr="00EA799E">
              <w:rPr>
                <w:rFonts w:cstheme="minorHAnsi"/>
                <w:color w:val="000000"/>
                <w:szCs w:val="24"/>
                <w:shd w:val="clear" w:color="auto" w:fill="FFFFFF"/>
              </w:rPr>
              <w:t>post-OP ALBI score</w:t>
            </w:r>
          </w:p>
        </w:tc>
        <w:tc>
          <w:tcPr>
            <w:tcW w:w="1692" w:type="dxa"/>
          </w:tcPr>
          <w:p w:rsidR="00137F47" w:rsidRPr="005B08DB" w:rsidRDefault="00137F47" w:rsidP="00137F47">
            <w:pPr>
              <w:rPr>
                <w:rFonts w:cstheme="minorHAnsi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2009" w:type="dxa"/>
          </w:tcPr>
          <w:p w:rsidR="00137F47" w:rsidRPr="005B08DB" w:rsidRDefault="00137F47" w:rsidP="00137F47">
            <w:pPr>
              <w:rPr>
                <w:rFonts w:cstheme="minorHAnsi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867" w:type="dxa"/>
          </w:tcPr>
          <w:p w:rsidR="00137F47" w:rsidRPr="005B08DB" w:rsidRDefault="00137F47" w:rsidP="00137F47">
            <w:pPr>
              <w:rPr>
                <w:rFonts w:cstheme="minorHAnsi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2010" w:type="dxa"/>
          </w:tcPr>
          <w:p w:rsidR="00137F47" w:rsidRPr="005B08DB" w:rsidRDefault="00137F47" w:rsidP="00137F47">
            <w:pPr>
              <w:rPr>
                <w:rFonts w:cstheme="minorHAnsi"/>
                <w:color w:val="000000"/>
                <w:szCs w:val="24"/>
                <w:shd w:val="clear" w:color="auto" w:fill="FFFFFF"/>
              </w:rPr>
            </w:pPr>
            <w:r w:rsidRPr="005B08DB">
              <w:rPr>
                <w:rFonts w:cstheme="minorHAnsi"/>
                <w:color w:val="000000"/>
                <w:szCs w:val="24"/>
                <w:shd w:val="clear" w:color="auto" w:fill="FFFFFF"/>
              </w:rPr>
              <w:t>1</w:t>
            </w:r>
          </w:p>
        </w:tc>
      </w:tr>
    </w:tbl>
    <w:p w:rsidR="00137F47" w:rsidRPr="00475929" w:rsidRDefault="00137F47" w:rsidP="00137F47">
      <w:pPr>
        <w:rPr>
          <w:rFonts w:ascii="Times New Roman" w:hAnsi="Times New Roman" w:cs="Times New Roman"/>
        </w:rPr>
      </w:pPr>
      <w:r w:rsidRPr="00475929">
        <w:rPr>
          <w:rFonts w:ascii="Times New Roman" w:hAnsi="Times New Roman" w:cs="Times New Roman"/>
        </w:rPr>
        <w:t>The inverse correlation between pre-operation albumin and pre-operatio</w:t>
      </w:r>
      <w:r w:rsidR="00A62BBF" w:rsidRPr="00475929">
        <w:rPr>
          <w:rFonts w:ascii="Times New Roman" w:hAnsi="Times New Roman" w:cs="Times New Roman"/>
        </w:rPr>
        <w:t>n</w:t>
      </w:r>
      <w:r w:rsidRPr="00475929">
        <w:rPr>
          <w:rFonts w:ascii="Times New Roman" w:hAnsi="Times New Roman" w:cs="Times New Roman"/>
        </w:rPr>
        <w:t xml:space="preserve"> ALBI score,</w:t>
      </w:r>
      <w:r w:rsidRPr="00475929">
        <w:rPr>
          <w:rFonts w:ascii="Times New Roman" w:hAnsi="Times New Roman" w:cs="Times New Roman"/>
          <w:kern w:val="0"/>
          <w:szCs w:val="24"/>
        </w:rPr>
        <w:t xml:space="preserve"> </w:t>
      </w:r>
      <w:r w:rsidRPr="00475929">
        <w:rPr>
          <w:rFonts w:ascii="Times New Roman" w:hAnsi="Times New Roman" w:cs="Times New Roman"/>
        </w:rPr>
        <w:t>post-ope</w:t>
      </w:r>
      <w:r w:rsidR="00A62BBF" w:rsidRPr="00475929">
        <w:rPr>
          <w:rFonts w:ascii="Times New Roman" w:hAnsi="Times New Roman" w:cs="Times New Roman"/>
        </w:rPr>
        <w:t>ration albumin and post-operat</w:t>
      </w:r>
      <w:r w:rsidRPr="00475929">
        <w:rPr>
          <w:rFonts w:ascii="Times New Roman" w:hAnsi="Times New Roman" w:cs="Times New Roman"/>
        </w:rPr>
        <w:t>ion ALBI score are significant (p&lt;0.001).</w:t>
      </w:r>
      <w:r w:rsidR="00475929" w:rsidRPr="00475929">
        <w:rPr>
          <w:rFonts w:ascii="Times New Roman" w:hAnsi="Times New Roman" w:cs="Times New Roman"/>
        </w:rPr>
        <w:t xml:space="preserve"> </w:t>
      </w:r>
      <w:r w:rsidRPr="00475929">
        <w:rPr>
          <w:rFonts w:ascii="Times New Roman" w:hAnsi="Times New Roman" w:cs="Times New Roman"/>
        </w:rPr>
        <w:t>Spearman’s</w:t>
      </w:r>
      <w:r w:rsidR="00475929" w:rsidRPr="00475929">
        <w:rPr>
          <w:rFonts w:ascii="Times New Roman" w:hAnsi="Times New Roman" w:cs="Times New Roman"/>
        </w:rPr>
        <w:t xml:space="preserve"> </w:t>
      </w:r>
      <w:r w:rsidRPr="00475929">
        <w:rPr>
          <w:rFonts w:ascii="Times New Roman" w:hAnsi="Times New Roman" w:cs="Times New Roman"/>
        </w:rPr>
        <w:t>correlation coefficient. Statistical significance indicated by * (p &lt; 0.05),</w:t>
      </w:r>
      <w:r w:rsidRPr="00475929">
        <w:rPr>
          <w:rFonts w:ascii="Times New Roman" w:eastAsia="新細明體" w:hAnsi="Times New Roman" w:cs="Times New Roman"/>
          <w:color w:val="111111"/>
          <w:kern w:val="36"/>
          <w:szCs w:val="24"/>
        </w:rPr>
        <w:t xml:space="preserve"> </w:t>
      </w:r>
      <w:r w:rsidR="00475929" w:rsidRPr="00475929">
        <w:rPr>
          <w:rFonts w:ascii="Times New Roman" w:hAnsi="Times New Roman" w:cs="Times New Roman"/>
        </w:rPr>
        <w:t>**(</w:t>
      </w:r>
      <w:r w:rsidRPr="00475929">
        <w:rPr>
          <w:rFonts w:ascii="Times New Roman" w:hAnsi="Times New Roman" w:cs="Times New Roman"/>
        </w:rPr>
        <w:t>p &lt; 0.001)</w:t>
      </w:r>
    </w:p>
    <w:p w:rsidR="00560567" w:rsidRDefault="00560567" w:rsidP="00475929">
      <w:pPr>
        <w:spacing w:line="720" w:lineRule="auto"/>
        <w:rPr>
          <w:rFonts w:cstheme="minorHAnsi"/>
          <w:b/>
          <w:color w:val="000000"/>
          <w:szCs w:val="24"/>
          <w:shd w:val="clear" w:color="auto" w:fill="FFFFFF"/>
        </w:rPr>
      </w:pPr>
    </w:p>
    <w:p w:rsidR="005076FD" w:rsidRPr="00475929" w:rsidRDefault="00137F47" w:rsidP="005076FD">
      <w:pPr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</w:pPr>
      <w:r w:rsidRPr="00475929"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>Table S3</w:t>
      </w:r>
      <w:r w:rsidR="005076FD" w:rsidRPr="00475929"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 xml:space="preserve"> Association between pre- and post-operative ALBI grades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9"/>
        <w:gridCol w:w="1561"/>
        <w:gridCol w:w="1655"/>
        <w:gridCol w:w="1655"/>
        <w:gridCol w:w="1656"/>
      </w:tblGrid>
      <w:tr w:rsidR="005076FD" w:rsidRPr="00F51219" w:rsidTr="00C5661A">
        <w:tc>
          <w:tcPr>
            <w:tcW w:w="2803" w:type="dxa"/>
          </w:tcPr>
          <w:p w:rsidR="005076FD" w:rsidRPr="00F51219" w:rsidRDefault="005076FD" w:rsidP="00C5661A">
            <w:pPr>
              <w:rPr>
                <w:szCs w:val="24"/>
              </w:rPr>
            </w:pPr>
          </w:p>
        </w:tc>
        <w:tc>
          <w:tcPr>
            <w:tcW w:w="2803" w:type="dxa"/>
          </w:tcPr>
          <w:p w:rsidR="005076FD" w:rsidRPr="00F51219" w:rsidRDefault="005076FD" w:rsidP="00C5661A">
            <w:pPr>
              <w:rPr>
                <w:szCs w:val="24"/>
              </w:rPr>
            </w:pPr>
          </w:p>
        </w:tc>
        <w:tc>
          <w:tcPr>
            <w:tcW w:w="2803" w:type="dxa"/>
          </w:tcPr>
          <w:p w:rsidR="005076FD" w:rsidRPr="00F51219" w:rsidRDefault="005076FD" w:rsidP="00C5661A">
            <w:pPr>
              <w:jc w:val="center"/>
              <w:rPr>
                <w:szCs w:val="24"/>
              </w:rPr>
            </w:pPr>
            <w:r w:rsidRPr="00F51219">
              <w:rPr>
                <w:szCs w:val="24"/>
              </w:rPr>
              <w:t>Pre-OP ALBI Grade I</w:t>
            </w:r>
          </w:p>
        </w:tc>
        <w:tc>
          <w:tcPr>
            <w:tcW w:w="2803" w:type="dxa"/>
          </w:tcPr>
          <w:p w:rsidR="005076FD" w:rsidRPr="00F51219" w:rsidRDefault="005076FD" w:rsidP="00C5661A">
            <w:pPr>
              <w:jc w:val="center"/>
              <w:rPr>
                <w:szCs w:val="24"/>
              </w:rPr>
            </w:pPr>
            <w:r w:rsidRPr="00F51219">
              <w:rPr>
                <w:szCs w:val="24"/>
              </w:rPr>
              <w:t>Pre-OP ALBI Grade II</w:t>
            </w:r>
          </w:p>
        </w:tc>
        <w:tc>
          <w:tcPr>
            <w:tcW w:w="2804" w:type="dxa"/>
          </w:tcPr>
          <w:p w:rsidR="005076FD" w:rsidRPr="00F51219" w:rsidRDefault="005076FD" w:rsidP="00C5661A">
            <w:pPr>
              <w:jc w:val="center"/>
              <w:rPr>
                <w:szCs w:val="24"/>
              </w:rPr>
            </w:pPr>
            <w:r w:rsidRPr="00F51219">
              <w:rPr>
                <w:szCs w:val="24"/>
              </w:rPr>
              <w:t>Total</w:t>
            </w:r>
          </w:p>
        </w:tc>
      </w:tr>
      <w:tr w:rsidR="005076FD" w:rsidRPr="00F51219" w:rsidTr="00C5661A">
        <w:tc>
          <w:tcPr>
            <w:tcW w:w="2803" w:type="dxa"/>
          </w:tcPr>
          <w:p w:rsidR="005076FD" w:rsidRPr="00F51219" w:rsidRDefault="005076FD" w:rsidP="00C5661A">
            <w:pPr>
              <w:rPr>
                <w:szCs w:val="24"/>
              </w:rPr>
            </w:pPr>
            <w:r w:rsidRPr="00F51219">
              <w:rPr>
                <w:szCs w:val="24"/>
              </w:rPr>
              <w:t>Post-operative first year</w:t>
            </w:r>
          </w:p>
        </w:tc>
        <w:tc>
          <w:tcPr>
            <w:tcW w:w="2803" w:type="dxa"/>
          </w:tcPr>
          <w:p w:rsidR="005076FD" w:rsidRPr="00F51219" w:rsidRDefault="005076FD" w:rsidP="00C5661A">
            <w:pPr>
              <w:rPr>
                <w:szCs w:val="24"/>
              </w:rPr>
            </w:pPr>
            <w:r w:rsidRPr="00F51219">
              <w:rPr>
                <w:szCs w:val="24"/>
              </w:rPr>
              <w:t>ALBI Grade I</w:t>
            </w:r>
          </w:p>
        </w:tc>
        <w:tc>
          <w:tcPr>
            <w:tcW w:w="2803" w:type="dxa"/>
          </w:tcPr>
          <w:p w:rsidR="005076FD" w:rsidRPr="00F51219" w:rsidRDefault="005076FD" w:rsidP="00C5661A">
            <w:pPr>
              <w:jc w:val="center"/>
              <w:rPr>
                <w:szCs w:val="24"/>
              </w:rPr>
            </w:pPr>
            <w:r w:rsidRPr="00F51219">
              <w:rPr>
                <w:szCs w:val="24"/>
              </w:rPr>
              <w:t>80 (76.2%)</w:t>
            </w:r>
          </w:p>
        </w:tc>
        <w:tc>
          <w:tcPr>
            <w:tcW w:w="2803" w:type="dxa"/>
          </w:tcPr>
          <w:p w:rsidR="005076FD" w:rsidRPr="00F51219" w:rsidRDefault="005076FD" w:rsidP="00C5661A">
            <w:pPr>
              <w:jc w:val="center"/>
              <w:rPr>
                <w:szCs w:val="24"/>
              </w:rPr>
            </w:pPr>
            <w:r w:rsidRPr="00F51219">
              <w:rPr>
                <w:szCs w:val="24"/>
              </w:rPr>
              <w:t>89 (69.0%)</w:t>
            </w:r>
          </w:p>
        </w:tc>
        <w:tc>
          <w:tcPr>
            <w:tcW w:w="2804" w:type="dxa"/>
          </w:tcPr>
          <w:p w:rsidR="005076FD" w:rsidRPr="00F51219" w:rsidRDefault="005076FD" w:rsidP="00C5661A">
            <w:pPr>
              <w:jc w:val="center"/>
              <w:rPr>
                <w:szCs w:val="24"/>
              </w:rPr>
            </w:pPr>
            <w:r w:rsidRPr="00F51219">
              <w:rPr>
                <w:szCs w:val="24"/>
              </w:rPr>
              <w:t>169 (72.2%)</w:t>
            </w:r>
          </w:p>
        </w:tc>
      </w:tr>
      <w:tr w:rsidR="005076FD" w:rsidRPr="00F51219" w:rsidTr="00C5661A">
        <w:tc>
          <w:tcPr>
            <w:tcW w:w="2803" w:type="dxa"/>
          </w:tcPr>
          <w:p w:rsidR="005076FD" w:rsidRPr="00F51219" w:rsidRDefault="005076FD" w:rsidP="00C5661A">
            <w:pPr>
              <w:rPr>
                <w:szCs w:val="24"/>
              </w:rPr>
            </w:pPr>
          </w:p>
        </w:tc>
        <w:tc>
          <w:tcPr>
            <w:tcW w:w="2803" w:type="dxa"/>
          </w:tcPr>
          <w:p w:rsidR="005076FD" w:rsidRPr="00F51219" w:rsidRDefault="005076FD" w:rsidP="00C5661A">
            <w:pPr>
              <w:rPr>
                <w:szCs w:val="24"/>
              </w:rPr>
            </w:pPr>
            <w:r w:rsidRPr="00F51219">
              <w:rPr>
                <w:szCs w:val="24"/>
              </w:rPr>
              <w:t>ALBI Grade II</w:t>
            </w:r>
          </w:p>
        </w:tc>
        <w:tc>
          <w:tcPr>
            <w:tcW w:w="2803" w:type="dxa"/>
          </w:tcPr>
          <w:p w:rsidR="005076FD" w:rsidRPr="00F51219" w:rsidRDefault="005076FD" w:rsidP="00C5661A">
            <w:pPr>
              <w:jc w:val="center"/>
              <w:rPr>
                <w:szCs w:val="24"/>
              </w:rPr>
            </w:pPr>
            <w:r w:rsidRPr="00F51219">
              <w:rPr>
                <w:szCs w:val="24"/>
              </w:rPr>
              <w:t>24 (22.9%)</w:t>
            </w:r>
          </w:p>
        </w:tc>
        <w:tc>
          <w:tcPr>
            <w:tcW w:w="2803" w:type="dxa"/>
          </w:tcPr>
          <w:p w:rsidR="005076FD" w:rsidRPr="00F51219" w:rsidRDefault="005076FD" w:rsidP="00C5661A">
            <w:pPr>
              <w:jc w:val="center"/>
              <w:rPr>
                <w:szCs w:val="24"/>
              </w:rPr>
            </w:pPr>
            <w:r w:rsidRPr="00F51219">
              <w:rPr>
                <w:szCs w:val="24"/>
              </w:rPr>
              <w:t>37 (28.7%)</w:t>
            </w:r>
          </w:p>
        </w:tc>
        <w:tc>
          <w:tcPr>
            <w:tcW w:w="2804" w:type="dxa"/>
          </w:tcPr>
          <w:p w:rsidR="005076FD" w:rsidRPr="00F51219" w:rsidRDefault="005076FD" w:rsidP="00C5661A">
            <w:pPr>
              <w:jc w:val="center"/>
              <w:rPr>
                <w:szCs w:val="24"/>
              </w:rPr>
            </w:pPr>
            <w:r w:rsidRPr="00F51219">
              <w:rPr>
                <w:szCs w:val="24"/>
              </w:rPr>
              <w:t>61 (26.0%)</w:t>
            </w:r>
          </w:p>
        </w:tc>
      </w:tr>
      <w:tr w:rsidR="005076FD" w:rsidRPr="00F51219" w:rsidTr="00C5661A">
        <w:tc>
          <w:tcPr>
            <w:tcW w:w="2803" w:type="dxa"/>
          </w:tcPr>
          <w:p w:rsidR="005076FD" w:rsidRPr="00F51219" w:rsidRDefault="005076FD" w:rsidP="00C5661A">
            <w:pPr>
              <w:rPr>
                <w:szCs w:val="24"/>
              </w:rPr>
            </w:pPr>
          </w:p>
        </w:tc>
        <w:tc>
          <w:tcPr>
            <w:tcW w:w="2803" w:type="dxa"/>
          </w:tcPr>
          <w:p w:rsidR="005076FD" w:rsidRPr="00F51219" w:rsidRDefault="005076FD" w:rsidP="00C5661A">
            <w:pPr>
              <w:rPr>
                <w:szCs w:val="24"/>
              </w:rPr>
            </w:pPr>
            <w:r w:rsidRPr="00F51219">
              <w:rPr>
                <w:szCs w:val="24"/>
              </w:rPr>
              <w:t>ALBI Grade III</w:t>
            </w:r>
          </w:p>
        </w:tc>
        <w:tc>
          <w:tcPr>
            <w:tcW w:w="2803" w:type="dxa"/>
          </w:tcPr>
          <w:p w:rsidR="005076FD" w:rsidRPr="00F51219" w:rsidRDefault="005076FD" w:rsidP="00C5661A">
            <w:pPr>
              <w:jc w:val="center"/>
              <w:rPr>
                <w:szCs w:val="24"/>
              </w:rPr>
            </w:pPr>
            <w:r w:rsidRPr="00F51219">
              <w:rPr>
                <w:szCs w:val="24"/>
              </w:rPr>
              <w:t>1 (1.0%)</w:t>
            </w:r>
          </w:p>
        </w:tc>
        <w:tc>
          <w:tcPr>
            <w:tcW w:w="2803" w:type="dxa"/>
          </w:tcPr>
          <w:p w:rsidR="005076FD" w:rsidRPr="00F51219" w:rsidRDefault="005076FD" w:rsidP="00C5661A">
            <w:pPr>
              <w:jc w:val="center"/>
              <w:rPr>
                <w:szCs w:val="24"/>
              </w:rPr>
            </w:pPr>
            <w:r w:rsidRPr="00F51219">
              <w:rPr>
                <w:szCs w:val="24"/>
              </w:rPr>
              <w:t>3 (2.3%)</w:t>
            </w:r>
          </w:p>
        </w:tc>
        <w:tc>
          <w:tcPr>
            <w:tcW w:w="2804" w:type="dxa"/>
          </w:tcPr>
          <w:p w:rsidR="005076FD" w:rsidRPr="00F51219" w:rsidRDefault="005076FD" w:rsidP="00C5661A">
            <w:pPr>
              <w:jc w:val="center"/>
              <w:rPr>
                <w:szCs w:val="24"/>
              </w:rPr>
            </w:pPr>
            <w:r w:rsidRPr="00F51219">
              <w:rPr>
                <w:szCs w:val="24"/>
              </w:rPr>
              <w:t>4 (1.3%)</w:t>
            </w:r>
          </w:p>
        </w:tc>
      </w:tr>
      <w:tr w:rsidR="005076FD" w:rsidRPr="00F51219" w:rsidTr="00C5661A">
        <w:tc>
          <w:tcPr>
            <w:tcW w:w="2803" w:type="dxa"/>
          </w:tcPr>
          <w:p w:rsidR="005076FD" w:rsidRPr="00F51219" w:rsidRDefault="005076FD" w:rsidP="00C5661A">
            <w:pPr>
              <w:rPr>
                <w:szCs w:val="24"/>
              </w:rPr>
            </w:pPr>
          </w:p>
        </w:tc>
        <w:tc>
          <w:tcPr>
            <w:tcW w:w="2803" w:type="dxa"/>
          </w:tcPr>
          <w:p w:rsidR="005076FD" w:rsidRPr="00F51219" w:rsidRDefault="005076FD" w:rsidP="00C5661A">
            <w:pPr>
              <w:rPr>
                <w:szCs w:val="24"/>
              </w:rPr>
            </w:pPr>
          </w:p>
        </w:tc>
        <w:tc>
          <w:tcPr>
            <w:tcW w:w="2803" w:type="dxa"/>
          </w:tcPr>
          <w:p w:rsidR="005076FD" w:rsidRPr="00F51219" w:rsidRDefault="005076FD" w:rsidP="00C5661A">
            <w:pPr>
              <w:jc w:val="center"/>
              <w:rPr>
                <w:szCs w:val="24"/>
              </w:rPr>
            </w:pPr>
            <w:r w:rsidRPr="00F51219">
              <w:rPr>
                <w:szCs w:val="24"/>
              </w:rPr>
              <w:t>105</w:t>
            </w:r>
          </w:p>
        </w:tc>
        <w:tc>
          <w:tcPr>
            <w:tcW w:w="2803" w:type="dxa"/>
          </w:tcPr>
          <w:p w:rsidR="005076FD" w:rsidRPr="00F51219" w:rsidRDefault="005076FD" w:rsidP="00C5661A">
            <w:pPr>
              <w:jc w:val="center"/>
              <w:rPr>
                <w:szCs w:val="24"/>
              </w:rPr>
            </w:pPr>
            <w:r w:rsidRPr="00F51219">
              <w:rPr>
                <w:szCs w:val="24"/>
              </w:rPr>
              <w:t>129</w:t>
            </w:r>
          </w:p>
        </w:tc>
        <w:tc>
          <w:tcPr>
            <w:tcW w:w="2804" w:type="dxa"/>
          </w:tcPr>
          <w:p w:rsidR="005076FD" w:rsidRPr="00F51219" w:rsidRDefault="005076FD" w:rsidP="00C5661A">
            <w:pPr>
              <w:jc w:val="center"/>
              <w:rPr>
                <w:szCs w:val="24"/>
              </w:rPr>
            </w:pPr>
            <w:r w:rsidRPr="00F51219">
              <w:rPr>
                <w:szCs w:val="24"/>
              </w:rPr>
              <w:t>234</w:t>
            </w:r>
          </w:p>
        </w:tc>
      </w:tr>
    </w:tbl>
    <w:p w:rsidR="005076FD" w:rsidRDefault="005076FD"/>
    <w:sectPr w:rsidR="005076F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1A9" w:rsidRDefault="006221A9" w:rsidP="00616CC7">
      <w:r>
        <w:separator/>
      </w:r>
    </w:p>
  </w:endnote>
  <w:endnote w:type="continuationSeparator" w:id="0">
    <w:p w:rsidR="006221A9" w:rsidRDefault="006221A9" w:rsidP="00616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1A9" w:rsidRDefault="006221A9" w:rsidP="00616CC7">
      <w:r>
        <w:separator/>
      </w:r>
    </w:p>
  </w:footnote>
  <w:footnote w:type="continuationSeparator" w:id="0">
    <w:p w:rsidR="006221A9" w:rsidRDefault="006221A9" w:rsidP="00616C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6FD"/>
    <w:rsid w:val="00004207"/>
    <w:rsid w:val="00015B5A"/>
    <w:rsid w:val="000B01B5"/>
    <w:rsid w:val="000C3531"/>
    <w:rsid w:val="00137F47"/>
    <w:rsid w:val="0016184E"/>
    <w:rsid w:val="00166345"/>
    <w:rsid w:val="00197782"/>
    <w:rsid w:val="002543FB"/>
    <w:rsid w:val="00475929"/>
    <w:rsid w:val="00501281"/>
    <w:rsid w:val="005076FD"/>
    <w:rsid w:val="00560567"/>
    <w:rsid w:val="005B08DB"/>
    <w:rsid w:val="005B0EAD"/>
    <w:rsid w:val="00616CC7"/>
    <w:rsid w:val="006221A9"/>
    <w:rsid w:val="007850AE"/>
    <w:rsid w:val="007A7929"/>
    <w:rsid w:val="00874963"/>
    <w:rsid w:val="00A57301"/>
    <w:rsid w:val="00A62BBF"/>
    <w:rsid w:val="00AD6EF8"/>
    <w:rsid w:val="00BE799D"/>
    <w:rsid w:val="00C32856"/>
    <w:rsid w:val="00C60C74"/>
    <w:rsid w:val="00D825C9"/>
    <w:rsid w:val="00DE7620"/>
    <w:rsid w:val="00EA799E"/>
    <w:rsid w:val="00F15F19"/>
    <w:rsid w:val="00F6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C396B0"/>
  <w15:chartTrackingRefBased/>
  <w15:docId w15:val="{93D9E7EC-5577-49E8-80EE-9C6531E2B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76F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uiPriority w:val="99"/>
    <w:rsid w:val="005076FD"/>
    <w:rPr>
      <w:color w:val="0000FF"/>
      <w:u w:val="single"/>
    </w:rPr>
  </w:style>
  <w:style w:type="character" w:customStyle="1" w:styleId="highlight">
    <w:name w:val="highlight"/>
    <w:basedOn w:val="a0"/>
    <w:rsid w:val="005076FD"/>
  </w:style>
  <w:style w:type="paragraph" w:styleId="a5">
    <w:name w:val="header"/>
    <w:basedOn w:val="a"/>
    <w:link w:val="a6"/>
    <w:uiPriority w:val="99"/>
    <w:unhideWhenUsed/>
    <w:rsid w:val="00616C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16CC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16C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16CC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603</Words>
  <Characters>3441</Characters>
  <Application>Microsoft Office Word</Application>
  <DocSecurity>0</DocSecurity>
  <Lines>28</Lines>
  <Paragraphs>8</Paragraphs>
  <ScaleCrop>false</ScaleCrop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faru哈哈 卓</dc:creator>
  <cp:keywords/>
  <dc:description/>
  <cp:lastModifiedBy>faru哈哈 卓</cp:lastModifiedBy>
  <cp:revision>13</cp:revision>
  <dcterms:created xsi:type="dcterms:W3CDTF">2019-10-08T12:32:00Z</dcterms:created>
  <dcterms:modified xsi:type="dcterms:W3CDTF">2020-03-14T14:41:00Z</dcterms:modified>
</cp:coreProperties>
</file>