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BD780" w14:textId="77777777" w:rsidR="0048670A" w:rsidRDefault="0048670A" w:rsidP="0048670A">
      <w:pPr>
        <w:spacing w:after="240"/>
        <w:rPr>
          <w:rFonts w:asciiTheme="minorBidi" w:hAnsiTheme="minorBidi"/>
          <w:b/>
          <w:sz w:val="32"/>
          <w:szCs w:val="32"/>
        </w:rPr>
      </w:pPr>
      <w:r>
        <w:rPr>
          <w:rFonts w:eastAsia="Times New Roman"/>
          <w:b/>
          <w:sz w:val="32"/>
          <w:szCs w:val="32"/>
        </w:rPr>
        <w:t>Accuracy of ancestral state reconstruction for non-neutral traits</w:t>
      </w:r>
    </w:p>
    <w:p w14:paraId="7BA7200A" w14:textId="77777777" w:rsidR="0048670A" w:rsidRDefault="0048670A" w:rsidP="0048670A">
      <w:pPr>
        <w:rPr>
          <w:rFonts w:asciiTheme="minorBidi" w:hAnsiTheme="minorBidi"/>
          <w:b/>
          <w:bCs/>
          <w:sz w:val="24"/>
          <w:szCs w:val="21"/>
          <w:vertAlign w:val="superscript"/>
        </w:rPr>
      </w:pPr>
      <w:bookmarkStart w:id="0" w:name="h.xxv8lkbdv0pu"/>
      <w:bookmarkEnd w:id="0"/>
      <w:r>
        <w:rPr>
          <w:b/>
          <w:bCs/>
          <w:sz w:val="24"/>
          <w:szCs w:val="21"/>
        </w:rPr>
        <w:t>Barbara R. Holland*</w:t>
      </w:r>
      <w:r>
        <w:rPr>
          <w:b/>
          <w:bCs/>
          <w:sz w:val="24"/>
          <w:szCs w:val="21"/>
          <w:vertAlign w:val="superscript"/>
        </w:rPr>
        <w:t>1</w:t>
      </w:r>
      <w:r>
        <w:rPr>
          <w:b/>
          <w:bCs/>
          <w:sz w:val="24"/>
          <w:szCs w:val="21"/>
        </w:rPr>
        <w:t>,Saan Ketelaar-Jones</w:t>
      </w:r>
      <w:r>
        <w:rPr>
          <w:b/>
          <w:bCs/>
          <w:sz w:val="24"/>
          <w:szCs w:val="21"/>
          <w:vertAlign w:val="superscript"/>
        </w:rPr>
        <w:t>1</w:t>
      </w:r>
      <w:r>
        <w:rPr>
          <w:b/>
          <w:bCs/>
          <w:sz w:val="24"/>
          <w:szCs w:val="21"/>
        </w:rPr>
        <w:t>, Aidan R. O’Mara</w:t>
      </w:r>
      <w:r>
        <w:rPr>
          <w:b/>
          <w:bCs/>
          <w:sz w:val="24"/>
          <w:szCs w:val="21"/>
          <w:vertAlign w:val="superscript"/>
        </w:rPr>
        <w:t>2</w:t>
      </w:r>
      <w:r>
        <w:rPr>
          <w:b/>
          <w:bCs/>
          <w:sz w:val="24"/>
          <w:szCs w:val="21"/>
        </w:rPr>
        <w:t>, Michael D. Woodhams</w:t>
      </w:r>
      <w:r>
        <w:rPr>
          <w:b/>
          <w:bCs/>
          <w:sz w:val="24"/>
          <w:szCs w:val="21"/>
          <w:vertAlign w:val="superscript"/>
        </w:rPr>
        <w:t>1</w:t>
      </w:r>
      <w:r>
        <w:rPr>
          <w:b/>
          <w:bCs/>
          <w:sz w:val="24"/>
          <w:szCs w:val="21"/>
        </w:rPr>
        <w:t>, and Gregory J. Jordan</w:t>
      </w:r>
      <w:r>
        <w:rPr>
          <w:b/>
          <w:bCs/>
          <w:sz w:val="24"/>
          <w:szCs w:val="21"/>
          <w:vertAlign w:val="superscript"/>
        </w:rPr>
        <w:t>1</w:t>
      </w:r>
    </w:p>
    <w:p w14:paraId="558517F7" w14:textId="77777777" w:rsidR="0048670A" w:rsidRDefault="0048670A" w:rsidP="0048670A"/>
    <w:p w14:paraId="6DF55424" w14:textId="77777777" w:rsidR="0048670A" w:rsidRDefault="0048670A" w:rsidP="0048670A">
      <w:r>
        <w:rPr>
          <w:vertAlign w:val="superscript"/>
        </w:rPr>
        <w:t>1</w:t>
      </w:r>
      <w:r>
        <w:t>School of Natural Sciences, University of Tasmania, Private Bag 55, Hobart, Tas. 7001, Australia.</w:t>
      </w:r>
    </w:p>
    <w:p w14:paraId="77A9DB1E" w14:textId="77777777" w:rsidR="0048670A" w:rsidRDefault="0048670A" w:rsidP="0048670A">
      <w:r>
        <w:rPr>
          <w:vertAlign w:val="superscript"/>
        </w:rPr>
        <w:t>2</w:t>
      </w:r>
      <w:r>
        <w:t>School of Health Sciences, University of Tasmania, Private Bag 121, Hobart, Tas. 7001, Australia</w:t>
      </w:r>
    </w:p>
    <w:p w14:paraId="4C07C409" w14:textId="76ADFD1E" w:rsidR="0048670A" w:rsidRPr="0048670A" w:rsidRDefault="0048670A" w:rsidP="0048670A">
      <w:r>
        <w:rPr>
          <w:vertAlign w:val="superscript"/>
        </w:rPr>
        <w:t>*</w:t>
      </w:r>
      <w:r>
        <w:t xml:space="preserve"> </w:t>
      </w:r>
      <w:hyperlink r:id="rId4">
        <w:r>
          <w:rPr>
            <w:rStyle w:val="InternetLink"/>
          </w:rPr>
          <w:t>Barbara.Holland@utas.edu.au</w:t>
        </w:r>
      </w:hyperlink>
    </w:p>
    <w:p w14:paraId="7FCBEF5C" w14:textId="77777777" w:rsidR="0048670A" w:rsidRDefault="0048670A" w:rsidP="0048670A">
      <w:pPr>
        <w:spacing w:after="240" w:line="360" w:lineRule="auto"/>
        <w:rPr>
          <w:rFonts w:asciiTheme="majorBidi" w:eastAsia="Times New Roman" w:hAnsiTheme="majorBidi" w:cstheme="majorBidi"/>
          <w:b/>
          <w:sz w:val="24"/>
          <w:szCs w:val="24"/>
        </w:rPr>
      </w:pPr>
    </w:p>
    <w:p w14:paraId="027DD804" w14:textId="0A9B384F" w:rsidR="008C7599" w:rsidRPr="0048670A" w:rsidRDefault="008C7599" w:rsidP="0048670A">
      <w:pPr>
        <w:spacing w:after="240" w:line="360" w:lineRule="auto"/>
        <w:rPr>
          <w:rFonts w:asciiTheme="majorBidi" w:eastAsia="Times New Roman" w:hAnsiTheme="majorBidi" w:cstheme="majorBidi"/>
          <w:b/>
          <w:sz w:val="24"/>
          <w:szCs w:val="24"/>
        </w:rPr>
      </w:pPr>
      <w:bookmarkStart w:id="1" w:name="_GoBack"/>
      <w:bookmarkEnd w:id="1"/>
      <w:r w:rsidRPr="00A91090">
        <w:rPr>
          <w:rFonts w:asciiTheme="majorBidi" w:eastAsia="Times New Roman" w:hAnsiTheme="majorBidi" w:cstheme="majorBidi"/>
          <w:b/>
          <w:sz w:val="24"/>
          <w:szCs w:val="24"/>
        </w:rPr>
        <w:t xml:space="preserve">Supplementary Materials </w:t>
      </w:r>
    </w:p>
    <w:p w14:paraId="6C155CEF" w14:textId="77777777" w:rsidR="0048670A" w:rsidRDefault="0048670A">
      <w:pPr>
        <w:rPr>
          <w:rFonts w:asciiTheme="majorBidi" w:eastAsia="Times New Roman" w:hAnsiTheme="majorBidi" w:cstheme="majorBidi"/>
          <w:b/>
        </w:rPr>
      </w:pPr>
      <w:r>
        <w:rPr>
          <w:rFonts w:asciiTheme="majorBidi" w:eastAsia="Times New Roman" w:hAnsiTheme="majorBidi" w:cstheme="majorBidi"/>
          <w:b/>
        </w:rPr>
        <w:br w:type="page"/>
      </w:r>
    </w:p>
    <w:p w14:paraId="6C61E9BF" w14:textId="0BD456DF" w:rsidR="00A927AF" w:rsidRPr="00A91090" w:rsidRDefault="00391E5C" w:rsidP="00A927AF">
      <w:pPr>
        <w:spacing w:line="360" w:lineRule="auto"/>
        <w:rPr>
          <w:rFonts w:asciiTheme="majorBidi" w:eastAsia="Times New Roman" w:hAnsiTheme="majorBidi" w:cstheme="majorBidi"/>
        </w:rPr>
      </w:pPr>
      <w:r w:rsidRPr="00A91090">
        <w:rPr>
          <w:rFonts w:asciiTheme="majorBidi" w:eastAsia="Times New Roman" w:hAnsiTheme="majorBidi" w:cstheme="majorBidi"/>
          <w:b/>
        </w:rPr>
        <w:lastRenderedPageBreak/>
        <w:t xml:space="preserve">Table </w:t>
      </w:r>
      <w:r w:rsidR="004364D2" w:rsidRPr="00A91090">
        <w:rPr>
          <w:rFonts w:asciiTheme="majorBidi" w:eastAsia="Times New Roman" w:hAnsiTheme="majorBidi" w:cstheme="majorBidi"/>
          <w:b/>
        </w:rPr>
        <w:t>S</w:t>
      </w:r>
      <w:r w:rsidRPr="00A91090">
        <w:rPr>
          <w:rFonts w:asciiTheme="majorBidi" w:eastAsia="Times New Roman" w:hAnsiTheme="majorBidi" w:cstheme="majorBidi"/>
          <w:b/>
        </w:rPr>
        <w:t xml:space="preserve">1. </w:t>
      </w:r>
      <w:r w:rsidR="00A927AF" w:rsidRPr="00A91090">
        <w:rPr>
          <w:rFonts w:asciiTheme="majorBidi" w:eastAsia="Times New Roman" w:hAnsiTheme="majorBidi" w:cstheme="majorBidi"/>
        </w:rPr>
        <w:t>Summary of output for binary logistic regression model of the form</w:t>
      </w:r>
    </w:p>
    <w:p w14:paraId="77118ECE" w14:textId="03512A85" w:rsidR="00A927AF" w:rsidRPr="00A91090" w:rsidRDefault="00A927AF" w:rsidP="00CE466E">
      <w:pPr>
        <w:spacing w:line="360" w:lineRule="auto"/>
        <w:jc w:val="center"/>
        <w:rPr>
          <w:rFonts w:asciiTheme="majorBidi" w:hAnsiTheme="majorBidi" w:cstheme="majorBidi"/>
        </w:rPr>
      </w:pPr>
      <w:r w:rsidRPr="00A91090">
        <w:rPr>
          <w:rFonts w:asciiTheme="majorBidi" w:hAnsiTheme="majorBidi" w:cstheme="majorBidi"/>
        </w:rPr>
        <w:t>Presence of error ~ (q</w:t>
      </w:r>
      <w:r w:rsidRPr="00A91090">
        <w:rPr>
          <w:rFonts w:asciiTheme="majorBidi" w:hAnsiTheme="majorBidi" w:cstheme="majorBidi"/>
          <w:vertAlign w:val="subscript"/>
        </w:rPr>
        <w:t>01</w:t>
      </w:r>
      <w:r w:rsidRPr="00A91090">
        <w:rPr>
          <w:rFonts w:asciiTheme="majorBidi" w:hAnsiTheme="majorBidi" w:cstheme="majorBidi"/>
        </w:rPr>
        <w:t xml:space="preserve"> + q</w:t>
      </w:r>
      <w:r w:rsidRPr="00A91090">
        <w:rPr>
          <w:rFonts w:asciiTheme="majorBidi" w:hAnsiTheme="majorBidi" w:cstheme="majorBidi"/>
          <w:vertAlign w:val="subscript"/>
        </w:rPr>
        <w:t>10</w:t>
      </w:r>
      <w:r w:rsidRPr="00A91090">
        <w:rPr>
          <w:rFonts w:asciiTheme="majorBidi" w:hAnsiTheme="majorBidi" w:cstheme="majorBidi"/>
        </w:rPr>
        <w:t xml:space="preserve"> + mu</w:t>
      </w:r>
      <w:r w:rsidRPr="00A91090">
        <w:rPr>
          <w:rFonts w:asciiTheme="majorBidi" w:hAnsiTheme="majorBidi" w:cstheme="majorBidi"/>
          <w:vertAlign w:val="subscript"/>
        </w:rPr>
        <w:t>0</w:t>
      </w:r>
      <w:r w:rsidRPr="00A91090">
        <w:rPr>
          <w:rFonts w:asciiTheme="majorBidi" w:hAnsiTheme="majorBidi" w:cstheme="majorBidi"/>
        </w:rPr>
        <w:t xml:space="preserve"> + mu</w:t>
      </w:r>
      <w:r w:rsidRPr="00A91090">
        <w:rPr>
          <w:rFonts w:asciiTheme="majorBidi" w:hAnsiTheme="majorBidi" w:cstheme="majorBidi"/>
          <w:vertAlign w:val="subscript"/>
        </w:rPr>
        <w:t>1</w:t>
      </w:r>
      <w:r w:rsidRPr="00A91090">
        <w:rPr>
          <w:rFonts w:asciiTheme="majorBidi" w:hAnsiTheme="majorBidi" w:cstheme="majorBidi"/>
        </w:rPr>
        <w:t xml:space="preserve"> + log(transitions))* Method</w:t>
      </w:r>
    </w:p>
    <w:p w14:paraId="5BD8D39B" w14:textId="049A1139" w:rsidR="00A927AF" w:rsidRPr="00A91090" w:rsidRDefault="00A927AF" w:rsidP="00A927AF">
      <w:pPr>
        <w:spacing w:line="360" w:lineRule="auto"/>
        <w:rPr>
          <w:rFonts w:asciiTheme="majorBidi" w:hAnsiTheme="majorBidi" w:cstheme="majorBidi"/>
        </w:rPr>
      </w:pPr>
      <w:r w:rsidRPr="00A91090">
        <w:rPr>
          <w:rFonts w:asciiTheme="majorBidi" w:hAnsiTheme="majorBidi" w:cstheme="majorBidi"/>
        </w:rPr>
        <w:t>Coefficient estimates are given in the link scale, i.e. they represent the effect on a log(odds) scale. Positive coefficients correspond to terms with a multiplicative effect on the odds of an error that is greater than 1.</w:t>
      </w:r>
      <w:r w:rsidR="00CE466E" w:rsidRPr="00A91090">
        <w:rPr>
          <w:rFonts w:asciiTheme="majorBidi" w:hAnsiTheme="majorBidi" w:cstheme="majorBidi"/>
        </w:rPr>
        <w:t xml:space="preserve"> </w:t>
      </w:r>
      <w:proofErr w:type="spellStart"/>
      <w:r w:rsidR="00CE466E" w:rsidRPr="00A91090">
        <w:rPr>
          <w:rFonts w:asciiTheme="majorBidi" w:hAnsiTheme="majorBidi" w:cstheme="majorBidi"/>
        </w:rPr>
        <w:t>BiSSE</w:t>
      </w:r>
      <w:proofErr w:type="spellEnd"/>
      <w:r w:rsidR="00CE466E" w:rsidRPr="00A91090">
        <w:rPr>
          <w:rFonts w:asciiTheme="majorBidi" w:hAnsiTheme="majorBidi" w:cstheme="majorBidi"/>
        </w:rPr>
        <w:t xml:space="preserve"> was set as the baseline level of the Method factor.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418"/>
        <w:gridCol w:w="1701"/>
        <w:gridCol w:w="1701"/>
        <w:gridCol w:w="1411"/>
      </w:tblGrid>
      <w:tr w:rsidR="00BE7191" w:rsidRPr="00A91090" w14:paraId="2A65FCA3" w14:textId="77777777" w:rsidTr="00BE7191">
        <w:tc>
          <w:tcPr>
            <w:tcW w:w="3397" w:type="dxa"/>
          </w:tcPr>
          <w:p w14:paraId="522E0C51" w14:textId="42D6666B" w:rsidR="00A927AF" w:rsidRPr="00A91090" w:rsidRDefault="00A927AF" w:rsidP="00BE7191">
            <w:pPr>
              <w:spacing w:line="360" w:lineRule="auto"/>
              <w:jc w:val="center"/>
              <w:rPr>
                <w:rFonts w:asciiTheme="majorBidi" w:eastAsia="Times New Roman" w:hAnsiTheme="majorBidi" w:cstheme="majorBidi"/>
                <w:b/>
                <w:bCs/>
                <w:szCs w:val="22"/>
              </w:rPr>
            </w:pPr>
            <w:r w:rsidRPr="00A91090">
              <w:rPr>
                <w:rFonts w:asciiTheme="majorBidi" w:eastAsia="Times New Roman" w:hAnsiTheme="majorBidi" w:cstheme="majorBidi"/>
                <w:b/>
                <w:bCs/>
                <w:szCs w:val="22"/>
              </w:rPr>
              <w:t>Term</w:t>
            </w:r>
          </w:p>
        </w:tc>
        <w:tc>
          <w:tcPr>
            <w:tcW w:w="1418" w:type="dxa"/>
          </w:tcPr>
          <w:p w14:paraId="4B9B5272" w14:textId="1AB23AE1" w:rsidR="00A927AF" w:rsidRPr="00A91090" w:rsidRDefault="00A927AF" w:rsidP="00BE7191">
            <w:pPr>
              <w:spacing w:line="360" w:lineRule="auto"/>
              <w:jc w:val="center"/>
              <w:rPr>
                <w:rFonts w:asciiTheme="majorBidi" w:eastAsia="Times New Roman" w:hAnsiTheme="majorBidi" w:cstheme="majorBidi"/>
                <w:b/>
                <w:bCs/>
                <w:szCs w:val="22"/>
              </w:rPr>
            </w:pPr>
            <w:r w:rsidRPr="00A91090">
              <w:rPr>
                <w:rFonts w:asciiTheme="majorBidi" w:eastAsia="Times New Roman" w:hAnsiTheme="majorBidi" w:cstheme="majorBidi"/>
                <w:b/>
                <w:bCs/>
                <w:szCs w:val="22"/>
              </w:rPr>
              <w:t>Estimate</w:t>
            </w:r>
          </w:p>
        </w:tc>
        <w:tc>
          <w:tcPr>
            <w:tcW w:w="1701" w:type="dxa"/>
          </w:tcPr>
          <w:p w14:paraId="20B6C325" w14:textId="401EF4B6" w:rsidR="00A927AF" w:rsidRPr="00A91090" w:rsidRDefault="00A927AF" w:rsidP="00BE7191">
            <w:pPr>
              <w:spacing w:line="360" w:lineRule="auto"/>
              <w:jc w:val="center"/>
              <w:rPr>
                <w:rFonts w:asciiTheme="majorBidi" w:eastAsia="Times New Roman" w:hAnsiTheme="majorBidi" w:cstheme="majorBidi"/>
                <w:b/>
                <w:bCs/>
                <w:szCs w:val="22"/>
              </w:rPr>
            </w:pPr>
            <w:r w:rsidRPr="00A91090">
              <w:rPr>
                <w:rFonts w:asciiTheme="majorBidi" w:eastAsia="Times New Roman" w:hAnsiTheme="majorBidi" w:cstheme="majorBidi"/>
                <w:b/>
                <w:bCs/>
                <w:szCs w:val="22"/>
              </w:rPr>
              <w:t>Std. error</w:t>
            </w:r>
          </w:p>
        </w:tc>
        <w:tc>
          <w:tcPr>
            <w:tcW w:w="1701" w:type="dxa"/>
          </w:tcPr>
          <w:p w14:paraId="1E693337" w14:textId="06AF8C0E" w:rsidR="00A927AF" w:rsidRPr="00A91090" w:rsidRDefault="00A927AF" w:rsidP="00BE7191">
            <w:pPr>
              <w:spacing w:line="360" w:lineRule="auto"/>
              <w:jc w:val="center"/>
              <w:rPr>
                <w:rFonts w:asciiTheme="majorBidi" w:eastAsia="Times New Roman" w:hAnsiTheme="majorBidi" w:cstheme="majorBidi"/>
                <w:b/>
                <w:bCs/>
                <w:szCs w:val="22"/>
              </w:rPr>
            </w:pPr>
            <w:r w:rsidRPr="00A91090">
              <w:rPr>
                <w:rFonts w:asciiTheme="majorBidi" w:eastAsia="Times New Roman" w:hAnsiTheme="majorBidi" w:cstheme="majorBidi"/>
                <w:b/>
                <w:bCs/>
                <w:szCs w:val="22"/>
              </w:rPr>
              <w:t>Z value</w:t>
            </w:r>
          </w:p>
        </w:tc>
        <w:tc>
          <w:tcPr>
            <w:tcW w:w="1411" w:type="dxa"/>
          </w:tcPr>
          <w:p w14:paraId="44DE977A" w14:textId="34C2D1E5" w:rsidR="00A927AF" w:rsidRPr="00A91090" w:rsidRDefault="00A927AF" w:rsidP="00BE7191">
            <w:pPr>
              <w:spacing w:line="360" w:lineRule="auto"/>
              <w:jc w:val="center"/>
              <w:rPr>
                <w:rFonts w:asciiTheme="majorBidi" w:eastAsia="Times New Roman" w:hAnsiTheme="majorBidi" w:cstheme="majorBidi"/>
                <w:b/>
                <w:bCs/>
                <w:szCs w:val="22"/>
              </w:rPr>
            </w:pPr>
            <w:r w:rsidRPr="00A91090">
              <w:rPr>
                <w:rFonts w:asciiTheme="majorBidi" w:eastAsia="Times New Roman" w:hAnsiTheme="majorBidi" w:cstheme="majorBidi"/>
                <w:b/>
                <w:bCs/>
                <w:szCs w:val="22"/>
              </w:rPr>
              <w:t>P-value</w:t>
            </w:r>
          </w:p>
        </w:tc>
      </w:tr>
      <w:tr w:rsidR="00BE7191" w:rsidRPr="00A91090" w14:paraId="0235D02C" w14:textId="77777777" w:rsidTr="00BE7191">
        <w:tc>
          <w:tcPr>
            <w:tcW w:w="3397" w:type="dxa"/>
            <w:vAlign w:val="center"/>
          </w:tcPr>
          <w:p w14:paraId="2599C079" w14:textId="41D9CDC2"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Intercept</w:t>
            </w:r>
          </w:p>
        </w:tc>
        <w:tc>
          <w:tcPr>
            <w:tcW w:w="1418" w:type="dxa"/>
            <w:vAlign w:val="bottom"/>
          </w:tcPr>
          <w:p w14:paraId="1679B1D5" w14:textId="5104353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-4.92213</w:t>
            </w:r>
          </w:p>
        </w:tc>
        <w:tc>
          <w:tcPr>
            <w:tcW w:w="1701" w:type="dxa"/>
            <w:vAlign w:val="bottom"/>
          </w:tcPr>
          <w:p w14:paraId="55A803FB" w14:textId="2979D3D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0.04288</w:t>
            </w:r>
          </w:p>
        </w:tc>
        <w:tc>
          <w:tcPr>
            <w:tcW w:w="1701" w:type="dxa"/>
            <w:vAlign w:val="bottom"/>
          </w:tcPr>
          <w:p w14:paraId="29AD9897" w14:textId="41C0078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-114.776</w:t>
            </w:r>
          </w:p>
        </w:tc>
        <w:tc>
          <w:tcPr>
            <w:tcW w:w="1411" w:type="dxa"/>
          </w:tcPr>
          <w:p w14:paraId="03C39B9F" w14:textId="25A6768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6A57B9B8" w14:textId="77777777" w:rsidTr="00BE7191">
        <w:tc>
          <w:tcPr>
            <w:tcW w:w="3397" w:type="dxa"/>
            <w:vAlign w:val="center"/>
          </w:tcPr>
          <w:p w14:paraId="657FDE4E" w14:textId="2DEEEB4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q</w:t>
            </w:r>
            <w:r w:rsidRPr="00A91090">
              <w:rPr>
                <w:rFonts w:asciiTheme="majorBidi" w:hAnsiTheme="majorBidi" w:cstheme="majorBidi"/>
                <w:szCs w:val="22"/>
                <w:vertAlign w:val="subscript"/>
              </w:rPr>
              <w:t>01</w:t>
            </w:r>
          </w:p>
        </w:tc>
        <w:tc>
          <w:tcPr>
            <w:tcW w:w="1418" w:type="dxa"/>
            <w:vAlign w:val="bottom"/>
          </w:tcPr>
          <w:p w14:paraId="75804AA0" w14:textId="7EED1FD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11.83025</w:t>
            </w:r>
          </w:p>
        </w:tc>
        <w:tc>
          <w:tcPr>
            <w:tcW w:w="1701" w:type="dxa"/>
            <w:vAlign w:val="bottom"/>
          </w:tcPr>
          <w:p w14:paraId="55BBC95F" w14:textId="69EAEFCA"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0.36219</w:t>
            </w:r>
          </w:p>
        </w:tc>
        <w:tc>
          <w:tcPr>
            <w:tcW w:w="1701" w:type="dxa"/>
            <w:vAlign w:val="bottom"/>
          </w:tcPr>
          <w:p w14:paraId="2029150F" w14:textId="74FE083F"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32.663</w:t>
            </w:r>
          </w:p>
        </w:tc>
        <w:tc>
          <w:tcPr>
            <w:tcW w:w="1411" w:type="dxa"/>
          </w:tcPr>
          <w:p w14:paraId="6319A83B" w14:textId="4A6C3B0F"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40C79803" w14:textId="77777777" w:rsidTr="00BE7191">
        <w:tc>
          <w:tcPr>
            <w:tcW w:w="3397" w:type="dxa"/>
            <w:vAlign w:val="center"/>
          </w:tcPr>
          <w:p w14:paraId="427CC353" w14:textId="4DFF6109"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q</w:t>
            </w:r>
            <w:r w:rsidRPr="00A91090">
              <w:rPr>
                <w:rFonts w:asciiTheme="majorBidi" w:hAnsiTheme="majorBidi" w:cstheme="majorBidi"/>
                <w:szCs w:val="22"/>
                <w:vertAlign w:val="subscript"/>
              </w:rPr>
              <w:t>10</w:t>
            </w:r>
          </w:p>
        </w:tc>
        <w:tc>
          <w:tcPr>
            <w:tcW w:w="1418" w:type="dxa"/>
            <w:vAlign w:val="bottom"/>
          </w:tcPr>
          <w:p w14:paraId="475E2E2E" w14:textId="508F605B"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12.98848</w:t>
            </w:r>
          </w:p>
        </w:tc>
        <w:tc>
          <w:tcPr>
            <w:tcW w:w="1701" w:type="dxa"/>
            <w:vAlign w:val="bottom"/>
          </w:tcPr>
          <w:p w14:paraId="031E6B30" w14:textId="27706C7C"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0.29152</w:t>
            </w:r>
          </w:p>
        </w:tc>
        <w:tc>
          <w:tcPr>
            <w:tcW w:w="1701" w:type="dxa"/>
            <w:vAlign w:val="bottom"/>
          </w:tcPr>
          <w:p w14:paraId="4102C70F" w14:textId="1EFE9A5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44.554</w:t>
            </w:r>
          </w:p>
        </w:tc>
        <w:tc>
          <w:tcPr>
            <w:tcW w:w="1411" w:type="dxa"/>
          </w:tcPr>
          <w:p w14:paraId="229B7441" w14:textId="35228CC9"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31954D42" w14:textId="77777777" w:rsidTr="00BE7191">
        <w:tc>
          <w:tcPr>
            <w:tcW w:w="3397" w:type="dxa"/>
            <w:vAlign w:val="center"/>
          </w:tcPr>
          <w:p w14:paraId="441F7FFC" w14:textId="6B8C30CC" w:rsidR="00BE7191" w:rsidRPr="00A91090" w:rsidRDefault="0048670A" w:rsidP="00BE7191">
            <w:pPr>
              <w:spacing w:line="360" w:lineRule="auto"/>
              <w:jc w:val="center"/>
              <w:rPr>
                <w:rFonts w:asciiTheme="majorBidi" w:eastAsia="Times New Roman" w:hAnsiTheme="majorBidi" w:cstheme="majorBidi"/>
                <w:szCs w:val="22"/>
              </w:rPr>
            </w:pPr>
            <m:oMathPara>
              <m:oMath>
                <m:sSub>
                  <m:sSubPr>
                    <m:ctrlPr>
                      <w:rPr>
                        <w:rFonts w:ascii="Cambria Math" w:hAnsi="Cambria Math" w:cstheme="majorBidi"/>
                        <w:i/>
                        <w:iCs/>
                        <w:szCs w:val="22"/>
                      </w:rPr>
                    </m:ctrlPr>
                  </m:sSubPr>
                  <m:e>
                    <m:r>
                      <w:rPr>
                        <w:rFonts w:ascii="Cambria Math" w:hAnsi="Cambria Math" w:cstheme="majorBidi"/>
                        <w:szCs w:val="22"/>
                      </w:rPr>
                      <m:t>μ</m:t>
                    </m:r>
                  </m:e>
                  <m:sub>
                    <m:r>
                      <w:rPr>
                        <w:rFonts w:ascii="Cambria Math" w:hAnsi="Cambria Math" w:cstheme="majorBidi"/>
                        <w:szCs w:val="22"/>
                      </w:rPr>
                      <m:t>0</m:t>
                    </m:r>
                  </m:sub>
                </m:sSub>
              </m:oMath>
            </m:oMathPara>
          </w:p>
        </w:tc>
        <w:tc>
          <w:tcPr>
            <w:tcW w:w="1418" w:type="dxa"/>
            <w:vAlign w:val="bottom"/>
          </w:tcPr>
          <w:p w14:paraId="077DB8AC" w14:textId="287354B8"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1.05633</w:t>
            </w:r>
          </w:p>
        </w:tc>
        <w:tc>
          <w:tcPr>
            <w:tcW w:w="1701" w:type="dxa"/>
            <w:vAlign w:val="bottom"/>
          </w:tcPr>
          <w:p w14:paraId="7D2254F4" w14:textId="6B85E64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0.03302</w:t>
            </w:r>
          </w:p>
        </w:tc>
        <w:tc>
          <w:tcPr>
            <w:tcW w:w="1701" w:type="dxa"/>
            <w:vAlign w:val="bottom"/>
          </w:tcPr>
          <w:p w14:paraId="292216DE" w14:textId="0ADFAD3A"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31.993</w:t>
            </w:r>
          </w:p>
        </w:tc>
        <w:tc>
          <w:tcPr>
            <w:tcW w:w="1411" w:type="dxa"/>
          </w:tcPr>
          <w:p w14:paraId="1BD410CD" w14:textId="097FC8CC"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0B5A208D" w14:textId="77777777" w:rsidTr="00BE7191">
        <w:tc>
          <w:tcPr>
            <w:tcW w:w="3397" w:type="dxa"/>
            <w:vAlign w:val="center"/>
          </w:tcPr>
          <w:p w14:paraId="47C1AD13" w14:textId="746D3CE8" w:rsidR="00BE7191" w:rsidRPr="00A91090" w:rsidRDefault="0048670A" w:rsidP="00BE7191">
            <w:pPr>
              <w:spacing w:line="360" w:lineRule="auto"/>
              <w:jc w:val="center"/>
              <w:rPr>
                <w:rFonts w:asciiTheme="majorBidi" w:eastAsia="Times New Roman" w:hAnsiTheme="majorBidi" w:cstheme="majorBidi"/>
                <w:szCs w:val="22"/>
              </w:rPr>
            </w:pPr>
            <m:oMathPara>
              <m:oMath>
                <m:sSub>
                  <m:sSubPr>
                    <m:ctrlPr>
                      <w:rPr>
                        <w:rFonts w:ascii="Cambria Math" w:hAnsi="Cambria Math" w:cstheme="majorBidi"/>
                        <w:i/>
                        <w:iCs/>
                        <w:szCs w:val="22"/>
                      </w:rPr>
                    </m:ctrlPr>
                  </m:sSubPr>
                  <m:e>
                    <m:r>
                      <w:rPr>
                        <w:rFonts w:ascii="Cambria Math" w:hAnsi="Cambria Math" w:cstheme="majorBidi"/>
                        <w:szCs w:val="22"/>
                      </w:rPr>
                      <m:t>μ</m:t>
                    </m:r>
                  </m:e>
                  <m:sub>
                    <m:r>
                      <w:rPr>
                        <w:rFonts w:ascii="Cambria Math" w:hAnsi="Cambria Math" w:cstheme="majorBidi"/>
                        <w:szCs w:val="22"/>
                      </w:rPr>
                      <m:t>1</m:t>
                    </m:r>
                  </m:sub>
                </m:sSub>
              </m:oMath>
            </m:oMathPara>
          </w:p>
        </w:tc>
        <w:tc>
          <w:tcPr>
            <w:tcW w:w="1418" w:type="dxa"/>
            <w:vAlign w:val="bottom"/>
          </w:tcPr>
          <w:p w14:paraId="6C199268" w14:textId="42053A8D"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0.18429</w:t>
            </w:r>
          </w:p>
        </w:tc>
        <w:tc>
          <w:tcPr>
            <w:tcW w:w="1701" w:type="dxa"/>
            <w:vAlign w:val="bottom"/>
          </w:tcPr>
          <w:p w14:paraId="2C129E30" w14:textId="5DA3FAB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0.03224</w:t>
            </w:r>
          </w:p>
        </w:tc>
        <w:tc>
          <w:tcPr>
            <w:tcW w:w="1701" w:type="dxa"/>
            <w:vAlign w:val="bottom"/>
          </w:tcPr>
          <w:p w14:paraId="614B5B65" w14:textId="76D5B02B"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5.715</w:t>
            </w:r>
          </w:p>
        </w:tc>
        <w:tc>
          <w:tcPr>
            <w:tcW w:w="1411" w:type="dxa"/>
          </w:tcPr>
          <w:p w14:paraId="22FE283B" w14:textId="0647026B"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76C9CD1C" w14:textId="77777777" w:rsidTr="00BE7191">
        <w:tc>
          <w:tcPr>
            <w:tcW w:w="3397" w:type="dxa"/>
            <w:vAlign w:val="center"/>
          </w:tcPr>
          <w:p w14:paraId="1B9F6EC8" w14:textId="7584080B"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log(transitions)</w:t>
            </w:r>
          </w:p>
        </w:tc>
        <w:tc>
          <w:tcPr>
            <w:tcW w:w="1418" w:type="dxa"/>
            <w:vAlign w:val="bottom"/>
          </w:tcPr>
          <w:p w14:paraId="4E69B2EA" w14:textId="7ED44738"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1.23054</w:t>
            </w:r>
          </w:p>
        </w:tc>
        <w:tc>
          <w:tcPr>
            <w:tcW w:w="1701" w:type="dxa"/>
            <w:vAlign w:val="bottom"/>
          </w:tcPr>
          <w:p w14:paraId="4801A70E" w14:textId="30BD3B3C"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0.01648</w:t>
            </w:r>
          </w:p>
        </w:tc>
        <w:tc>
          <w:tcPr>
            <w:tcW w:w="1701" w:type="dxa"/>
            <w:vAlign w:val="bottom"/>
          </w:tcPr>
          <w:p w14:paraId="02729B15" w14:textId="66964B6E"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74.677</w:t>
            </w:r>
          </w:p>
        </w:tc>
        <w:tc>
          <w:tcPr>
            <w:tcW w:w="1411" w:type="dxa"/>
          </w:tcPr>
          <w:p w14:paraId="01B423B0" w14:textId="6D348136"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1D79793E" w14:textId="77777777" w:rsidTr="00BE7191">
        <w:tc>
          <w:tcPr>
            <w:tcW w:w="3397" w:type="dxa"/>
            <w:vAlign w:val="center"/>
          </w:tcPr>
          <w:p w14:paraId="36CEA886" w14:textId="647FB9B1"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Method Mk2</w:t>
            </w:r>
          </w:p>
        </w:tc>
        <w:tc>
          <w:tcPr>
            <w:tcW w:w="1418" w:type="dxa"/>
            <w:vAlign w:val="bottom"/>
          </w:tcPr>
          <w:p w14:paraId="3123EA88" w14:textId="2ED8A49C"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-0.34506</w:t>
            </w:r>
          </w:p>
        </w:tc>
        <w:tc>
          <w:tcPr>
            <w:tcW w:w="1701" w:type="dxa"/>
            <w:vAlign w:val="bottom"/>
          </w:tcPr>
          <w:p w14:paraId="49E932AE" w14:textId="482FD2DB"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0.06236</w:t>
            </w:r>
          </w:p>
        </w:tc>
        <w:tc>
          <w:tcPr>
            <w:tcW w:w="1701" w:type="dxa"/>
            <w:vAlign w:val="bottom"/>
          </w:tcPr>
          <w:p w14:paraId="124A1DCC" w14:textId="6DB901C2"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-5.533</w:t>
            </w:r>
          </w:p>
        </w:tc>
        <w:tc>
          <w:tcPr>
            <w:tcW w:w="1411" w:type="dxa"/>
          </w:tcPr>
          <w:p w14:paraId="4065D3C1" w14:textId="124DD341"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03DC8C5A" w14:textId="77777777" w:rsidTr="00BE7191">
        <w:tc>
          <w:tcPr>
            <w:tcW w:w="3397" w:type="dxa"/>
            <w:vAlign w:val="center"/>
          </w:tcPr>
          <w:p w14:paraId="783713FB" w14:textId="0E44125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Method MP</w:t>
            </w:r>
          </w:p>
        </w:tc>
        <w:tc>
          <w:tcPr>
            <w:tcW w:w="1418" w:type="dxa"/>
            <w:vAlign w:val="bottom"/>
          </w:tcPr>
          <w:p w14:paraId="74068BCD" w14:textId="6D85666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-0.68347</w:t>
            </w:r>
          </w:p>
        </w:tc>
        <w:tc>
          <w:tcPr>
            <w:tcW w:w="1701" w:type="dxa"/>
            <w:vAlign w:val="bottom"/>
          </w:tcPr>
          <w:p w14:paraId="3A2E2EFC" w14:textId="31B5C7FF"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0.06435</w:t>
            </w:r>
          </w:p>
        </w:tc>
        <w:tc>
          <w:tcPr>
            <w:tcW w:w="1701" w:type="dxa"/>
            <w:vAlign w:val="bottom"/>
          </w:tcPr>
          <w:p w14:paraId="18CD4899" w14:textId="25C647FF"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-10.622</w:t>
            </w:r>
          </w:p>
        </w:tc>
        <w:tc>
          <w:tcPr>
            <w:tcW w:w="1411" w:type="dxa"/>
          </w:tcPr>
          <w:p w14:paraId="1666E143" w14:textId="2B9A9015"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0BB17ACD" w14:textId="77777777" w:rsidTr="00BE7191">
        <w:tc>
          <w:tcPr>
            <w:tcW w:w="3397" w:type="dxa"/>
            <w:vAlign w:val="center"/>
          </w:tcPr>
          <w:p w14:paraId="3F011756" w14:textId="1303965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q</w:t>
            </w:r>
            <w:r w:rsidRPr="00A91090">
              <w:rPr>
                <w:rFonts w:asciiTheme="majorBidi" w:hAnsiTheme="majorBidi" w:cstheme="majorBidi"/>
                <w:szCs w:val="22"/>
                <w:vertAlign w:val="subscript"/>
              </w:rPr>
              <w:t>01</w:t>
            </w:r>
            <w:r w:rsidRPr="00A91090">
              <w:rPr>
                <w:rFonts w:asciiTheme="majorBidi" w:hAnsiTheme="majorBidi" w:cstheme="majorBidi"/>
                <w:szCs w:val="22"/>
              </w:rPr>
              <w:t>:Method Mk2</w:t>
            </w:r>
          </w:p>
        </w:tc>
        <w:tc>
          <w:tcPr>
            <w:tcW w:w="1418" w:type="dxa"/>
            <w:vAlign w:val="bottom"/>
          </w:tcPr>
          <w:p w14:paraId="27E91263" w14:textId="42C4CA9E"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-1.61271</w:t>
            </w:r>
          </w:p>
        </w:tc>
        <w:tc>
          <w:tcPr>
            <w:tcW w:w="1701" w:type="dxa"/>
            <w:vAlign w:val="bottom"/>
          </w:tcPr>
          <w:p w14:paraId="33733921" w14:textId="129DE618"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0.51806</w:t>
            </w:r>
          </w:p>
        </w:tc>
        <w:tc>
          <w:tcPr>
            <w:tcW w:w="1701" w:type="dxa"/>
            <w:vAlign w:val="bottom"/>
          </w:tcPr>
          <w:p w14:paraId="666386AB" w14:textId="4E90E04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-3.113</w:t>
            </w:r>
          </w:p>
        </w:tc>
        <w:tc>
          <w:tcPr>
            <w:tcW w:w="1411" w:type="dxa"/>
          </w:tcPr>
          <w:p w14:paraId="13324C9A" w14:textId="1BB994B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0.002</w:t>
            </w:r>
          </w:p>
        </w:tc>
      </w:tr>
      <w:tr w:rsidR="00BE7191" w:rsidRPr="00A91090" w14:paraId="2953ADFC" w14:textId="77777777" w:rsidTr="00BE7191">
        <w:tc>
          <w:tcPr>
            <w:tcW w:w="3397" w:type="dxa"/>
            <w:vAlign w:val="center"/>
          </w:tcPr>
          <w:p w14:paraId="32C0CF8F" w14:textId="0BAB55AF"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q</w:t>
            </w:r>
            <w:r w:rsidRPr="00A91090">
              <w:rPr>
                <w:rFonts w:asciiTheme="majorBidi" w:hAnsiTheme="majorBidi" w:cstheme="majorBidi"/>
                <w:szCs w:val="22"/>
                <w:vertAlign w:val="subscript"/>
              </w:rPr>
              <w:t>01</w:t>
            </w:r>
            <w:r w:rsidRPr="00A91090">
              <w:rPr>
                <w:rFonts w:asciiTheme="majorBidi" w:hAnsiTheme="majorBidi" w:cstheme="majorBidi"/>
                <w:szCs w:val="22"/>
              </w:rPr>
              <w:t>:Method MP</w:t>
            </w:r>
          </w:p>
        </w:tc>
        <w:tc>
          <w:tcPr>
            <w:tcW w:w="1418" w:type="dxa"/>
            <w:vAlign w:val="bottom"/>
          </w:tcPr>
          <w:p w14:paraId="29E7668F" w14:textId="26F8575D"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5.97731</w:t>
            </w:r>
          </w:p>
        </w:tc>
        <w:tc>
          <w:tcPr>
            <w:tcW w:w="1701" w:type="dxa"/>
            <w:vAlign w:val="bottom"/>
          </w:tcPr>
          <w:p w14:paraId="2D564BF9" w14:textId="203C494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0.52522</w:t>
            </w:r>
          </w:p>
        </w:tc>
        <w:tc>
          <w:tcPr>
            <w:tcW w:w="1701" w:type="dxa"/>
            <w:vAlign w:val="bottom"/>
          </w:tcPr>
          <w:p w14:paraId="62AD68FF" w14:textId="43D3EF00"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11.381</w:t>
            </w:r>
          </w:p>
        </w:tc>
        <w:tc>
          <w:tcPr>
            <w:tcW w:w="1411" w:type="dxa"/>
          </w:tcPr>
          <w:p w14:paraId="31A1DACD" w14:textId="63964C52"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3BEA8608" w14:textId="77777777" w:rsidTr="00BE7191">
        <w:tc>
          <w:tcPr>
            <w:tcW w:w="3397" w:type="dxa"/>
            <w:vAlign w:val="center"/>
          </w:tcPr>
          <w:p w14:paraId="0A466947" w14:textId="4702D86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q</w:t>
            </w:r>
            <w:r w:rsidRPr="00A91090">
              <w:rPr>
                <w:rFonts w:asciiTheme="majorBidi" w:hAnsiTheme="majorBidi" w:cstheme="majorBidi"/>
                <w:szCs w:val="22"/>
                <w:vertAlign w:val="subscript"/>
              </w:rPr>
              <w:t>10</w:t>
            </w:r>
            <w:r w:rsidRPr="00A91090">
              <w:rPr>
                <w:rFonts w:asciiTheme="majorBidi" w:hAnsiTheme="majorBidi" w:cstheme="majorBidi"/>
                <w:szCs w:val="22"/>
              </w:rPr>
              <w:t>:Method Mk2</w:t>
            </w:r>
          </w:p>
        </w:tc>
        <w:tc>
          <w:tcPr>
            <w:tcW w:w="1418" w:type="dxa"/>
            <w:vAlign w:val="bottom"/>
          </w:tcPr>
          <w:p w14:paraId="4A417C45" w14:textId="3484B468"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-0.94151</w:t>
            </w:r>
          </w:p>
        </w:tc>
        <w:tc>
          <w:tcPr>
            <w:tcW w:w="1701" w:type="dxa"/>
            <w:vAlign w:val="bottom"/>
          </w:tcPr>
          <w:p w14:paraId="4D4934BD" w14:textId="6209D8B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0.41681</w:t>
            </w:r>
          </w:p>
        </w:tc>
        <w:tc>
          <w:tcPr>
            <w:tcW w:w="1701" w:type="dxa"/>
            <w:vAlign w:val="bottom"/>
          </w:tcPr>
          <w:p w14:paraId="0C79100E" w14:textId="2ECBC3A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-2.259</w:t>
            </w:r>
          </w:p>
        </w:tc>
        <w:tc>
          <w:tcPr>
            <w:tcW w:w="1411" w:type="dxa"/>
          </w:tcPr>
          <w:p w14:paraId="1B6990F3" w14:textId="28AD54D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0.024</w:t>
            </w:r>
          </w:p>
        </w:tc>
      </w:tr>
      <w:tr w:rsidR="00BE7191" w:rsidRPr="00A91090" w14:paraId="166CC24A" w14:textId="77777777" w:rsidTr="00BE7191">
        <w:tc>
          <w:tcPr>
            <w:tcW w:w="3397" w:type="dxa"/>
            <w:vAlign w:val="center"/>
          </w:tcPr>
          <w:p w14:paraId="2F24ACE3" w14:textId="5334488C"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q</w:t>
            </w:r>
            <w:r w:rsidRPr="00A91090">
              <w:rPr>
                <w:rFonts w:asciiTheme="majorBidi" w:hAnsiTheme="majorBidi" w:cstheme="majorBidi"/>
                <w:szCs w:val="22"/>
                <w:vertAlign w:val="subscript"/>
              </w:rPr>
              <w:t>10</w:t>
            </w:r>
            <w:r w:rsidRPr="00A91090">
              <w:rPr>
                <w:rFonts w:asciiTheme="majorBidi" w:hAnsiTheme="majorBidi" w:cstheme="majorBidi"/>
                <w:szCs w:val="22"/>
              </w:rPr>
              <w:t>:Method MP</w:t>
            </w:r>
          </w:p>
        </w:tc>
        <w:tc>
          <w:tcPr>
            <w:tcW w:w="1418" w:type="dxa"/>
            <w:vAlign w:val="bottom"/>
          </w:tcPr>
          <w:p w14:paraId="2D093AFC" w14:textId="5A1D384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-1.32839</w:t>
            </w:r>
          </w:p>
        </w:tc>
        <w:tc>
          <w:tcPr>
            <w:tcW w:w="1701" w:type="dxa"/>
            <w:vAlign w:val="bottom"/>
          </w:tcPr>
          <w:p w14:paraId="5628AA11" w14:textId="2E04E37F"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0.42732</w:t>
            </w:r>
          </w:p>
        </w:tc>
        <w:tc>
          <w:tcPr>
            <w:tcW w:w="1701" w:type="dxa"/>
            <w:vAlign w:val="bottom"/>
          </w:tcPr>
          <w:p w14:paraId="711123D1" w14:textId="0C98419A"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-3.109</w:t>
            </w:r>
          </w:p>
        </w:tc>
        <w:tc>
          <w:tcPr>
            <w:tcW w:w="1411" w:type="dxa"/>
          </w:tcPr>
          <w:p w14:paraId="3997FA5E" w14:textId="731AA2AE"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0.002</w:t>
            </w:r>
          </w:p>
        </w:tc>
      </w:tr>
      <w:tr w:rsidR="00BE7191" w:rsidRPr="00A91090" w14:paraId="0AD38A93" w14:textId="77777777" w:rsidTr="00BE7191">
        <w:tc>
          <w:tcPr>
            <w:tcW w:w="3397" w:type="dxa"/>
            <w:vAlign w:val="center"/>
          </w:tcPr>
          <w:p w14:paraId="65665810" w14:textId="17D002FF" w:rsidR="00BE7191" w:rsidRPr="00A91090" w:rsidRDefault="0048670A" w:rsidP="00BE7191">
            <w:pPr>
              <w:spacing w:line="360" w:lineRule="auto"/>
              <w:jc w:val="center"/>
              <w:rPr>
                <w:rFonts w:asciiTheme="majorBidi" w:eastAsia="Times New Roman" w:hAnsiTheme="majorBidi" w:cstheme="majorBidi"/>
                <w:szCs w:val="22"/>
              </w:rPr>
            </w:pPr>
            <m:oMath>
              <m:sSub>
                <m:sSubPr>
                  <m:ctrlPr>
                    <w:rPr>
                      <w:rFonts w:ascii="Cambria Math" w:hAnsi="Cambria Math" w:cstheme="majorBidi"/>
                      <w:i/>
                      <w:iCs/>
                      <w:szCs w:val="22"/>
                    </w:rPr>
                  </m:ctrlPr>
                </m:sSubPr>
                <m:e>
                  <m:r>
                    <w:rPr>
                      <w:rFonts w:ascii="Cambria Math" w:hAnsi="Cambria Math" w:cstheme="majorBidi"/>
                      <w:szCs w:val="22"/>
                    </w:rPr>
                    <m:t>μ</m:t>
                  </m:r>
                </m:e>
                <m:sub>
                  <m:r>
                    <w:rPr>
                      <w:rFonts w:ascii="Cambria Math" w:hAnsi="Cambria Math" w:cstheme="majorBidi"/>
                      <w:szCs w:val="22"/>
                    </w:rPr>
                    <m:t>0</m:t>
                  </m:r>
                </m:sub>
              </m:sSub>
            </m:oMath>
            <w:r w:rsidR="00BE7191" w:rsidRPr="00A91090">
              <w:rPr>
                <w:rFonts w:asciiTheme="majorBidi" w:hAnsiTheme="majorBidi" w:cstheme="majorBidi"/>
                <w:szCs w:val="22"/>
              </w:rPr>
              <w:t>:Method Mk2</w:t>
            </w:r>
          </w:p>
        </w:tc>
        <w:tc>
          <w:tcPr>
            <w:tcW w:w="1418" w:type="dxa"/>
            <w:vAlign w:val="bottom"/>
          </w:tcPr>
          <w:p w14:paraId="224D4D15" w14:textId="481968D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0.25271</w:t>
            </w:r>
          </w:p>
        </w:tc>
        <w:tc>
          <w:tcPr>
            <w:tcW w:w="1701" w:type="dxa"/>
            <w:vAlign w:val="bottom"/>
          </w:tcPr>
          <w:p w14:paraId="0A92EE5B" w14:textId="11D7ED4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0.04734</w:t>
            </w:r>
          </w:p>
        </w:tc>
        <w:tc>
          <w:tcPr>
            <w:tcW w:w="1701" w:type="dxa"/>
            <w:vAlign w:val="bottom"/>
          </w:tcPr>
          <w:p w14:paraId="41CED6BA" w14:textId="23B68939"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5.339</w:t>
            </w:r>
          </w:p>
        </w:tc>
        <w:tc>
          <w:tcPr>
            <w:tcW w:w="1411" w:type="dxa"/>
          </w:tcPr>
          <w:p w14:paraId="371063DB" w14:textId="17FAC5B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74FA231B" w14:textId="77777777" w:rsidTr="00BE7191">
        <w:tc>
          <w:tcPr>
            <w:tcW w:w="3397" w:type="dxa"/>
            <w:vAlign w:val="center"/>
          </w:tcPr>
          <w:p w14:paraId="7077DDD9" w14:textId="220FA5D7" w:rsidR="00BE7191" w:rsidRPr="00A91090" w:rsidRDefault="0048670A" w:rsidP="00BE7191">
            <w:pPr>
              <w:spacing w:line="360" w:lineRule="auto"/>
              <w:jc w:val="center"/>
              <w:rPr>
                <w:rFonts w:asciiTheme="majorBidi" w:eastAsia="Times New Roman" w:hAnsiTheme="majorBidi" w:cstheme="majorBidi"/>
                <w:szCs w:val="22"/>
              </w:rPr>
            </w:pPr>
            <m:oMath>
              <m:sSub>
                <m:sSubPr>
                  <m:ctrlPr>
                    <w:rPr>
                      <w:rFonts w:ascii="Cambria Math" w:hAnsi="Cambria Math" w:cstheme="majorBidi"/>
                      <w:i/>
                      <w:iCs/>
                      <w:szCs w:val="22"/>
                    </w:rPr>
                  </m:ctrlPr>
                </m:sSubPr>
                <m:e>
                  <m:r>
                    <w:rPr>
                      <w:rFonts w:ascii="Cambria Math" w:hAnsi="Cambria Math" w:cstheme="majorBidi"/>
                      <w:szCs w:val="22"/>
                    </w:rPr>
                    <m:t>μ</m:t>
                  </m:r>
                </m:e>
                <m:sub>
                  <m:r>
                    <w:rPr>
                      <w:rFonts w:ascii="Cambria Math" w:hAnsi="Cambria Math" w:cstheme="majorBidi"/>
                      <w:szCs w:val="22"/>
                    </w:rPr>
                    <m:t>0</m:t>
                  </m:r>
                </m:sub>
              </m:sSub>
            </m:oMath>
            <w:r w:rsidR="00BE7191" w:rsidRPr="00A91090">
              <w:rPr>
                <w:rFonts w:asciiTheme="majorBidi" w:hAnsiTheme="majorBidi" w:cstheme="majorBidi"/>
                <w:szCs w:val="22"/>
              </w:rPr>
              <w:t>:Method MP</w:t>
            </w:r>
          </w:p>
        </w:tc>
        <w:tc>
          <w:tcPr>
            <w:tcW w:w="1418" w:type="dxa"/>
            <w:vAlign w:val="bottom"/>
          </w:tcPr>
          <w:p w14:paraId="4186D3BB" w14:textId="2CBB0DAD"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0.6886</w:t>
            </w:r>
          </w:p>
        </w:tc>
        <w:tc>
          <w:tcPr>
            <w:tcW w:w="1701" w:type="dxa"/>
            <w:vAlign w:val="bottom"/>
          </w:tcPr>
          <w:p w14:paraId="6C75772F" w14:textId="1F0861A5"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0.04857</w:t>
            </w:r>
          </w:p>
        </w:tc>
        <w:tc>
          <w:tcPr>
            <w:tcW w:w="1701" w:type="dxa"/>
            <w:vAlign w:val="bottom"/>
          </w:tcPr>
          <w:p w14:paraId="716A4680" w14:textId="1F96A879"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14.177</w:t>
            </w:r>
          </w:p>
        </w:tc>
        <w:tc>
          <w:tcPr>
            <w:tcW w:w="1411" w:type="dxa"/>
          </w:tcPr>
          <w:p w14:paraId="151F833B" w14:textId="0A7F2AB0"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559A230D" w14:textId="77777777" w:rsidTr="00BE7191">
        <w:tc>
          <w:tcPr>
            <w:tcW w:w="3397" w:type="dxa"/>
            <w:vAlign w:val="center"/>
          </w:tcPr>
          <w:p w14:paraId="5C685935" w14:textId="4D59DB3B" w:rsidR="00BE7191" w:rsidRPr="00A91090" w:rsidRDefault="0048670A" w:rsidP="00BE7191">
            <w:pPr>
              <w:spacing w:line="360" w:lineRule="auto"/>
              <w:jc w:val="center"/>
              <w:rPr>
                <w:rFonts w:asciiTheme="majorBidi" w:eastAsia="Times New Roman" w:hAnsiTheme="majorBidi" w:cstheme="majorBidi"/>
                <w:szCs w:val="22"/>
              </w:rPr>
            </w:pPr>
            <m:oMath>
              <m:sSub>
                <m:sSubPr>
                  <m:ctrlPr>
                    <w:rPr>
                      <w:rFonts w:ascii="Cambria Math" w:hAnsi="Cambria Math" w:cstheme="majorBidi"/>
                      <w:i/>
                      <w:iCs/>
                      <w:szCs w:val="22"/>
                    </w:rPr>
                  </m:ctrlPr>
                </m:sSubPr>
                <m:e>
                  <m:r>
                    <w:rPr>
                      <w:rFonts w:ascii="Cambria Math" w:hAnsi="Cambria Math" w:cstheme="majorBidi"/>
                      <w:szCs w:val="22"/>
                    </w:rPr>
                    <m:t>μ</m:t>
                  </m:r>
                </m:e>
                <m:sub>
                  <m:r>
                    <w:rPr>
                      <w:rFonts w:ascii="Cambria Math" w:hAnsi="Cambria Math" w:cstheme="majorBidi"/>
                      <w:szCs w:val="22"/>
                    </w:rPr>
                    <m:t>1</m:t>
                  </m:r>
                </m:sub>
              </m:sSub>
            </m:oMath>
            <w:r w:rsidR="00BE7191" w:rsidRPr="00A91090">
              <w:rPr>
                <w:rFonts w:asciiTheme="majorBidi" w:hAnsiTheme="majorBidi" w:cstheme="majorBidi"/>
                <w:szCs w:val="22"/>
              </w:rPr>
              <w:t>:Method Mk2</w:t>
            </w:r>
          </w:p>
        </w:tc>
        <w:tc>
          <w:tcPr>
            <w:tcW w:w="1418" w:type="dxa"/>
            <w:vAlign w:val="bottom"/>
          </w:tcPr>
          <w:p w14:paraId="2A33311A" w14:textId="71C9DFE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-0.17986</w:t>
            </w:r>
          </w:p>
        </w:tc>
        <w:tc>
          <w:tcPr>
            <w:tcW w:w="1701" w:type="dxa"/>
            <w:vAlign w:val="bottom"/>
          </w:tcPr>
          <w:p w14:paraId="08EF8D0A" w14:textId="689F98BA"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0.04606</w:t>
            </w:r>
          </w:p>
        </w:tc>
        <w:tc>
          <w:tcPr>
            <w:tcW w:w="1701" w:type="dxa"/>
            <w:vAlign w:val="bottom"/>
          </w:tcPr>
          <w:p w14:paraId="69025CE5" w14:textId="4DB3027E"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-3.905</w:t>
            </w:r>
          </w:p>
        </w:tc>
        <w:tc>
          <w:tcPr>
            <w:tcW w:w="1411" w:type="dxa"/>
          </w:tcPr>
          <w:p w14:paraId="1AB2BA19" w14:textId="4B95606D"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2BDA2913" w14:textId="77777777" w:rsidTr="00BE7191">
        <w:tc>
          <w:tcPr>
            <w:tcW w:w="3397" w:type="dxa"/>
            <w:vAlign w:val="center"/>
          </w:tcPr>
          <w:p w14:paraId="153F9EFD" w14:textId="0B3C5422" w:rsidR="00BE7191" w:rsidRPr="00A91090" w:rsidRDefault="0048670A" w:rsidP="00BE7191">
            <w:pPr>
              <w:spacing w:line="360" w:lineRule="auto"/>
              <w:jc w:val="center"/>
              <w:rPr>
                <w:rFonts w:asciiTheme="majorBidi" w:eastAsia="Times New Roman" w:hAnsiTheme="majorBidi" w:cstheme="majorBidi"/>
                <w:szCs w:val="22"/>
              </w:rPr>
            </w:pPr>
            <m:oMath>
              <m:sSub>
                <m:sSubPr>
                  <m:ctrlPr>
                    <w:rPr>
                      <w:rFonts w:ascii="Cambria Math" w:hAnsi="Cambria Math" w:cstheme="majorBidi"/>
                      <w:i/>
                      <w:iCs/>
                      <w:szCs w:val="22"/>
                    </w:rPr>
                  </m:ctrlPr>
                </m:sSubPr>
                <m:e>
                  <m:r>
                    <w:rPr>
                      <w:rFonts w:ascii="Cambria Math" w:hAnsi="Cambria Math" w:cstheme="majorBidi"/>
                      <w:szCs w:val="22"/>
                    </w:rPr>
                    <m:t>μ</m:t>
                  </m:r>
                </m:e>
                <m:sub>
                  <m:r>
                    <w:rPr>
                      <w:rFonts w:ascii="Cambria Math" w:hAnsi="Cambria Math" w:cstheme="majorBidi"/>
                      <w:szCs w:val="22"/>
                    </w:rPr>
                    <m:t>1</m:t>
                  </m:r>
                </m:sub>
              </m:sSub>
            </m:oMath>
            <w:r w:rsidR="00BE7191" w:rsidRPr="00A91090">
              <w:rPr>
                <w:rFonts w:asciiTheme="majorBidi" w:hAnsiTheme="majorBidi" w:cstheme="majorBidi"/>
                <w:szCs w:val="22"/>
              </w:rPr>
              <w:t>:Method MP</w:t>
            </w:r>
          </w:p>
        </w:tc>
        <w:tc>
          <w:tcPr>
            <w:tcW w:w="1418" w:type="dxa"/>
            <w:vAlign w:val="bottom"/>
          </w:tcPr>
          <w:p w14:paraId="44C30DA7" w14:textId="67737D5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-0.25017</w:t>
            </w:r>
          </w:p>
        </w:tc>
        <w:tc>
          <w:tcPr>
            <w:tcW w:w="1701" w:type="dxa"/>
            <w:vAlign w:val="bottom"/>
          </w:tcPr>
          <w:p w14:paraId="09EF8CEC" w14:textId="549BEC63"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0.04705</w:t>
            </w:r>
          </w:p>
        </w:tc>
        <w:tc>
          <w:tcPr>
            <w:tcW w:w="1701" w:type="dxa"/>
            <w:vAlign w:val="bottom"/>
          </w:tcPr>
          <w:p w14:paraId="45FDF7A0" w14:textId="7CC868E1"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-5.317</w:t>
            </w:r>
          </w:p>
        </w:tc>
        <w:tc>
          <w:tcPr>
            <w:tcW w:w="1411" w:type="dxa"/>
          </w:tcPr>
          <w:p w14:paraId="3B119050" w14:textId="3CA1222B"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75B1E9C3" w14:textId="77777777" w:rsidTr="00BE7191">
        <w:tc>
          <w:tcPr>
            <w:tcW w:w="3397" w:type="dxa"/>
            <w:vAlign w:val="center"/>
          </w:tcPr>
          <w:p w14:paraId="6B6699D6" w14:textId="0C5E0376"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log(transitions):Method Mk2</w:t>
            </w:r>
          </w:p>
        </w:tc>
        <w:tc>
          <w:tcPr>
            <w:tcW w:w="1418" w:type="dxa"/>
            <w:vAlign w:val="bottom"/>
          </w:tcPr>
          <w:p w14:paraId="5A28A213" w14:textId="2F6C748E"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0.17442</w:t>
            </w:r>
          </w:p>
        </w:tc>
        <w:tc>
          <w:tcPr>
            <w:tcW w:w="1701" w:type="dxa"/>
            <w:vAlign w:val="bottom"/>
          </w:tcPr>
          <w:p w14:paraId="63DE8C24" w14:textId="6EC025F4"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0.02398</w:t>
            </w:r>
          </w:p>
        </w:tc>
        <w:tc>
          <w:tcPr>
            <w:tcW w:w="1701" w:type="dxa"/>
            <w:vAlign w:val="bottom"/>
          </w:tcPr>
          <w:p w14:paraId="6BB327BA" w14:textId="5C7CEE96"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7.275</w:t>
            </w:r>
          </w:p>
        </w:tc>
        <w:tc>
          <w:tcPr>
            <w:tcW w:w="1411" w:type="dxa"/>
          </w:tcPr>
          <w:p w14:paraId="530804ED" w14:textId="0CA8AD08"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r w:rsidR="00BE7191" w:rsidRPr="00A91090" w14:paraId="5A3D19AB" w14:textId="77777777" w:rsidTr="00BE7191">
        <w:tc>
          <w:tcPr>
            <w:tcW w:w="3397" w:type="dxa"/>
            <w:vAlign w:val="center"/>
          </w:tcPr>
          <w:p w14:paraId="4561CCBC" w14:textId="6031B73A"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log(transitions):Method MP</w:t>
            </w:r>
          </w:p>
        </w:tc>
        <w:tc>
          <w:tcPr>
            <w:tcW w:w="1418" w:type="dxa"/>
            <w:vAlign w:val="bottom"/>
          </w:tcPr>
          <w:p w14:paraId="53F81B8B" w14:textId="3FD9CE87"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0.13997</w:t>
            </w:r>
          </w:p>
        </w:tc>
        <w:tc>
          <w:tcPr>
            <w:tcW w:w="1701" w:type="dxa"/>
            <w:vAlign w:val="bottom"/>
          </w:tcPr>
          <w:p w14:paraId="704575C4" w14:textId="21D4E950"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0.02405</w:t>
            </w:r>
          </w:p>
        </w:tc>
        <w:tc>
          <w:tcPr>
            <w:tcW w:w="1701" w:type="dxa"/>
            <w:vAlign w:val="bottom"/>
          </w:tcPr>
          <w:p w14:paraId="33C3CAFA" w14:textId="0007547E"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hAnsiTheme="majorBidi" w:cstheme="majorBidi"/>
                <w:szCs w:val="22"/>
              </w:rPr>
              <w:t>5.819</w:t>
            </w:r>
          </w:p>
        </w:tc>
        <w:tc>
          <w:tcPr>
            <w:tcW w:w="1411" w:type="dxa"/>
          </w:tcPr>
          <w:p w14:paraId="794EAC83" w14:textId="3E02C47A" w:rsidR="00BE7191" w:rsidRPr="00A91090" w:rsidRDefault="00BE7191" w:rsidP="00BE7191">
            <w:pPr>
              <w:spacing w:line="360" w:lineRule="auto"/>
              <w:jc w:val="center"/>
              <w:rPr>
                <w:rFonts w:asciiTheme="majorBidi" w:eastAsia="Times New Roman" w:hAnsiTheme="majorBidi" w:cstheme="majorBidi"/>
                <w:szCs w:val="22"/>
              </w:rPr>
            </w:pPr>
            <w:r w:rsidRPr="00A91090">
              <w:rPr>
                <w:rFonts w:asciiTheme="majorBidi" w:eastAsia="Times New Roman" w:hAnsiTheme="majorBidi" w:cstheme="majorBidi"/>
                <w:szCs w:val="22"/>
              </w:rPr>
              <w:t>&lt; 0.001</w:t>
            </w:r>
          </w:p>
        </w:tc>
      </w:tr>
    </w:tbl>
    <w:p w14:paraId="2B69D74B" w14:textId="77777777" w:rsidR="00A927AF" w:rsidRPr="00A91090" w:rsidRDefault="00A927AF" w:rsidP="00A927AF">
      <w:pPr>
        <w:spacing w:line="360" w:lineRule="auto"/>
        <w:rPr>
          <w:rFonts w:asciiTheme="majorBidi" w:eastAsia="Times New Roman" w:hAnsiTheme="majorBidi" w:cstheme="majorBidi"/>
        </w:rPr>
      </w:pPr>
    </w:p>
    <w:p w14:paraId="5F978AE5" w14:textId="257D928E" w:rsidR="00A927AF" w:rsidRPr="00A91090" w:rsidRDefault="00A927AF" w:rsidP="00A927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173" w:lineRule="atLeast"/>
        <w:rPr>
          <w:rFonts w:asciiTheme="majorBidi" w:eastAsia="Times New Roman" w:hAnsiTheme="majorBidi" w:cstheme="majorBidi"/>
          <w:color w:val="000000"/>
          <w:bdr w:val="none" w:sz="0" w:space="0" w:color="auto" w:frame="1"/>
        </w:rPr>
      </w:pPr>
      <w:r w:rsidRPr="00A91090">
        <w:rPr>
          <w:rFonts w:asciiTheme="majorBidi" w:eastAsia="Times New Roman" w:hAnsiTheme="majorBidi" w:cstheme="majorBidi"/>
          <w:color w:val="000000"/>
          <w:bdr w:val="none" w:sz="0" w:space="0" w:color="auto" w:frame="1"/>
        </w:rPr>
        <w:t xml:space="preserve">                  </w:t>
      </w:r>
    </w:p>
    <w:p w14:paraId="5D38E9AA" w14:textId="77777777" w:rsidR="0063727D" w:rsidRPr="00A91090" w:rsidRDefault="0063727D" w:rsidP="00831388">
      <w:pPr>
        <w:spacing w:line="360" w:lineRule="auto"/>
        <w:rPr>
          <w:rFonts w:asciiTheme="majorBidi" w:eastAsia="Times New Roman" w:hAnsiTheme="majorBidi" w:cstheme="majorBidi"/>
          <w:b/>
        </w:rPr>
      </w:pPr>
    </w:p>
    <w:p w14:paraId="4EFBF95F" w14:textId="77777777" w:rsidR="00470FDE" w:rsidRPr="00A91090" w:rsidRDefault="00470FDE" w:rsidP="00831388">
      <w:pPr>
        <w:spacing w:line="360" w:lineRule="auto"/>
        <w:rPr>
          <w:rFonts w:asciiTheme="majorBidi" w:eastAsia="Times New Roman" w:hAnsiTheme="majorBidi" w:cstheme="majorBidi"/>
          <w:b/>
        </w:rPr>
      </w:pPr>
    </w:p>
    <w:p w14:paraId="49655E70" w14:textId="77777777" w:rsidR="00470FDE" w:rsidRPr="00A91090" w:rsidRDefault="00470FDE" w:rsidP="00831388">
      <w:pPr>
        <w:spacing w:line="360" w:lineRule="auto"/>
        <w:rPr>
          <w:rFonts w:asciiTheme="majorBidi" w:eastAsia="Times New Roman" w:hAnsiTheme="majorBidi" w:cstheme="majorBidi"/>
          <w:b/>
        </w:rPr>
      </w:pPr>
    </w:p>
    <w:p w14:paraId="0709EFA7" w14:textId="77777777" w:rsidR="00FE5FB8" w:rsidRPr="00A91090" w:rsidRDefault="00FE5FB8" w:rsidP="00FE5FB8">
      <w:pPr>
        <w:spacing w:line="360" w:lineRule="auto"/>
        <w:rPr>
          <w:rFonts w:asciiTheme="majorBidi" w:eastAsia="Times New Roman" w:hAnsiTheme="majorBidi" w:cstheme="majorBidi"/>
          <w:szCs w:val="24"/>
        </w:rPr>
      </w:pPr>
      <w:bookmarkStart w:id="2" w:name="h.4fpct0qphd5o" w:colFirst="0" w:colLast="0"/>
      <w:bookmarkEnd w:id="2"/>
    </w:p>
    <w:p w14:paraId="54F809CC" w14:textId="77777777" w:rsidR="000F7B57" w:rsidRDefault="000F7B57" w:rsidP="000F7B57">
      <w:pPr>
        <w:spacing w:after="240"/>
        <w:rPr>
          <w:noProof/>
        </w:rPr>
      </w:pPr>
      <w:r>
        <w:rPr>
          <w:noProof/>
        </w:rPr>
        <w:lastRenderedPageBreak/>
        <w:drawing>
          <wp:inline distT="0" distB="0" distL="0" distR="0" wp14:anchorId="7C4ADD42" wp14:editId="5F173532">
            <wp:extent cx="5731510" cy="37642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764280"/>
                    </a:xfrm>
                    <a:prstGeom prst="rect">
                      <a:avLst/>
                    </a:prstGeom>
                    <a:noFill/>
                    <a:ln>
                      <a:noFill/>
                    </a:ln>
                  </pic:spPr>
                </pic:pic>
              </a:graphicData>
            </a:graphic>
          </wp:inline>
        </w:drawing>
      </w:r>
    </w:p>
    <w:p w14:paraId="4A9CCBFF" w14:textId="6F4966F9" w:rsidR="000F7B57" w:rsidRDefault="000F7B57" w:rsidP="000F7B57">
      <w:pPr>
        <w:spacing w:after="240"/>
        <w:rPr>
          <w:rFonts w:eastAsia="Times New Roman"/>
          <w:i/>
          <w:iCs/>
        </w:rPr>
      </w:pPr>
      <w:r w:rsidRPr="00A91090">
        <w:rPr>
          <w:rFonts w:asciiTheme="majorBidi" w:eastAsia="Times New Roman" w:hAnsiTheme="majorBidi" w:cstheme="majorBidi"/>
          <w:b/>
          <w:sz w:val="24"/>
          <w:szCs w:val="24"/>
        </w:rPr>
        <w:t>Figure S1.</w:t>
      </w:r>
      <w:r w:rsidRPr="00A91090">
        <w:rPr>
          <w:rFonts w:asciiTheme="majorBidi" w:eastAsia="Times New Roman" w:hAnsiTheme="majorBidi" w:cstheme="majorBidi"/>
          <w:szCs w:val="24"/>
        </w:rPr>
        <w:t xml:space="preserve">  </w:t>
      </w:r>
      <w:r w:rsidRPr="000F7B57">
        <w:rPr>
          <w:rFonts w:eastAsia="Times New Roman"/>
        </w:rPr>
        <w:t>Mean error rates (based on raw scores) for the deepest decile compared to the deepest percentile for 720 different scenarios. The linear regressions reported in the legend are constrained to go through (0,0).</w:t>
      </w:r>
      <w:r>
        <w:rPr>
          <w:rFonts w:eastAsia="Times New Roman"/>
          <w:i/>
          <w:iCs/>
        </w:rPr>
        <w:t xml:space="preserve">  </w:t>
      </w:r>
    </w:p>
    <w:p w14:paraId="233B958A" w14:textId="77777777" w:rsidR="00FE5FB8" w:rsidRPr="00A91090" w:rsidRDefault="00FE5FB8" w:rsidP="00FE5FB8">
      <w:pPr>
        <w:spacing w:line="360" w:lineRule="auto"/>
        <w:rPr>
          <w:rFonts w:asciiTheme="majorBidi" w:eastAsia="Times New Roman" w:hAnsiTheme="majorBidi" w:cstheme="majorBidi"/>
          <w:szCs w:val="24"/>
        </w:rPr>
      </w:pPr>
    </w:p>
    <w:p w14:paraId="3FE487A1" w14:textId="755B6BD3" w:rsidR="00FE5FB8" w:rsidRPr="00A91090" w:rsidRDefault="00486872" w:rsidP="00FE5FB8">
      <w:pPr>
        <w:spacing w:line="360" w:lineRule="auto"/>
        <w:jc w:val="center"/>
        <w:rPr>
          <w:rFonts w:asciiTheme="majorBidi" w:eastAsia="Times New Roman" w:hAnsiTheme="majorBidi" w:cstheme="majorBidi"/>
          <w:szCs w:val="24"/>
        </w:rPr>
      </w:pPr>
      <w:r w:rsidRPr="00A91090">
        <w:rPr>
          <w:rFonts w:asciiTheme="majorBidi" w:hAnsiTheme="majorBidi" w:cstheme="majorBidi"/>
          <w:noProof/>
        </w:rPr>
        <w:lastRenderedPageBreak/>
        <w:drawing>
          <wp:inline distT="0" distB="0" distL="0" distR="0" wp14:anchorId="556FBB3F" wp14:editId="0EFF5B3A">
            <wp:extent cx="4572000" cy="457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380811C8" w14:textId="1E423652" w:rsidR="00FE5FB8" w:rsidRPr="00A91090" w:rsidRDefault="00FE5FB8" w:rsidP="00457AC3">
      <w:pPr>
        <w:spacing w:line="360" w:lineRule="auto"/>
        <w:rPr>
          <w:rFonts w:asciiTheme="majorBidi" w:eastAsia="Times New Roman" w:hAnsiTheme="majorBidi" w:cstheme="majorBidi"/>
          <w:szCs w:val="24"/>
        </w:rPr>
      </w:pPr>
      <w:r w:rsidRPr="00A91090">
        <w:rPr>
          <w:rFonts w:asciiTheme="majorBidi" w:eastAsia="Times New Roman" w:hAnsiTheme="majorBidi" w:cstheme="majorBidi"/>
          <w:b/>
          <w:sz w:val="24"/>
          <w:szCs w:val="24"/>
        </w:rPr>
        <w:t>Figure S</w:t>
      </w:r>
      <w:r w:rsidR="000F7B57">
        <w:rPr>
          <w:rFonts w:asciiTheme="majorBidi" w:eastAsia="Times New Roman" w:hAnsiTheme="majorBidi" w:cstheme="majorBidi"/>
          <w:b/>
          <w:sz w:val="24"/>
          <w:szCs w:val="24"/>
        </w:rPr>
        <w:t>2</w:t>
      </w:r>
      <w:r w:rsidRPr="00A91090">
        <w:rPr>
          <w:rFonts w:asciiTheme="majorBidi" w:eastAsia="Times New Roman" w:hAnsiTheme="majorBidi" w:cstheme="majorBidi"/>
          <w:b/>
          <w:sz w:val="24"/>
          <w:szCs w:val="24"/>
        </w:rPr>
        <w:t>.</w:t>
      </w:r>
      <w:r w:rsidRPr="00A91090">
        <w:rPr>
          <w:rFonts w:asciiTheme="majorBidi" w:eastAsia="Times New Roman" w:hAnsiTheme="majorBidi" w:cstheme="majorBidi"/>
          <w:szCs w:val="24"/>
        </w:rPr>
        <w:t xml:space="preserve">  Error rates versus proportion of tips in state 0 for scenarios with both equal and unequal rates of speciation.  Each point is the mean error rate for a parameter set for trees with 400 tips.  The curves are quadratic regressions.  </w:t>
      </w:r>
    </w:p>
    <w:p w14:paraId="3F74707A" w14:textId="710BC9C4" w:rsidR="003B1A5A" w:rsidRPr="00A91090" w:rsidRDefault="003B1A5A" w:rsidP="00457AC3">
      <w:pPr>
        <w:spacing w:line="360" w:lineRule="auto"/>
        <w:rPr>
          <w:rFonts w:asciiTheme="majorBidi" w:eastAsia="Times New Roman" w:hAnsiTheme="majorBidi" w:cstheme="majorBidi"/>
          <w:szCs w:val="24"/>
        </w:rPr>
      </w:pPr>
    </w:p>
    <w:p w14:paraId="2E32ACEC" w14:textId="77777777" w:rsidR="003B1A5A" w:rsidRPr="00A91090" w:rsidRDefault="003B1A5A">
      <w:pPr>
        <w:rPr>
          <w:rFonts w:asciiTheme="majorBidi" w:eastAsia="Times New Roman" w:hAnsiTheme="majorBidi" w:cstheme="majorBidi"/>
          <w:b/>
          <w:bCs/>
          <w:szCs w:val="24"/>
        </w:rPr>
      </w:pPr>
      <w:r w:rsidRPr="00A91090">
        <w:rPr>
          <w:rFonts w:asciiTheme="majorBidi" w:eastAsia="Times New Roman" w:hAnsiTheme="majorBidi" w:cstheme="majorBidi"/>
          <w:b/>
          <w:bCs/>
          <w:szCs w:val="24"/>
        </w:rPr>
        <w:br w:type="page"/>
      </w:r>
    </w:p>
    <w:p w14:paraId="6F5FC771" w14:textId="17337117" w:rsidR="003B1A5A" w:rsidRPr="00A91090" w:rsidRDefault="00A267EF" w:rsidP="00457AC3">
      <w:pPr>
        <w:spacing w:line="360" w:lineRule="auto"/>
        <w:rPr>
          <w:rFonts w:asciiTheme="majorBidi" w:eastAsia="Times New Roman" w:hAnsiTheme="majorBidi" w:cstheme="majorBidi"/>
          <w:b/>
          <w:bCs/>
          <w:szCs w:val="24"/>
        </w:rPr>
      </w:pPr>
      <w:r w:rsidRPr="00A91090">
        <w:rPr>
          <w:rFonts w:asciiTheme="majorBidi" w:hAnsiTheme="majorBidi" w:cstheme="majorBidi"/>
          <w:noProof/>
        </w:rPr>
        <w:lastRenderedPageBreak/>
        <w:drawing>
          <wp:inline distT="0" distB="0" distL="0" distR="0" wp14:anchorId="2B862AD1" wp14:editId="1F3D7D1D">
            <wp:extent cx="6120130" cy="4019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4019550"/>
                    </a:xfrm>
                    <a:prstGeom prst="rect">
                      <a:avLst/>
                    </a:prstGeom>
                  </pic:spPr>
                </pic:pic>
              </a:graphicData>
            </a:graphic>
          </wp:inline>
        </w:drawing>
      </w:r>
    </w:p>
    <w:p w14:paraId="595394CC" w14:textId="1881BB22" w:rsidR="00A67A2F" w:rsidRPr="00A91090" w:rsidRDefault="003B1A5A" w:rsidP="003B1A5A">
      <w:pPr>
        <w:spacing w:after="240"/>
        <w:rPr>
          <w:rFonts w:asciiTheme="majorBidi" w:hAnsiTheme="majorBidi" w:cstheme="majorBidi"/>
        </w:rPr>
      </w:pPr>
      <w:r w:rsidRPr="00A91090">
        <w:rPr>
          <w:rFonts w:asciiTheme="majorBidi" w:eastAsia="Times New Roman" w:hAnsiTheme="majorBidi" w:cstheme="majorBidi"/>
          <w:b/>
          <w:bCs/>
          <w:szCs w:val="24"/>
        </w:rPr>
        <w:t>Figure S</w:t>
      </w:r>
      <w:r w:rsidR="000F7B57">
        <w:rPr>
          <w:rFonts w:asciiTheme="majorBidi" w:eastAsia="Times New Roman" w:hAnsiTheme="majorBidi" w:cstheme="majorBidi"/>
          <w:b/>
          <w:bCs/>
          <w:szCs w:val="24"/>
        </w:rPr>
        <w:t>3</w:t>
      </w:r>
      <w:r w:rsidRPr="00A91090">
        <w:rPr>
          <w:rFonts w:asciiTheme="majorBidi" w:eastAsia="Times New Roman" w:hAnsiTheme="majorBidi" w:cstheme="majorBidi"/>
          <w:b/>
          <w:bCs/>
          <w:szCs w:val="24"/>
        </w:rPr>
        <w:t xml:space="preserve">. </w:t>
      </w:r>
      <w:r w:rsidRPr="00A91090">
        <w:rPr>
          <w:rFonts w:asciiTheme="majorBidi" w:hAnsiTheme="majorBidi" w:cstheme="majorBidi"/>
        </w:rPr>
        <w:t xml:space="preserve">Predictions from a logistic regression model that fit the presence of an incorrect inferred state to the categorical main effect of method, the continuous main effects of log(#transitions), </w:t>
      </w:r>
      <w:r w:rsidRPr="00A91090">
        <w:rPr>
          <w:rFonts w:asciiTheme="majorBidi" w:eastAsia="Times New Roman" w:hAnsiTheme="majorBidi" w:cstheme="majorBidi"/>
        </w:rPr>
        <w:t>µ</w:t>
      </w:r>
      <w:r w:rsidRPr="00A91090">
        <w:rPr>
          <w:rFonts w:asciiTheme="majorBidi" w:eastAsia="Times New Roman" w:hAnsiTheme="majorBidi" w:cstheme="majorBidi"/>
          <w:vertAlign w:val="subscript"/>
        </w:rPr>
        <w:t>0</w:t>
      </w:r>
      <w:r w:rsidRPr="00A91090">
        <w:rPr>
          <w:rFonts w:asciiTheme="majorBidi" w:eastAsia="Times New Roman" w:hAnsiTheme="majorBidi" w:cstheme="majorBidi"/>
        </w:rPr>
        <w:t>, µ</w:t>
      </w:r>
      <w:r w:rsidRPr="00A91090">
        <w:rPr>
          <w:rFonts w:asciiTheme="majorBidi" w:eastAsia="Times New Roman" w:hAnsiTheme="majorBidi" w:cstheme="majorBidi"/>
          <w:vertAlign w:val="subscript"/>
        </w:rPr>
        <w:t>1</w:t>
      </w:r>
      <w:r w:rsidRPr="00A91090">
        <w:rPr>
          <w:rFonts w:asciiTheme="majorBidi" w:eastAsia="Times New Roman" w:hAnsiTheme="majorBidi" w:cstheme="majorBidi"/>
        </w:rPr>
        <w:t>, q</w:t>
      </w:r>
      <w:r w:rsidRPr="00A91090">
        <w:rPr>
          <w:rFonts w:asciiTheme="majorBidi" w:eastAsia="Times New Roman" w:hAnsiTheme="majorBidi" w:cstheme="majorBidi"/>
          <w:vertAlign w:val="subscript"/>
        </w:rPr>
        <w:t>01</w:t>
      </w:r>
      <w:r w:rsidRPr="00A91090">
        <w:rPr>
          <w:rFonts w:asciiTheme="majorBidi" w:eastAsia="Times New Roman" w:hAnsiTheme="majorBidi" w:cstheme="majorBidi"/>
        </w:rPr>
        <w:t>, q</w:t>
      </w:r>
      <w:r w:rsidRPr="00A91090">
        <w:rPr>
          <w:rFonts w:asciiTheme="majorBidi" w:eastAsia="Times New Roman" w:hAnsiTheme="majorBidi" w:cstheme="majorBidi"/>
          <w:vertAlign w:val="subscript"/>
        </w:rPr>
        <w:t xml:space="preserve">10 </w:t>
      </w:r>
      <w:r w:rsidRPr="00A91090">
        <w:rPr>
          <w:rFonts w:asciiTheme="majorBidi" w:hAnsiTheme="majorBidi" w:cstheme="majorBidi"/>
        </w:rPr>
        <w:t xml:space="preserve">and interaction effects between Method and the other variables. The model was fit to data from 400 tip simulations across 500 repetitions of the 144 scenarios where </w:t>
      </w:r>
      <w:r w:rsidRPr="00A91090">
        <w:rPr>
          <w:rFonts w:asciiTheme="majorBidi" w:eastAsia="Times New Roman" w:hAnsiTheme="majorBidi" w:cstheme="majorBidi"/>
        </w:rPr>
        <w:t>λ</w:t>
      </w:r>
      <w:r w:rsidRPr="00A91090">
        <w:rPr>
          <w:rFonts w:asciiTheme="majorBidi" w:eastAsia="Times New Roman" w:hAnsiTheme="majorBidi" w:cstheme="majorBidi"/>
          <w:vertAlign w:val="subscript"/>
        </w:rPr>
        <w:t>0</w:t>
      </w:r>
      <w:r w:rsidRPr="00A91090">
        <w:rPr>
          <w:rFonts w:asciiTheme="majorBidi" w:eastAsia="Times New Roman" w:hAnsiTheme="majorBidi" w:cstheme="majorBidi"/>
        </w:rPr>
        <w:t xml:space="preserve"> = λ</w:t>
      </w:r>
      <w:r w:rsidRPr="00A91090">
        <w:rPr>
          <w:rFonts w:asciiTheme="majorBidi" w:eastAsia="Times New Roman" w:hAnsiTheme="majorBidi" w:cstheme="majorBidi"/>
          <w:vertAlign w:val="subscript"/>
        </w:rPr>
        <w:t>1</w:t>
      </w:r>
      <w:r w:rsidRPr="00A91090">
        <w:rPr>
          <w:rFonts w:asciiTheme="majorBidi" w:hAnsiTheme="majorBidi" w:cstheme="majorBidi"/>
        </w:rPr>
        <w:t xml:space="preserve">= 1. </w:t>
      </w:r>
      <w:r w:rsidR="00814057" w:rsidRPr="00A91090">
        <w:rPr>
          <w:rFonts w:asciiTheme="majorBidi" w:hAnsiTheme="majorBidi" w:cstheme="majorBidi"/>
        </w:rPr>
        <w:t xml:space="preserve">For predictions </w:t>
      </w:r>
      <m:oMath>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1</m:t>
            </m:r>
          </m:sub>
        </m:sSub>
      </m:oMath>
      <w:r w:rsidR="00814057" w:rsidRPr="00A91090">
        <w:rPr>
          <w:rFonts w:asciiTheme="majorBidi" w:hAnsiTheme="majorBidi" w:cstheme="majorBidi"/>
        </w:rPr>
        <w:t xml:space="preserve">= 0.25 and </w:t>
      </w:r>
      <w:r w:rsidR="00A91DBC" w:rsidRPr="00A91090">
        <w:rPr>
          <w:rFonts w:asciiTheme="majorBidi" w:eastAsia="Times New Roman" w:hAnsiTheme="majorBidi" w:cstheme="majorBidi"/>
        </w:rPr>
        <w:t>q</w:t>
      </w:r>
      <w:r w:rsidR="00A91DBC" w:rsidRPr="00A91090">
        <w:rPr>
          <w:rFonts w:asciiTheme="majorBidi" w:eastAsia="Times New Roman" w:hAnsiTheme="majorBidi" w:cstheme="majorBidi"/>
          <w:vertAlign w:val="subscript"/>
        </w:rPr>
        <w:t>10</w:t>
      </w:r>
      <w:r w:rsidR="00814057" w:rsidRPr="00A91090">
        <w:rPr>
          <w:rFonts w:asciiTheme="majorBidi" w:hAnsiTheme="majorBidi" w:cstheme="majorBidi"/>
        </w:rPr>
        <w:t xml:space="preserve"> = 0.05. </w:t>
      </w:r>
      <w:r w:rsidRPr="00A91090">
        <w:rPr>
          <w:rFonts w:asciiTheme="majorBidi" w:hAnsiTheme="majorBidi" w:cstheme="majorBidi"/>
        </w:rPr>
        <w:t xml:space="preserve">From left to right the panels show predictions where log(transitions) is equal to 1, 2 or 3. </w:t>
      </w:r>
    </w:p>
    <w:p w14:paraId="205A335B" w14:textId="77777777" w:rsidR="00A67A2F" w:rsidRPr="00A91090" w:rsidRDefault="00A67A2F">
      <w:pPr>
        <w:rPr>
          <w:rFonts w:asciiTheme="majorBidi" w:hAnsiTheme="majorBidi" w:cstheme="majorBidi"/>
        </w:rPr>
      </w:pPr>
      <w:r w:rsidRPr="00A91090">
        <w:rPr>
          <w:rFonts w:asciiTheme="majorBidi" w:hAnsiTheme="majorBidi" w:cstheme="majorBidi"/>
        </w:rPr>
        <w:br w:type="page"/>
      </w:r>
    </w:p>
    <w:p w14:paraId="2FDC6D8C" w14:textId="77777777" w:rsidR="003B1A5A" w:rsidRPr="00A91090" w:rsidRDefault="003B1A5A" w:rsidP="003B1A5A">
      <w:pPr>
        <w:spacing w:after="240"/>
        <w:rPr>
          <w:rFonts w:asciiTheme="majorBidi" w:hAnsiTheme="majorBidi" w:cstheme="majorBidi"/>
          <w:i/>
          <w:iCs/>
        </w:rPr>
      </w:pPr>
    </w:p>
    <w:p w14:paraId="0C6A6BEA" w14:textId="0C7E035C" w:rsidR="003B1A5A" w:rsidRPr="00A91090" w:rsidRDefault="003B1A5A" w:rsidP="003B1A5A">
      <w:pPr>
        <w:spacing w:line="360" w:lineRule="auto"/>
        <w:rPr>
          <w:rFonts w:asciiTheme="majorBidi" w:eastAsia="Times New Roman" w:hAnsiTheme="majorBidi" w:cstheme="majorBidi"/>
          <w:b/>
          <w:bCs/>
          <w:szCs w:val="24"/>
        </w:rPr>
      </w:pPr>
    </w:p>
    <w:p w14:paraId="38D90D74" w14:textId="741ADCB6" w:rsidR="003B1A5A" w:rsidRPr="00A91090" w:rsidRDefault="003B1A5A" w:rsidP="003B1A5A">
      <w:pPr>
        <w:spacing w:line="360" w:lineRule="auto"/>
        <w:rPr>
          <w:rFonts w:asciiTheme="majorBidi" w:eastAsia="Times New Roman" w:hAnsiTheme="majorBidi" w:cstheme="majorBidi"/>
          <w:b/>
          <w:bCs/>
          <w:szCs w:val="24"/>
        </w:rPr>
      </w:pPr>
    </w:p>
    <w:p w14:paraId="45923072" w14:textId="77777777" w:rsidR="003B1A5A" w:rsidRPr="00A91090" w:rsidRDefault="003B1A5A" w:rsidP="003B1A5A">
      <w:pPr>
        <w:spacing w:line="360" w:lineRule="auto"/>
        <w:rPr>
          <w:rFonts w:asciiTheme="majorBidi" w:eastAsia="Times New Roman" w:hAnsiTheme="majorBidi" w:cstheme="majorBidi"/>
          <w:b/>
          <w:bCs/>
          <w:szCs w:val="24"/>
        </w:rPr>
      </w:pPr>
    </w:p>
    <w:p w14:paraId="25766D02" w14:textId="4D7A0573" w:rsidR="003B1A5A" w:rsidRPr="00A91090" w:rsidRDefault="003B1A5A">
      <w:pPr>
        <w:rPr>
          <w:rFonts w:asciiTheme="majorBidi" w:eastAsia="Times New Roman" w:hAnsiTheme="majorBidi" w:cstheme="majorBidi"/>
          <w:b/>
          <w:bCs/>
          <w:szCs w:val="24"/>
        </w:rPr>
      </w:pPr>
    </w:p>
    <w:p w14:paraId="5D2FF227" w14:textId="77777777" w:rsidR="003B1A5A" w:rsidRPr="00A91090" w:rsidRDefault="003B1A5A" w:rsidP="00457AC3">
      <w:pPr>
        <w:spacing w:line="360" w:lineRule="auto"/>
        <w:rPr>
          <w:rFonts w:asciiTheme="majorBidi" w:eastAsia="Times New Roman" w:hAnsiTheme="majorBidi" w:cstheme="majorBidi"/>
          <w:b/>
          <w:bCs/>
          <w:szCs w:val="24"/>
        </w:rPr>
      </w:pPr>
    </w:p>
    <w:p w14:paraId="289EF24F" w14:textId="23BDD23B" w:rsidR="00FE5FB8" w:rsidRPr="00A91090" w:rsidRDefault="007F623B" w:rsidP="00FE5FB8">
      <w:pPr>
        <w:spacing w:line="360" w:lineRule="auto"/>
        <w:jc w:val="center"/>
        <w:rPr>
          <w:rFonts w:asciiTheme="majorBidi" w:eastAsia="Times New Roman" w:hAnsiTheme="majorBidi" w:cstheme="majorBidi"/>
          <w:szCs w:val="24"/>
        </w:rPr>
      </w:pPr>
      <w:r w:rsidRPr="00A91090">
        <w:rPr>
          <w:rFonts w:asciiTheme="majorBidi" w:hAnsiTheme="majorBidi" w:cstheme="majorBidi"/>
          <w:noProof/>
        </w:rPr>
        <w:drawing>
          <wp:inline distT="0" distB="0" distL="0" distR="0" wp14:anchorId="4436E984" wp14:editId="69293A64">
            <wp:extent cx="6120130" cy="401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019550"/>
                    </a:xfrm>
                    <a:prstGeom prst="rect">
                      <a:avLst/>
                    </a:prstGeom>
                  </pic:spPr>
                </pic:pic>
              </a:graphicData>
            </a:graphic>
          </wp:inline>
        </w:drawing>
      </w:r>
    </w:p>
    <w:p w14:paraId="74C29391" w14:textId="21A7068C" w:rsidR="003B1A5A" w:rsidRPr="00A91090" w:rsidRDefault="00FE5FB8" w:rsidP="00FE5FB8">
      <w:pPr>
        <w:spacing w:line="360" w:lineRule="auto"/>
        <w:rPr>
          <w:rFonts w:asciiTheme="majorBidi" w:eastAsia="Times New Roman" w:hAnsiTheme="majorBidi" w:cstheme="majorBidi"/>
          <w:szCs w:val="24"/>
        </w:rPr>
      </w:pPr>
      <w:r w:rsidRPr="00A91090">
        <w:rPr>
          <w:rFonts w:asciiTheme="majorBidi" w:eastAsia="Times New Roman" w:hAnsiTheme="majorBidi" w:cstheme="majorBidi"/>
          <w:b/>
          <w:sz w:val="24"/>
          <w:szCs w:val="24"/>
        </w:rPr>
        <w:t>Figure S</w:t>
      </w:r>
      <w:bookmarkStart w:id="3" w:name="_Hlk24541624"/>
      <w:r w:rsidR="000F7B57">
        <w:rPr>
          <w:rFonts w:asciiTheme="majorBidi" w:eastAsia="Times New Roman" w:hAnsiTheme="majorBidi" w:cstheme="majorBidi"/>
          <w:b/>
          <w:sz w:val="24"/>
          <w:szCs w:val="24"/>
        </w:rPr>
        <w:t>4</w:t>
      </w:r>
      <w:r w:rsidRPr="00A91090">
        <w:rPr>
          <w:rFonts w:asciiTheme="majorBidi" w:eastAsia="Times New Roman" w:hAnsiTheme="majorBidi" w:cstheme="majorBidi"/>
          <w:b/>
          <w:sz w:val="24"/>
          <w:szCs w:val="24"/>
        </w:rPr>
        <w:t>.</w:t>
      </w:r>
      <w:r w:rsidRPr="00A91090">
        <w:rPr>
          <w:rFonts w:asciiTheme="majorBidi" w:eastAsia="Times New Roman" w:hAnsiTheme="majorBidi" w:cstheme="majorBidi"/>
          <w:szCs w:val="24"/>
        </w:rPr>
        <w:t xml:space="preserve">  Error rates </w:t>
      </w:r>
      <w:r w:rsidR="007F623B" w:rsidRPr="00A91090">
        <w:rPr>
          <w:rFonts w:asciiTheme="majorBidi" w:eastAsia="Times New Roman" w:hAnsiTheme="majorBidi" w:cstheme="majorBidi"/>
          <w:szCs w:val="24"/>
        </w:rPr>
        <w:t xml:space="preserve">(based on </w:t>
      </w:r>
      <w:r w:rsidR="00A91090" w:rsidRPr="00A91090">
        <w:rPr>
          <w:rFonts w:asciiTheme="majorBidi" w:eastAsia="Times New Roman" w:hAnsiTheme="majorBidi" w:cstheme="majorBidi"/>
          <w:szCs w:val="24"/>
        </w:rPr>
        <w:t>quantised</w:t>
      </w:r>
      <w:r w:rsidR="007F623B" w:rsidRPr="00A91090">
        <w:rPr>
          <w:rFonts w:asciiTheme="majorBidi" w:eastAsia="Times New Roman" w:hAnsiTheme="majorBidi" w:cstheme="majorBidi"/>
          <w:szCs w:val="24"/>
        </w:rPr>
        <w:t xml:space="preserve"> scores) </w:t>
      </w:r>
      <w:r w:rsidRPr="00A91090">
        <w:rPr>
          <w:rFonts w:asciiTheme="majorBidi" w:eastAsia="Times New Roman" w:hAnsiTheme="majorBidi" w:cstheme="majorBidi"/>
          <w:szCs w:val="24"/>
        </w:rPr>
        <w:t>versus incidence of ambiguous nodes</w:t>
      </w:r>
      <w:bookmarkEnd w:id="3"/>
      <w:r w:rsidRPr="00A91090">
        <w:rPr>
          <w:rFonts w:asciiTheme="majorBidi" w:eastAsia="Times New Roman" w:hAnsiTheme="majorBidi" w:cstheme="majorBidi"/>
          <w:szCs w:val="24"/>
        </w:rPr>
        <w:t xml:space="preserve">.  Each point is the mean value for a parameter set for trees with 400 tips.  The dashed line is the 1:1 relationships; solid lines are least squares regressions.  </w:t>
      </w:r>
    </w:p>
    <w:p w14:paraId="2732A976" w14:textId="77777777" w:rsidR="00A67A2F" w:rsidRPr="00A91090" w:rsidRDefault="00A67A2F">
      <w:pPr>
        <w:rPr>
          <w:rFonts w:asciiTheme="majorBidi" w:eastAsia="Times New Roman" w:hAnsiTheme="majorBidi" w:cstheme="majorBidi"/>
          <w:szCs w:val="24"/>
        </w:rPr>
      </w:pPr>
    </w:p>
    <w:p w14:paraId="40855B3D" w14:textId="77777777" w:rsidR="00A67A2F" w:rsidRPr="00A91090" w:rsidRDefault="00A67A2F">
      <w:pPr>
        <w:rPr>
          <w:rFonts w:asciiTheme="majorBidi" w:eastAsia="Times New Roman" w:hAnsiTheme="majorBidi" w:cstheme="majorBidi"/>
          <w:szCs w:val="24"/>
        </w:rPr>
      </w:pPr>
    </w:p>
    <w:p w14:paraId="38624164" w14:textId="77777777" w:rsidR="00982312" w:rsidRPr="00A91090" w:rsidRDefault="00224823" w:rsidP="00A67A2F">
      <w:pPr>
        <w:spacing w:after="240"/>
        <w:rPr>
          <w:rFonts w:asciiTheme="majorBidi" w:hAnsiTheme="majorBidi" w:cstheme="majorBidi"/>
          <w:b/>
          <w:bCs/>
        </w:rPr>
      </w:pPr>
      <w:r w:rsidRPr="00A91090">
        <w:rPr>
          <w:rFonts w:asciiTheme="majorBidi" w:hAnsiTheme="majorBidi" w:cstheme="majorBidi"/>
          <w:noProof/>
        </w:rPr>
        <w:lastRenderedPageBreak/>
        <w:drawing>
          <wp:inline distT="0" distB="0" distL="0" distR="0" wp14:anchorId="4D2BD5AE" wp14:editId="061FF392">
            <wp:extent cx="6120130" cy="4019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019550"/>
                    </a:xfrm>
                    <a:prstGeom prst="rect">
                      <a:avLst/>
                    </a:prstGeom>
                    <a:noFill/>
                    <a:ln>
                      <a:noFill/>
                    </a:ln>
                  </pic:spPr>
                </pic:pic>
              </a:graphicData>
            </a:graphic>
          </wp:inline>
        </w:drawing>
      </w:r>
    </w:p>
    <w:p w14:paraId="15214861" w14:textId="77777777" w:rsidR="00982312" w:rsidRPr="00A91090" w:rsidRDefault="00982312" w:rsidP="00A67A2F">
      <w:pPr>
        <w:spacing w:after="240"/>
        <w:rPr>
          <w:rFonts w:asciiTheme="majorBidi" w:hAnsiTheme="majorBidi" w:cstheme="majorBidi"/>
          <w:b/>
          <w:bCs/>
        </w:rPr>
      </w:pPr>
      <w:r w:rsidRPr="00A91090">
        <w:rPr>
          <w:rFonts w:asciiTheme="majorBidi" w:hAnsiTheme="majorBidi" w:cstheme="majorBidi"/>
          <w:noProof/>
        </w:rPr>
        <w:drawing>
          <wp:inline distT="0" distB="0" distL="0" distR="0" wp14:anchorId="72A73D8A" wp14:editId="64658A85">
            <wp:extent cx="6120130" cy="401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019550"/>
                    </a:xfrm>
                    <a:prstGeom prst="rect">
                      <a:avLst/>
                    </a:prstGeom>
                    <a:noFill/>
                    <a:ln>
                      <a:noFill/>
                    </a:ln>
                  </pic:spPr>
                </pic:pic>
              </a:graphicData>
            </a:graphic>
          </wp:inline>
        </w:drawing>
      </w:r>
    </w:p>
    <w:p w14:paraId="570A0B33" w14:textId="2F593746" w:rsidR="00A67A2F" w:rsidRPr="00A91090" w:rsidRDefault="00A67A2F" w:rsidP="00A67A2F">
      <w:pPr>
        <w:spacing w:after="240"/>
        <w:rPr>
          <w:rFonts w:asciiTheme="majorBidi" w:hAnsiTheme="majorBidi" w:cstheme="majorBidi"/>
        </w:rPr>
      </w:pPr>
      <w:r w:rsidRPr="00A91090">
        <w:rPr>
          <w:rFonts w:asciiTheme="majorBidi" w:hAnsiTheme="majorBidi" w:cstheme="majorBidi"/>
          <w:b/>
          <w:bCs/>
        </w:rPr>
        <w:t>Figure S</w:t>
      </w:r>
      <w:r w:rsidR="000F7B57">
        <w:rPr>
          <w:rFonts w:asciiTheme="majorBidi" w:hAnsiTheme="majorBidi" w:cstheme="majorBidi"/>
          <w:b/>
          <w:bCs/>
        </w:rPr>
        <w:t>5</w:t>
      </w:r>
      <w:r w:rsidR="00224823" w:rsidRPr="00A91090">
        <w:rPr>
          <w:rFonts w:asciiTheme="majorBidi" w:hAnsiTheme="majorBidi" w:cstheme="majorBidi"/>
          <w:b/>
          <w:bCs/>
        </w:rPr>
        <w:t>.</w:t>
      </w:r>
      <w:r w:rsidRPr="00A91090">
        <w:rPr>
          <w:rFonts w:asciiTheme="majorBidi" w:hAnsiTheme="majorBidi" w:cstheme="majorBidi"/>
        </w:rPr>
        <w:t xml:space="preserve"> Comparison of error rates </w:t>
      </w:r>
      <w:r w:rsidR="00A91090">
        <w:rPr>
          <w:rFonts w:asciiTheme="majorBidi" w:hAnsiTheme="majorBidi" w:cstheme="majorBidi"/>
        </w:rPr>
        <w:t xml:space="preserve">(based on raw scores) </w:t>
      </w:r>
      <w:r w:rsidRPr="00A91090">
        <w:rPr>
          <w:rFonts w:asciiTheme="majorBidi" w:hAnsiTheme="majorBidi" w:cstheme="majorBidi"/>
        </w:rPr>
        <w:t>for 32 “corner case” scenarios with (A) 1600 tips or (B) 100 tips to error rates for scenarios with 400 tips.</w:t>
      </w:r>
    </w:p>
    <w:p w14:paraId="4311F9D3" w14:textId="5D9BE3F7" w:rsidR="003B1A5A" w:rsidRPr="00A91090" w:rsidRDefault="003B1A5A">
      <w:pPr>
        <w:rPr>
          <w:rFonts w:asciiTheme="majorBidi" w:eastAsia="Times New Roman" w:hAnsiTheme="majorBidi" w:cstheme="majorBidi"/>
          <w:szCs w:val="24"/>
        </w:rPr>
      </w:pPr>
      <w:r w:rsidRPr="00A91090">
        <w:rPr>
          <w:rFonts w:asciiTheme="majorBidi" w:eastAsia="Times New Roman" w:hAnsiTheme="majorBidi" w:cstheme="majorBidi"/>
          <w:szCs w:val="24"/>
        </w:rPr>
        <w:br w:type="page"/>
      </w:r>
    </w:p>
    <w:p w14:paraId="451801BB" w14:textId="77777777" w:rsidR="00FE5FB8" w:rsidRPr="00A91090" w:rsidRDefault="00FE5FB8" w:rsidP="00FE5FB8">
      <w:pPr>
        <w:spacing w:line="360" w:lineRule="auto"/>
        <w:rPr>
          <w:rFonts w:asciiTheme="majorBidi" w:eastAsia="Times New Roman" w:hAnsiTheme="majorBidi" w:cstheme="majorBidi"/>
          <w:szCs w:val="24"/>
        </w:rPr>
      </w:pPr>
    </w:p>
    <w:p w14:paraId="67A41DD4" w14:textId="3511022F" w:rsidR="00FE5FB8" w:rsidRPr="00A91090" w:rsidRDefault="00FE5FB8" w:rsidP="00FE5FB8">
      <w:pPr>
        <w:jc w:val="center"/>
        <w:rPr>
          <w:rFonts w:asciiTheme="majorBidi" w:eastAsia="Times New Roman" w:hAnsiTheme="majorBidi" w:cstheme="majorBidi"/>
          <w:sz w:val="24"/>
          <w:szCs w:val="24"/>
        </w:rPr>
      </w:pPr>
      <w:r w:rsidRPr="00A91090">
        <w:rPr>
          <w:rFonts w:asciiTheme="majorBidi" w:eastAsia="Times New Roman" w:hAnsiTheme="majorBidi" w:cstheme="majorBidi"/>
          <w:noProof/>
          <w:sz w:val="24"/>
          <w:szCs w:val="24"/>
          <w:lang w:eastAsia="en-AU"/>
        </w:rPr>
        <mc:AlternateContent>
          <mc:Choice Requires="wps">
            <w:drawing>
              <wp:anchor distT="45720" distB="45720" distL="114300" distR="114300" simplePos="0" relativeHeight="251659264" behindDoc="0" locked="0" layoutInCell="1" allowOverlap="1" wp14:anchorId="64BDB041" wp14:editId="5C1F88E0">
                <wp:simplePos x="0" y="0"/>
                <wp:positionH relativeFrom="margin">
                  <wp:align>left</wp:align>
                </wp:positionH>
                <wp:positionV relativeFrom="paragraph">
                  <wp:posOffset>5080</wp:posOffset>
                </wp:positionV>
                <wp:extent cx="342900" cy="3143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14325"/>
                        </a:xfrm>
                        <a:prstGeom prst="rect">
                          <a:avLst/>
                        </a:prstGeom>
                        <a:solidFill>
                          <a:srgbClr val="FFFFFF"/>
                        </a:solidFill>
                        <a:ln w="9525">
                          <a:noFill/>
                          <a:miter lim="800000"/>
                          <a:headEnd/>
                          <a:tailEnd/>
                        </a:ln>
                      </wps:spPr>
                      <wps:txbx>
                        <w:txbxContent>
                          <w:p w14:paraId="7E369A12" w14:textId="77777777" w:rsidR="00457AC3" w:rsidRDefault="00457AC3" w:rsidP="00FE5FB8">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BDB041" id="_x0000_t202" coordsize="21600,21600" o:spt="202" path="m,l,21600r21600,l21600,xe">
                <v:stroke joinstyle="miter"/>
                <v:path gradientshapeok="t" o:connecttype="rect"/>
              </v:shapetype>
              <v:shape id="Text Box 2" o:spid="_x0000_s1026" type="#_x0000_t202" style="position:absolute;left:0;text-align:left;margin-left:0;margin-top:.4pt;width:27pt;height:24.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" stroked="f">
                <v:textbox>
                  <w:txbxContent>
                    <w:p w14:paraId="7E369A12" w14:textId="77777777" w:rsidR="00457AC3" w:rsidRDefault="00457AC3" w:rsidP="00FE5FB8">
                      <w:r>
                        <w:t>a)</w:t>
                      </w:r>
                    </w:p>
                  </w:txbxContent>
                </v:textbox>
                <w10:wrap type="square" anchorx="margin"/>
              </v:shape>
            </w:pict>
          </mc:Fallback>
        </mc:AlternateContent>
      </w:r>
      <w:r w:rsidR="00341DD1" w:rsidRPr="00A91090">
        <w:rPr>
          <w:rFonts w:asciiTheme="majorBidi" w:hAnsiTheme="majorBidi" w:cstheme="majorBidi"/>
          <w:noProof/>
        </w:rPr>
        <w:drawing>
          <wp:inline distT="0" distB="0" distL="0" distR="0" wp14:anchorId="688D934C" wp14:editId="257D955E">
            <wp:extent cx="3913632" cy="1851254"/>
            <wp:effectExtent l="0" t="0" r="0" b="0"/>
            <wp:docPr id="1" name="Chart 1">
              <a:extLst xmlns:a="http://schemas.openxmlformats.org/drawingml/2006/main">
                <a:ext uri="{FF2B5EF4-FFF2-40B4-BE49-F238E27FC236}">
                  <a16:creationId xmlns:a16="http://schemas.microsoft.com/office/drawing/2014/main" id="{D992EDA2-B182-4C21-8C4D-C07E57B6A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194D79" w14:textId="44C505D9" w:rsidR="00FE5FB8" w:rsidRPr="00A91090" w:rsidRDefault="00FE5FB8" w:rsidP="00FE5FB8">
      <w:pPr>
        <w:jc w:val="center"/>
        <w:rPr>
          <w:rFonts w:asciiTheme="majorBidi" w:eastAsia="Times New Roman" w:hAnsiTheme="majorBidi" w:cstheme="majorBidi"/>
        </w:rPr>
      </w:pPr>
      <w:r w:rsidRPr="00A91090">
        <w:rPr>
          <w:rFonts w:asciiTheme="majorBidi" w:eastAsia="Times New Roman" w:hAnsiTheme="majorBidi" w:cstheme="majorBidi"/>
          <w:noProof/>
          <w:lang w:eastAsia="en-AU"/>
        </w:rPr>
        <mc:AlternateContent>
          <mc:Choice Requires="wps">
            <w:drawing>
              <wp:anchor distT="45720" distB="45720" distL="114300" distR="114300" simplePos="0" relativeHeight="251660288" behindDoc="0" locked="0" layoutInCell="1" allowOverlap="1" wp14:anchorId="17E374B9" wp14:editId="0C018C7E">
                <wp:simplePos x="0" y="0"/>
                <wp:positionH relativeFrom="margin">
                  <wp:posOffset>47625</wp:posOffset>
                </wp:positionH>
                <wp:positionV relativeFrom="paragraph">
                  <wp:posOffset>13970</wp:posOffset>
                </wp:positionV>
                <wp:extent cx="314325" cy="257175"/>
                <wp:effectExtent l="0" t="0" r="952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7175"/>
                        </a:xfrm>
                        <a:prstGeom prst="rect">
                          <a:avLst/>
                        </a:prstGeom>
                        <a:solidFill>
                          <a:srgbClr val="FFFFFF"/>
                        </a:solidFill>
                        <a:ln w="9525">
                          <a:noFill/>
                          <a:miter lim="800000"/>
                          <a:headEnd/>
                          <a:tailEnd/>
                        </a:ln>
                      </wps:spPr>
                      <wps:txbx>
                        <w:txbxContent>
                          <w:p w14:paraId="12A0615C" w14:textId="77777777" w:rsidR="00457AC3" w:rsidRDefault="00457AC3" w:rsidP="00FE5FB8">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374B9" id="_x0000_s1027" type="#_x0000_t202" style="position:absolute;left:0;text-align:left;margin-left:3.75pt;margin-top:1.1pt;width:24.75pt;height:20.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" stroked="f">
                <v:textbox>
                  <w:txbxContent>
                    <w:p w14:paraId="12A0615C" w14:textId="77777777" w:rsidR="00457AC3" w:rsidRDefault="00457AC3" w:rsidP="00FE5FB8">
                      <w:r>
                        <w:t>b)</w:t>
                      </w:r>
                    </w:p>
                  </w:txbxContent>
                </v:textbox>
                <w10:wrap type="square" anchorx="margin"/>
              </v:shape>
            </w:pict>
          </mc:Fallback>
        </mc:AlternateContent>
      </w:r>
      <w:r w:rsidR="007F4134" w:rsidRPr="00A91090">
        <w:rPr>
          <w:rFonts w:asciiTheme="majorBidi" w:hAnsiTheme="majorBidi" w:cstheme="majorBidi"/>
          <w:noProof/>
        </w:rPr>
        <w:drawing>
          <wp:inline distT="0" distB="0" distL="0" distR="0" wp14:anchorId="557E2E79" wp14:editId="5DD7F15E">
            <wp:extent cx="3767328" cy="2179751"/>
            <wp:effectExtent l="0" t="0" r="5080" b="0"/>
            <wp:docPr id="5" name="Chart 5">
              <a:extLst xmlns:a="http://schemas.openxmlformats.org/drawingml/2006/main">
                <a:ext uri="{FF2B5EF4-FFF2-40B4-BE49-F238E27FC236}">
                  <a16:creationId xmlns:a16="http://schemas.microsoft.com/office/drawing/2014/main" id="{0CED9E10-8059-44E9-94F9-BD8C6A143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BDCD4F" w14:textId="77777777" w:rsidR="00FE5FB8" w:rsidRPr="00A91090" w:rsidRDefault="00FE5FB8" w:rsidP="00FE5FB8">
      <w:pPr>
        <w:rPr>
          <w:rFonts w:asciiTheme="majorBidi" w:eastAsia="Times New Roman" w:hAnsiTheme="majorBidi" w:cstheme="majorBidi"/>
          <w:b/>
        </w:rPr>
      </w:pPr>
    </w:p>
    <w:p w14:paraId="4B7A2BF0" w14:textId="79AD9A91" w:rsidR="00FE5FB8" w:rsidRPr="00A91090" w:rsidRDefault="00AF19FE" w:rsidP="00FE5FB8">
      <w:pPr>
        <w:rPr>
          <w:rFonts w:asciiTheme="majorBidi" w:eastAsia="Times New Roman" w:hAnsiTheme="majorBidi" w:cstheme="majorBidi"/>
        </w:rPr>
      </w:pPr>
      <w:r w:rsidRPr="00A91090">
        <w:rPr>
          <w:rFonts w:asciiTheme="majorBidi" w:eastAsia="Times New Roman" w:hAnsiTheme="majorBidi" w:cstheme="majorBidi"/>
          <w:b/>
        </w:rPr>
        <w:t>Figure S</w:t>
      </w:r>
      <w:r w:rsidR="000F7B57">
        <w:rPr>
          <w:rFonts w:asciiTheme="majorBidi" w:eastAsia="Times New Roman" w:hAnsiTheme="majorBidi" w:cstheme="majorBidi"/>
          <w:b/>
        </w:rPr>
        <w:t>6</w:t>
      </w:r>
      <w:r w:rsidR="00FE5FB8" w:rsidRPr="00A91090">
        <w:rPr>
          <w:rFonts w:asciiTheme="majorBidi" w:eastAsia="Times New Roman" w:hAnsiTheme="majorBidi" w:cstheme="majorBidi"/>
        </w:rPr>
        <w:t>. Summary of a survey of 3</w:t>
      </w:r>
      <w:r w:rsidR="007F4134" w:rsidRPr="00A91090">
        <w:rPr>
          <w:rFonts w:asciiTheme="majorBidi" w:eastAsia="Times New Roman" w:hAnsiTheme="majorBidi" w:cstheme="majorBidi"/>
        </w:rPr>
        <w:t>3</w:t>
      </w:r>
      <w:r w:rsidR="00FE5FB8" w:rsidRPr="00A91090">
        <w:rPr>
          <w:rFonts w:asciiTheme="majorBidi" w:eastAsia="Times New Roman" w:hAnsiTheme="majorBidi" w:cstheme="majorBidi"/>
        </w:rPr>
        <w:t xml:space="preserve"> recent papers [references 1-3</w:t>
      </w:r>
      <w:r w:rsidR="007F4134" w:rsidRPr="00A91090">
        <w:rPr>
          <w:rFonts w:asciiTheme="majorBidi" w:eastAsia="Times New Roman" w:hAnsiTheme="majorBidi" w:cstheme="majorBidi"/>
        </w:rPr>
        <w:t>3</w:t>
      </w:r>
      <w:r w:rsidR="00FE5FB8" w:rsidRPr="00A91090">
        <w:rPr>
          <w:rFonts w:asciiTheme="majorBidi" w:eastAsia="Times New Roman" w:hAnsiTheme="majorBidi" w:cstheme="majorBidi"/>
        </w:rPr>
        <w:t xml:space="preserve">] using ancestral state reconstructions of discrete morphological/anatomical/behavioural characters (a total of </w:t>
      </w:r>
      <w:r w:rsidR="007F4134" w:rsidRPr="00A91090">
        <w:rPr>
          <w:rFonts w:asciiTheme="majorBidi" w:eastAsia="Times New Roman" w:hAnsiTheme="majorBidi" w:cstheme="majorBidi"/>
        </w:rPr>
        <w:t>142</w:t>
      </w:r>
      <w:r w:rsidR="00FE5FB8" w:rsidRPr="00A91090">
        <w:rPr>
          <w:rFonts w:asciiTheme="majorBidi" w:eastAsia="Times New Roman" w:hAnsiTheme="majorBidi" w:cstheme="majorBidi"/>
        </w:rPr>
        <w:t xml:space="preserve"> characters). These were the 3</w:t>
      </w:r>
      <w:r w:rsidR="007F4134" w:rsidRPr="00A91090">
        <w:rPr>
          <w:rFonts w:asciiTheme="majorBidi" w:eastAsia="Times New Roman" w:hAnsiTheme="majorBidi" w:cstheme="majorBidi"/>
        </w:rPr>
        <w:t>3</w:t>
      </w:r>
      <w:r w:rsidR="00FE5FB8" w:rsidRPr="00A91090">
        <w:rPr>
          <w:rFonts w:asciiTheme="majorBidi" w:eastAsia="Times New Roman" w:hAnsiTheme="majorBidi" w:cstheme="majorBidi"/>
        </w:rPr>
        <w:t xml:space="preserve"> most recent available papers (based on a search in Scopus for “ancestral” and “state” and “analysis”; access date </w:t>
      </w:r>
      <w:r w:rsidR="00797DBC" w:rsidRPr="00A91090">
        <w:rPr>
          <w:rFonts w:asciiTheme="majorBidi" w:eastAsia="Times New Roman" w:hAnsiTheme="majorBidi" w:cstheme="majorBidi"/>
        </w:rPr>
        <w:t>04</w:t>
      </w:r>
      <w:r w:rsidR="00FE5FB8" w:rsidRPr="00A91090">
        <w:rPr>
          <w:rFonts w:asciiTheme="majorBidi" w:eastAsia="Times New Roman" w:hAnsiTheme="majorBidi" w:cstheme="majorBidi"/>
        </w:rPr>
        <w:t>/0</w:t>
      </w:r>
      <w:r w:rsidR="00797DBC" w:rsidRPr="00A91090">
        <w:rPr>
          <w:rFonts w:asciiTheme="majorBidi" w:eastAsia="Times New Roman" w:hAnsiTheme="majorBidi" w:cstheme="majorBidi"/>
        </w:rPr>
        <w:t>4</w:t>
      </w:r>
      <w:r w:rsidR="00FE5FB8" w:rsidRPr="00A91090">
        <w:rPr>
          <w:rFonts w:asciiTheme="majorBidi" w:eastAsia="Times New Roman" w:hAnsiTheme="majorBidi" w:cstheme="majorBidi"/>
        </w:rPr>
        <w:t>/201</w:t>
      </w:r>
      <w:r w:rsidR="00797DBC" w:rsidRPr="00A91090">
        <w:rPr>
          <w:rFonts w:asciiTheme="majorBidi" w:eastAsia="Times New Roman" w:hAnsiTheme="majorBidi" w:cstheme="majorBidi"/>
        </w:rPr>
        <w:t>9</w:t>
      </w:r>
      <w:r w:rsidR="00FE5FB8" w:rsidRPr="00A91090">
        <w:rPr>
          <w:rFonts w:asciiTheme="majorBidi" w:eastAsia="Times New Roman" w:hAnsiTheme="majorBidi" w:cstheme="majorBidi"/>
        </w:rPr>
        <w:t>) that included reconstructions based on phylogenies with at least 10 tip taxa.</w:t>
      </w:r>
    </w:p>
    <w:p w14:paraId="28F460AB" w14:textId="2EFB5652" w:rsidR="00FE5FB8" w:rsidRPr="00A91090" w:rsidRDefault="00FE5FB8" w:rsidP="00FE5FB8">
      <w:pPr>
        <w:rPr>
          <w:rFonts w:asciiTheme="majorBidi" w:eastAsia="Times New Roman" w:hAnsiTheme="majorBidi" w:cstheme="majorBidi"/>
        </w:rPr>
      </w:pPr>
      <w:r w:rsidRPr="00A91090">
        <w:rPr>
          <w:rFonts w:asciiTheme="majorBidi" w:eastAsia="Times New Roman" w:hAnsiTheme="majorBidi" w:cstheme="majorBidi"/>
        </w:rPr>
        <w:t xml:space="preserve">a) number of reconstructions </w:t>
      </w:r>
      <w:r w:rsidR="00677CE3" w:rsidRPr="00A91090">
        <w:rPr>
          <w:rFonts w:asciiTheme="majorBidi" w:eastAsia="Times New Roman" w:hAnsiTheme="majorBidi" w:cstheme="majorBidi"/>
        </w:rPr>
        <w:t>binned by</w:t>
      </w:r>
      <w:r w:rsidRPr="00A91090">
        <w:rPr>
          <w:rFonts w:asciiTheme="majorBidi" w:eastAsia="Times New Roman" w:hAnsiTheme="majorBidi" w:cstheme="majorBidi"/>
        </w:rPr>
        <w:t xml:space="preserve"> depth of the deepest inferred transition. 7</w:t>
      </w:r>
      <w:r w:rsidR="00F64CF8" w:rsidRPr="00A91090">
        <w:rPr>
          <w:rFonts w:asciiTheme="majorBidi" w:eastAsia="Times New Roman" w:hAnsiTheme="majorBidi" w:cstheme="majorBidi"/>
        </w:rPr>
        <w:t>1</w:t>
      </w:r>
      <w:r w:rsidRPr="00A91090">
        <w:rPr>
          <w:rFonts w:asciiTheme="majorBidi" w:eastAsia="Times New Roman" w:hAnsiTheme="majorBidi" w:cstheme="majorBidi"/>
        </w:rPr>
        <w:t xml:space="preserve">% of reconstructions infer state changes in the deepest 20% of nodes in the tree. </w:t>
      </w:r>
    </w:p>
    <w:p w14:paraId="422D48BA" w14:textId="1A3B1850" w:rsidR="00FE5FB8" w:rsidRPr="00A91090" w:rsidRDefault="00FE5FB8" w:rsidP="00FE5FB8">
      <w:pPr>
        <w:rPr>
          <w:rFonts w:asciiTheme="majorBidi" w:eastAsia="Times New Roman" w:hAnsiTheme="majorBidi" w:cstheme="majorBidi"/>
        </w:rPr>
      </w:pPr>
      <w:r w:rsidRPr="00A91090">
        <w:rPr>
          <w:rFonts w:asciiTheme="majorBidi" w:eastAsia="Times New Roman" w:hAnsiTheme="majorBidi" w:cstheme="majorBidi"/>
        </w:rPr>
        <w:t xml:space="preserve">b) number of reconstructions binned by number of inferred transitions measured as a percentage of the total number of edges (i.e. the number of places at which a transition could occur). </w:t>
      </w:r>
      <w:r w:rsidR="00F64CF8" w:rsidRPr="00A91090">
        <w:rPr>
          <w:rFonts w:asciiTheme="majorBidi" w:eastAsia="Times New Roman" w:hAnsiTheme="majorBidi" w:cstheme="majorBidi"/>
        </w:rPr>
        <w:t>54</w:t>
      </w:r>
      <w:r w:rsidRPr="00A91090">
        <w:rPr>
          <w:rFonts w:asciiTheme="majorBidi" w:eastAsia="Times New Roman" w:hAnsiTheme="majorBidi" w:cstheme="majorBidi"/>
        </w:rPr>
        <w:t xml:space="preserve">% of reconstructions inferred transitions on at least 5% of the edges (equivalent to 40 transitions in a tree of 400 tips).  </w:t>
      </w:r>
    </w:p>
    <w:p w14:paraId="5E4BE1C8" w14:textId="77777777" w:rsidR="00FE5FB8" w:rsidRPr="00A91090" w:rsidRDefault="00FE5FB8" w:rsidP="00FE5FB8">
      <w:pPr>
        <w:rPr>
          <w:rFonts w:asciiTheme="majorBidi" w:eastAsia="Times New Roman" w:hAnsiTheme="majorBidi" w:cstheme="majorBidi"/>
        </w:rPr>
      </w:pPr>
    </w:p>
    <w:p w14:paraId="2021AA2C" w14:textId="77777777" w:rsidR="00FE5FB8" w:rsidRPr="00A91090" w:rsidRDefault="00FE5FB8">
      <w:pPr>
        <w:rPr>
          <w:rFonts w:asciiTheme="majorBidi" w:eastAsia="Times New Roman" w:hAnsiTheme="majorBidi" w:cstheme="majorBidi"/>
          <w:b/>
        </w:rPr>
      </w:pPr>
      <w:r w:rsidRPr="00A91090">
        <w:rPr>
          <w:rFonts w:asciiTheme="majorBidi" w:eastAsia="Times New Roman" w:hAnsiTheme="majorBidi" w:cstheme="majorBidi"/>
          <w:b/>
        </w:rPr>
        <w:br w:type="page"/>
      </w:r>
    </w:p>
    <w:p w14:paraId="0E368BF0" w14:textId="2B0933C2" w:rsidR="007F4134" w:rsidRPr="00A91090" w:rsidRDefault="00A93F83" w:rsidP="007F4134">
      <w:pPr>
        <w:rPr>
          <w:rFonts w:asciiTheme="majorBidi" w:eastAsia="Times New Roman" w:hAnsiTheme="majorBidi" w:cstheme="majorBidi"/>
          <w:b/>
        </w:rPr>
      </w:pPr>
      <w:r w:rsidRPr="00A91090">
        <w:rPr>
          <w:rFonts w:asciiTheme="majorBidi" w:eastAsia="Times New Roman" w:hAnsiTheme="majorBidi" w:cstheme="majorBidi"/>
          <w:b/>
        </w:rPr>
        <w:lastRenderedPageBreak/>
        <w:t>References:</w:t>
      </w:r>
    </w:p>
    <w:p w14:paraId="7C1A1119"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 Borsch, T., Flores-Olvera, H., Zumaya, S. &amp; Müller, K. 2018 Pollen characters and DNA sequence data converge on a monophyletic genus iresine (Amaranthaceae, caryophyllales) and help to elucidate its species diversity. </w:t>
      </w:r>
      <w:r w:rsidRPr="00A91090">
        <w:rPr>
          <w:rFonts w:asciiTheme="majorBidi" w:hAnsiTheme="majorBidi" w:cstheme="majorBidi"/>
          <w:i/>
        </w:rPr>
        <w:t>Taxon</w:t>
      </w:r>
      <w:r w:rsidRPr="00A91090">
        <w:rPr>
          <w:rFonts w:asciiTheme="majorBidi" w:hAnsiTheme="majorBidi" w:cstheme="majorBidi"/>
        </w:rPr>
        <w:t xml:space="preserve"> </w:t>
      </w:r>
      <w:r w:rsidRPr="00A91090">
        <w:rPr>
          <w:rFonts w:asciiTheme="majorBidi" w:hAnsiTheme="majorBidi" w:cstheme="majorBidi"/>
          <w:b/>
        </w:rPr>
        <w:t>67</w:t>
      </w:r>
      <w:r w:rsidRPr="00A91090">
        <w:rPr>
          <w:rFonts w:asciiTheme="majorBidi" w:hAnsiTheme="majorBidi" w:cstheme="majorBidi"/>
        </w:rPr>
        <w:t>, 944-976. (doi:10.12705/675.7).</w:t>
      </w:r>
    </w:p>
    <w:p w14:paraId="0F0EEEE9"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 Cairns, S.D. &amp; Wirshing, H.H. 2018 A phylogenetic analysis of the Primnoidae (Anthozoa: Octocorallia: Calcaxonia) with analyses of character evolution and a key to the genera and subgenera. </w:t>
      </w:r>
      <w:r w:rsidRPr="00A91090">
        <w:rPr>
          <w:rFonts w:asciiTheme="majorBidi" w:hAnsiTheme="majorBidi" w:cstheme="majorBidi"/>
          <w:i/>
        </w:rPr>
        <w:t>BMC Evolutionary Biology</w:t>
      </w:r>
      <w:r w:rsidRPr="00A91090">
        <w:rPr>
          <w:rFonts w:asciiTheme="majorBidi" w:hAnsiTheme="majorBidi" w:cstheme="majorBidi"/>
        </w:rPr>
        <w:t xml:space="preserve"> </w:t>
      </w:r>
      <w:r w:rsidRPr="00A91090">
        <w:rPr>
          <w:rFonts w:asciiTheme="majorBidi" w:hAnsiTheme="majorBidi" w:cstheme="majorBidi"/>
          <w:b/>
        </w:rPr>
        <w:t>18</w:t>
      </w:r>
      <w:r w:rsidRPr="00A91090">
        <w:rPr>
          <w:rFonts w:asciiTheme="majorBidi" w:hAnsiTheme="majorBidi" w:cstheme="majorBidi"/>
        </w:rPr>
        <w:t>. (doi:10.1186/s12862-018-1182-5).</w:t>
      </w:r>
    </w:p>
    <w:p w14:paraId="4AF019D1"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[3] Castillo, E.R.D., Martí, D.A., Maronna, M.M., Scattolini, M.C., Cabral-de-Mello, D.C. &amp; Cigliano, M.M. 2019 Chromosome evolution and phylogeny in Ronderosia (Orthoptera, Acrididae, Melanoplinae): clues of survivors to the challenge of sympatry? </w:t>
      </w:r>
      <w:r w:rsidRPr="00A91090">
        <w:rPr>
          <w:rFonts w:asciiTheme="majorBidi" w:hAnsiTheme="majorBidi" w:cstheme="majorBidi"/>
          <w:i/>
        </w:rPr>
        <w:t>Systematic Entomology</w:t>
      </w:r>
      <w:r w:rsidRPr="00A91090">
        <w:rPr>
          <w:rFonts w:asciiTheme="majorBidi" w:hAnsiTheme="majorBidi" w:cstheme="majorBidi"/>
        </w:rPr>
        <w:t xml:space="preserve"> </w:t>
      </w:r>
      <w:r w:rsidRPr="00A91090">
        <w:rPr>
          <w:rFonts w:asciiTheme="majorBidi" w:hAnsiTheme="majorBidi" w:cstheme="majorBidi"/>
          <w:b/>
        </w:rPr>
        <w:t>44</w:t>
      </w:r>
      <w:r w:rsidRPr="00A91090">
        <w:rPr>
          <w:rFonts w:asciiTheme="majorBidi" w:hAnsiTheme="majorBidi" w:cstheme="majorBidi"/>
        </w:rPr>
        <w:t>, 61-74. (doi:10.1111/syen.12317).</w:t>
      </w:r>
    </w:p>
    <w:p w14:paraId="781B311A"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[4] de Carvalho Dominguez Souza, B.F., König, A., Rasche, A., de Oliveira Carneiro, I., Stephan, N., Corman, V.M., Roppert, P.L., Goldmann, N., Kepper, R., Müller, S.F., et al. 2018 A novel hepatitis B virus species discovered in capuchin monkeys sheds new light on the evolution of primate hepadnaviruses. </w:t>
      </w:r>
      <w:r w:rsidRPr="00A91090">
        <w:rPr>
          <w:rFonts w:asciiTheme="majorBidi" w:hAnsiTheme="majorBidi" w:cstheme="majorBidi"/>
          <w:i/>
        </w:rPr>
        <w:t>Journal of Hepatology</w:t>
      </w:r>
      <w:r w:rsidRPr="00A91090">
        <w:rPr>
          <w:rFonts w:asciiTheme="majorBidi" w:hAnsiTheme="majorBidi" w:cstheme="majorBidi"/>
        </w:rPr>
        <w:t xml:space="preserve"> </w:t>
      </w:r>
      <w:r w:rsidRPr="00A91090">
        <w:rPr>
          <w:rFonts w:asciiTheme="majorBidi" w:hAnsiTheme="majorBidi" w:cstheme="majorBidi"/>
          <w:b/>
        </w:rPr>
        <w:t>68</w:t>
      </w:r>
      <w:r w:rsidRPr="00A91090">
        <w:rPr>
          <w:rFonts w:asciiTheme="majorBidi" w:hAnsiTheme="majorBidi" w:cstheme="majorBidi"/>
        </w:rPr>
        <w:t>, 1114-1122. (doi:10.1016/j.jhep.2018.01.029).</w:t>
      </w:r>
    </w:p>
    <w:p w14:paraId="4637ABE7"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[5] De-la-Mora, M., Piñero, D., Oyama, K., Farrell, B., Magallón, S. &amp; Núñez-Farfán, J. 2018 Evolution of Trichobaris (Curculionidae) in relation to host plants: Geometric morphometrics, phylogeny and phylogeography.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124</w:t>
      </w:r>
      <w:r w:rsidRPr="00A91090">
        <w:rPr>
          <w:rFonts w:asciiTheme="majorBidi" w:hAnsiTheme="majorBidi" w:cstheme="majorBidi"/>
        </w:rPr>
        <w:t>, 37-49. (doi:10.1016/j.ympev.2018.02.018).</w:t>
      </w:r>
    </w:p>
    <w:p w14:paraId="60CAA7B0"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[6] Eldridge, M.D.B., Potter, S., Helgen, K.M., Sinaga, M.H., Aplin, K.P., Flannery, T.F. &amp; Johnson, R.N. 2018 Phylogenetic analysis of the tree-kangaroos (Dendrolagus) reveals multiple divergent lineages within New Guinea.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127</w:t>
      </w:r>
      <w:r w:rsidRPr="00A91090">
        <w:rPr>
          <w:rFonts w:asciiTheme="majorBidi" w:hAnsiTheme="majorBidi" w:cstheme="majorBidi"/>
        </w:rPr>
        <w:t>, 589-599. (doi:10.1016/j.ympev.2018.05.030).</w:t>
      </w:r>
    </w:p>
    <w:p w14:paraId="599004EB"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[7] Fernández-Mazuecos, M., Blanco-Pastor, J.L., Juan, A., Carnicero, P., Forrest, A., Alarcón, M., Vargas, P. &amp; Glover, B.J. 2019 Macroevolutionary dynamics of nectar spurs, a key evolutionary innovation. </w:t>
      </w:r>
      <w:r w:rsidRPr="00A91090">
        <w:rPr>
          <w:rFonts w:asciiTheme="majorBidi" w:hAnsiTheme="majorBidi" w:cstheme="majorBidi"/>
          <w:i/>
        </w:rPr>
        <w:t>New Phytologist</w:t>
      </w:r>
      <w:r w:rsidRPr="00A91090">
        <w:rPr>
          <w:rFonts w:asciiTheme="majorBidi" w:hAnsiTheme="majorBidi" w:cstheme="majorBidi"/>
        </w:rPr>
        <w:t xml:space="preserve"> </w:t>
      </w:r>
      <w:r w:rsidRPr="00A91090">
        <w:rPr>
          <w:rFonts w:asciiTheme="majorBidi" w:hAnsiTheme="majorBidi" w:cstheme="majorBidi"/>
          <w:b/>
        </w:rPr>
        <w:t>222</w:t>
      </w:r>
      <w:r w:rsidRPr="00A91090">
        <w:rPr>
          <w:rFonts w:asciiTheme="majorBidi" w:hAnsiTheme="majorBidi" w:cstheme="majorBidi"/>
        </w:rPr>
        <w:t>, 1123-1138. (doi:10.1111/nph.15654).</w:t>
      </w:r>
    </w:p>
    <w:p w14:paraId="0519A07D"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[8] Göpel, T. &amp; Wirkner, C.S. 2018 Morphological description, character conceptualization and the reconstruction of ancestral states exemplified by the evolution of arthropod hearts. </w:t>
      </w:r>
      <w:r w:rsidRPr="00A91090">
        <w:rPr>
          <w:rFonts w:asciiTheme="majorBidi" w:hAnsiTheme="majorBidi" w:cstheme="majorBidi"/>
          <w:i/>
        </w:rPr>
        <w:t>PLoS ONE</w:t>
      </w:r>
      <w:r w:rsidRPr="00A91090">
        <w:rPr>
          <w:rFonts w:asciiTheme="majorBidi" w:hAnsiTheme="majorBidi" w:cstheme="majorBidi"/>
        </w:rPr>
        <w:t xml:space="preserve"> </w:t>
      </w:r>
      <w:r w:rsidRPr="00A91090">
        <w:rPr>
          <w:rFonts w:asciiTheme="majorBidi" w:hAnsiTheme="majorBidi" w:cstheme="majorBidi"/>
          <w:b/>
        </w:rPr>
        <w:t>13</w:t>
      </w:r>
      <w:r w:rsidRPr="00A91090">
        <w:rPr>
          <w:rFonts w:asciiTheme="majorBidi" w:hAnsiTheme="majorBidi" w:cstheme="majorBidi"/>
        </w:rPr>
        <w:t>. (doi:10.1371/journal.pone.0201702).</w:t>
      </w:r>
    </w:p>
    <w:p w14:paraId="432E8B37"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[9] Hanschen, E.R., Herron, M.D., Wiens, J.J., Nozaki, H. &amp; Michod, R.E. 2018 Multicellularity drives the evolution of sexual traits. </w:t>
      </w:r>
      <w:r w:rsidRPr="00A91090">
        <w:rPr>
          <w:rFonts w:asciiTheme="majorBidi" w:hAnsiTheme="majorBidi" w:cstheme="majorBidi"/>
          <w:i/>
        </w:rPr>
        <w:t>American Naturalist</w:t>
      </w:r>
      <w:r w:rsidRPr="00A91090">
        <w:rPr>
          <w:rFonts w:asciiTheme="majorBidi" w:hAnsiTheme="majorBidi" w:cstheme="majorBidi"/>
        </w:rPr>
        <w:t xml:space="preserve"> </w:t>
      </w:r>
      <w:r w:rsidRPr="00A91090">
        <w:rPr>
          <w:rFonts w:asciiTheme="majorBidi" w:hAnsiTheme="majorBidi" w:cstheme="majorBidi"/>
          <w:b/>
        </w:rPr>
        <w:t>192</w:t>
      </w:r>
      <w:r w:rsidRPr="00A91090">
        <w:rPr>
          <w:rFonts w:asciiTheme="majorBidi" w:hAnsiTheme="majorBidi" w:cstheme="majorBidi"/>
        </w:rPr>
        <w:t>, E93-E105. (doi:10.1086/698301).</w:t>
      </w:r>
    </w:p>
    <w:p w14:paraId="6B9F9279"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[10] Helm, C., Beckers, P., Bartolomaeus, T., Drukewitz, S.H., Kourtesis, I., Weigert, A., Purschke, G., Worsaae, K., Struck, T.H. &amp; Bleidorn, C. 2018 Convergent evolution of the ladder-like ventral nerve cord in Annelida. </w:t>
      </w:r>
      <w:r w:rsidRPr="00A91090">
        <w:rPr>
          <w:rFonts w:asciiTheme="majorBidi" w:hAnsiTheme="majorBidi" w:cstheme="majorBidi"/>
          <w:i/>
        </w:rPr>
        <w:t>Frontiers in Zoology</w:t>
      </w:r>
      <w:r w:rsidRPr="00A91090">
        <w:rPr>
          <w:rFonts w:asciiTheme="majorBidi" w:hAnsiTheme="majorBidi" w:cstheme="majorBidi"/>
        </w:rPr>
        <w:t xml:space="preserve"> </w:t>
      </w:r>
      <w:r w:rsidRPr="00A91090">
        <w:rPr>
          <w:rFonts w:asciiTheme="majorBidi" w:hAnsiTheme="majorBidi" w:cstheme="majorBidi"/>
          <w:b/>
        </w:rPr>
        <w:t>15</w:t>
      </w:r>
      <w:r w:rsidRPr="00A91090">
        <w:rPr>
          <w:rFonts w:asciiTheme="majorBidi" w:hAnsiTheme="majorBidi" w:cstheme="majorBidi"/>
        </w:rPr>
        <w:t>. (doi:10.1186/s12983-018-0280-y).</w:t>
      </w:r>
    </w:p>
    <w:p w14:paraId="63C30F76"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[11] Horká, I., De Grave, S., Fransen, C.H.J.M., Petrusek, A. &amp; Ďuriš, Z. 2018 Multiple origins and strong phenotypic convergence in fish-cleaning palaemonid shrimp lineages.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124</w:t>
      </w:r>
      <w:r w:rsidRPr="00A91090">
        <w:rPr>
          <w:rFonts w:asciiTheme="majorBidi" w:hAnsiTheme="majorBidi" w:cstheme="majorBidi"/>
        </w:rPr>
        <w:t>, 71-81. (doi:10.1016/j.ympev.2018.02.006).</w:t>
      </w:r>
    </w:p>
    <w:p w14:paraId="4D350419"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[12] Jeyarani, J.N., Yohannan, R., Vijayavalli, D., Dwivedi, M.D. &amp; Pandey, A.K. 2018 Phylogenetic analysis and evolution of morphological characters in the genus Jasminum L. (Oleaceae) in India. </w:t>
      </w:r>
      <w:r w:rsidRPr="00A91090">
        <w:rPr>
          <w:rFonts w:asciiTheme="majorBidi" w:hAnsiTheme="majorBidi" w:cstheme="majorBidi"/>
          <w:i/>
        </w:rPr>
        <w:t>Journal of Genetics</w:t>
      </w:r>
      <w:r w:rsidRPr="00A91090">
        <w:rPr>
          <w:rFonts w:asciiTheme="majorBidi" w:hAnsiTheme="majorBidi" w:cstheme="majorBidi"/>
        </w:rPr>
        <w:t xml:space="preserve"> </w:t>
      </w:r>
      <w:r w:rsidRPr="00A91090">
        <w:rPr>
          <w:rFonts w:asciiTheme="majorBidi" w:hAnsiTheme="majorBidi" w:cstheme="majorBidi"/>
          <w:b/>
        </w:rPr>
        <w:t>97</w:t>
      </w:r>
      <w:r w:rsidRPr="00A91090">
        <w:rPr>
          <w:rFonts w:asciiTheme="majorBidi" w:hAnsiTheme="majorBidi" w:cstheme="majorBidi"/>
        </w:rPr>
        <w:t>, 1225-1239. (doi:10.1007/s12041-018-1019-4).</w:t>
      </w:r>
    </w:p>
    <w:p w14:paraId="05EB11F2"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[13] Jiang, F., Liu, Q., Liu, X., Wang, X.H. &amp; Kang, L. 2019 Genomic data reveal high conservation but divergent evolutionary pattern of Polycomb/Trithorax group genes in arthropods. </w:t>
      </w:r>
      <w:r w:rsidRPr="00A91090">
        <w:rPr>
          <w:rFonts w:asciiTheme="majorBidi" w:hAnsiTheme="majorBidi" w:cstheme="majorBidi"/>
          <w:i/>
        </w:rPr>
        <w:t>Insect Science</w:t>
      </w:r>
      <w:r w:rsidRPr="00A91090">
        <w:rPr>
          <w:rFonts w:asciiTheme="majorBidi" w:hAnsiTheme="majorBidi" w:cstheme="majorBidi"/>
        </w:rPr>
        <w:t xml:space="preserve"> </w:t>
      </w:r>
      <w:r w:rsidRPr="00A91090">
        <w:rPr>
          <w:rFonts w:asciiTheme="majorBidi" w:hAnsiTheme="majorBidi" w:cstheme="majorBidi"/>
          <w:b/>
        </w:rPr>
        <w:t>26</w:t>
      </w:r>
      <w:r w:rsidRPr="00A91090">
        <w:rPr>
          <w:rFonts w:asciiTheme="majorBidi" w:hAnsiTheme="majorBidi" w:cstheme="majorBidi"/>
        </w:rPr>
        <w:t>, 20-34. (doi:10.1111/1744-7917.12558).</w:t>
      </w:r>
    </w:p>
    <w:p w14:paraId="261C22BE"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lastRenderedPageBreak/>
        <w:t xml:space="preserve">[14] Kaveh, A., Kazempour-Osaloo, S., Amirahmadi, A., Maassoumi, A. &amp; Schneeweiss, G.M. 2019 Systematics of Onobrychis sect. Heliobrychis (Fabaceae): morphology and molecular phylogeny revisited. </w:t>
      </w:r>
      <w:r w:rsidRPr="00A91090">
        <w:rPr>
          <w:rFonts w:asciiTheme="majorBidi" w:hAnsiTheme="majorBidi" w:cstheme="majorBidi"/>
          <w:i/>
        </w:rPr>
        <w:t>Plant Systematics and Evolution</w:t>
      </w:r>
      <w:r w:rsidRPr="00A91090">
        <w:rPr>
          <w:rFonts w:asciiTheme="majorBidi" w:hAnsiTheme="majorBidi" w:cstheme="majorBidi"/>
        </w:rPr>
        <w:t xml:space="preserve"> </w:t>
      </w:r>
      <w:r w:rsidRPr="00A91090">
        <w:rPr>
          <w:rFonts w:asciiTheme="majorBidi" w:hAnsiTheme="majorBidi" w:cstheme="majorBidi"/>
          <w:b/>
        </w:rPr>
        <w:t>305</w:t>
      </w:r>
      <w:r w:rsidRPr="00A91090">
        <w:rPr>
          <w:rFonts w:asciiTheme="majorBidi" w:hAnsiTheme="majorBidi" w:cstheme="majorBidi"/>
        </w:rPr>
        <w:t>, 33-48. (doi:10.1007/s00606-018-1549-5).</w:t>
      </w:r>
    </w:p>
    <w:p w14:paraId="206DA4D9"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[15] Kayal, E., Bentlage, B., Sabrina Pankey, M., Ohdera, A.H., Medina, M., Plachetzki, D.C., Collins, A.G. &amp; Ryan, J.F. 2018 Phylogenomics provides a robust topology of the major cnidarian lineages and insights on the origins of key organismal traits. </w:t>
      </w:r>
      <w:r w:rsidRPr="00A91090">
        <w:rPr>
          <w:rFonts w:asciiTheme="majorBidi" w:hAnsiTheme="majorBidi" w:cstheme="majorBidi"/>
          <w:i/>
        </w:rPr>
        <w:t>BMC Evolutionary Biology</w:t>
      </w:r>
      <w:r w:rsidRPr="00A91090">
        <w:rPr>
          <w:rFonts w:asciiTheme="majorBidi" w:hAnsiTheme="majorBidi" w:cstheme="majorBidi"/>
        </w:rPr>
        <w:t xml:space="preserve"> </w:t>
      </w:r>
      <w:r w:rsidRPr="00A91090">
        <w:rPr>
          <w:rFonts w:asciiTheme="majorBidi" w:hAnsiTheme="majorBidi" w:cstheme="majorBidi"/>
          <w:b/>
        </w:rPr>
        <w:t>18</w:t>
      </w:r>
      <w:r w:rsidRPr="00A91090">
        <w:rPr>
          <w:rFonts w:asciiTheme="majorBidi" w:hAnsiTheme="majorBidi" w:cstheme="majorBidi"/>
        </w:rPr>
        <w:t>. (doi:10.1186/s12862-018-1142-0).</w:t>
      </w:r>
    </w:p>
    <w:p w14:paraId="2959D9CC"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[16] Kise, H., Maeda, T. &amp; Reimer, J.D. 2019 A phylogeny and the evolution of epizoism within the family Hydrozoanthidae with description of a new genus and two new species.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130</w:t>
      </w:r>
      <w:r w:rsidRPr="00A91090">
        <w:rPr>
          <w:rFonts w:asciiTheme="majorBidi" w:hAnsiTheme="majorBidi" w:cstheme="majorBidi"/>
        </w:rPr>
        <w:t>, 304-314. (doi:10.1016/j.ympev.2018.10.011).</w:t>
      </w:r>
    </w:p>
    <w:p w14:paraId="77052D17"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[17] Kobayashi, G., Goto, R., Takano, T. &amp; Kojima, S. 2018 Molecular phylogeny of Maldanidae (Annelida): Multiple losses of tube-capping plates and evolutionary shifts in habitat depth.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127</w:t>
      </w:r>
      <w:r w:rsidRPr="00A91090">
        <w:rPr>
          <w:rFonts w:asciiTheme="majorBidi" w:hAnsiTheme="majorBidi" w:cstheme="majorBidi"/>
        </w:rPr>
        <w:t>, 332-344. (doi:10.1016/j.ympev.2018.04.036).</w:t>
      </w:r>
    </w:p>
    <w:p w14:paraId="1C9FBE39"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[18] Li, H., Sosa-Calvo, J., Horn, H.A., Pupo, M.T., Clardy, J., Rabeling, C., Schultz, T.R. &amp; Currie, C.R. 2018 Convergent evolution of complex structures for ant-bacterial defensive symbiosis in fungus-farming ants. </w:t>
      </w:r>
      <w:r w:rsidRPr="00A91090">
        <w:rPr>
          <w:rFonts w:asciiTheme="majorBidi" w:hAnsiTheme="majorBidi" w:cstheme="majorBidi"/>
          <w:i/>
        </w:rPr>
        <w:t>Proceedings of the National Academy of Sciences of the United States of America</w:t>
      </w:r>
      <w:r w:rsidRPr="00A91090">
        <w:rPr>
          <w:rFonts w:asciiTheme="majorBidi" w:hAnsiTheme="majorBidi" w:cstheme="majorBidi"/>
        </w:rPr>
        <w:t xml:space="preserve"> </w:t>
      </w:r>
      <w:r w:rsidRPr="00A91090">
        <w:rPr>
          <w:rFonts w:asciiTheme="majorBidi" w:hAnsiTheme="majorBidi" w:cstheme="majorBidi"/>
          <w:b/>
        </w:rPr>
        <w:t>115</w:t>
      </w:r>
      <w:r w:rsidRPr="00A91090">
        <w:rPr>
          <w:rFonts w:asciiTheme="majorBidi" w:hAnsiTheme="majorBidi" w:cstheme="majorBidi"/>
        </w:rPr>
        <w:t>, 10720-10725. (doi:10.1073/pnas.1809332115).</w:t>
      </w:r>
    </w:p>
    <w:p w14:paraId="375155B8"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[19] Lusa, M.G., Loeuille, B.F.P. &amp; Appezzato-da-Glória, B. 2018 First record of phytomelanin in aerial vegetative organs and its evolutionary implications in Lychnophorinae (Vernonieae: Asteraceae). </w:t>
      </w:r>
      <w:r w:rsidRPr="00A91090">
        <w:rPr>
          <w:rFonts w:asciiTheme="majorBidi" w:hAnsiTheme="majorBidi" w:cstheme="majorBidi"/>
          <w:i/>
        </w:rPr>
        <w:t>Perspectives in Plant Ecology, Evolution and Systematics</w:t>
      </w:r>
      <w:r w:rsidRPr="00A91090">
        <w:rPr>
          <w:rFonts w:asciiTheme="majorBidi" w:hAnsiTheme="majorBidi" w:cstheme="majorBidi"/>
        </w:rPr>
        <w:t xml:space="preserve"> </w:t>
      </w:r>
      <w:r w:rsidRPr="00A91090">
        <w:rPr>
          <w:rFonts w:asciiTheme="majorBidi" w:hAnsiTheme="majorBidi" w:cstheme="majorBidi"/>
          <w:b/>
        </w:rPr>
        <w:t>33</w:t>
      </w:r>
      <w:r w:rsidRPr="00A91090">
        <w:rPr>
          <w:rFonts w:asciiTheme="majorBidi" w:hAnsiTheme="majorBidi" w:cstheme="majorBidi"/>
        </w:rPr>
        <w:t>, 18-33. (doi:10.1016/j.ppees.2018.04.006).</w:t>
      </w:r>
    </w:p>
    <w:p w14:paraId="4652327C"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[20] Lusa, M.G., Loeuille, B.F.P., Ciccarelli, D. &amp; Appezzato-da-Glória, B. 2018 Evolution of Stem and Leaf Structural Diversity: a Case Study in Lychnophorinae (Asteraceae). </w:t>
      </w:r>
      <w:r w:rsidRPr="00A91090">
        <w:rPr>
          <w:rFonts w:asciiTheme="majorBidi" w:hAnsiTheme="majorBidi" w:cstheme="majorBidi"/>
          <w:i/>
        </w:rPr>
        <w:t>Botanical Review</w:t>
      </w:r>
      <w:r w:rsidRPr="00A91090">
        <w:rPr>
          <w:rFonts w:asciiTheme="majorBidi" w:hAnsiTheme="majorBidi" w:cstheme="majorBidi"/>
        </w:rPr>
        <w:t xml:space="preserve"> </w:t>
      </w:r>
      <w:r w:rsidRPr="00A91090">
        <w:rPr>
          <w:rFonts w:asciiTheme="majorBidi" w:hAnsiTheme="majorBidi" w:cstheme="majorBidi"/>
          <w:b/>
        </w:rPr>
        <w:t>84</w:t>
      </w:r>
      <w:r w:rsidRPr="00A91090">
        <w:rPr>
          <w:rFonts w:asciiTheme="majorBidi" w:hAnsiTheme="majorBidi" w:cstheme="majorBidi"/>
        </w:rPr>
        <w:t>, 203-241. (doi:10.1007/s12229-017-9191-4).</w:t>
      </w:r>
    </w:p>
    <w:p w14:paraId="5A679331"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[21] Maciel, J.R., Louzada, R.B., Benko-Iseppon, A.M., Zizka, G. &amp; Alves, M. 2018 Polyphyly and morphological convergence in Atlantic Forest species of Aechmea subgenus Chevaliera (Bromeliaceae). </w:t>
      </w:r>
      <w:r w:rsidRPr="00A91090">
        <w:rPr>
          <w:rFonts w:asciiTheme="majorBidi" w:hAnsiTheme="majorBidi" w:cstheme="majorBidi"/>
          <w:i/>
        </w:rPr>
        <w:t>Botanical Journal of the Linnean Society</w:t>
      </w:r>
      <w:r w:rsidRPr="00A91090">
        <w:rPr>
          <w:rFonts w:asciiTheme="majorBidi" w:hAnsiTheme="majorBidi" w:cstheme="majorBidi"/>
        </w:rPr>
        <w:t xml:space="preserve"> </w:t>
      </w:r>
      <w:r w:rsidRPr="00A91090">
        <w:rPr>
          <w:rFonts w:asciiTheme="majorBidi" w:hAnsiTheme="majorBidi" w:cstheme="majorBidi"/>
          <w:b/>
        </w:rPr>
        <w:t>188</w:t>
      </w:r>
      <w:r w:rsidRPr="00A91090">
        <w:rPr>
          <w:rFonts w:asciiTheme="majorBidi" w:hAnsiTheme="majorBidi" w:cstheme="majorBidi"/>
        </w:rPr>
        <w:t>, 281-295. (doi:10.1093/botlinnean/boy053).</w:t>
      </w:r>
    </w:p>
    <w:p w14:paraId="528697F7"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[22] Monson, T.A. &amp; Hlusko, L.J. 2018 Breaking the rules: Phylogeny, not life history, explains dental eruption sequence in primates. </w:t>
      </w:r>
      <w:r w:rsidRPr="00A91090">
        <w:rPr>
          <w:rFonts w:asciiTheme="majorBidi" w:hAnsiTheme="majorBidi" w:cstheme="majorBidi"/>
          <w:i/>
        </w:rPr>
        <w:t>American Journal of Physical Anthropology</w:t>
      </w:r>
      <w:r w:rsidRPr="00A91090">
        <w:rPr>
          <w:rFonts w:asciiTheme="majorBidi" w:hAnsiTheme="majorBidi" w:cstheme="majorBidi"/>
        </w:rPr>
        <w:t xml:space="preserve"> </w:t>
      </w:r>
      <w:r w:rsidRPr="00A91090">
        <w:rPr>
          <w:rFonts w:asciiTheme="majorBidi" w:hAnsiTheme="majorBidi" w:cstheme="majorBidi"/>
          <w:b/>
        </w:rPr>
        <w:t>167</w:t>
      </w:r>
      <w:r w:rsidRPr="00A91090">
        <w:rPr>
          <w:rFonts w:asciiTheme="majorBidi" w:hAnsiTheme="majorBidi" w:cstheme="majorBidi"/>
        </w:rPr>
        <w:t>, 217-233. (doi:10.1002/ajpa.23618).</w:t>
      </w:r>
    </w:p>
    <w:p w14:paraId="1080BE6B"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[23] Nagel, J.H., Wingfield, M.J. &amp; Slippers, B. 2018 Evolution of the mating types and mating strategies in prominent genera in the Botryosphaeriaceae. </w:t>
      </w:r>
      <w:r w:rsidRPr="00A91090">
        <w:rPr>
          <w:rFonts w:asciiTheme="majorBidi" w:hAnsiTheme="majorBidi" w:cstheme="majorBidi"/>
          <w:i/>
        </w:rPr>
        <w:t>Fungal Genetics and Biology</w:t>
      </w:r>
      <w:r w:rsidRPr="00A91090">
        <w:rPr>
          <w:rFonts w:asciiTheme="majorBidi" w:hAnsiTheme="majorBidi" w:cstheme="majorBidi"/>
        </w:rPr>
        <w:t xml:space="preserve"> </w:t>
      </w:r>
      <w:r w:rsidRPr="00A91090">
        <w:rPr>
          <w:rFonts w:asciiTheme="majorBidi" w:hAnsiTheme="majorBidi" w:cstheme="majorBidi"/>
          <w:b/>
        </w:rPr>
        <w:t>114</w:t>
      </w:r>
      <w:r w:rsidRPr="00A91090">
        <w:rPr>
          <w:rFonts w:asciiTheme="majorBidi" w:hAnsiTheme="majorBidi" w:cstheme="majorBidi"/>
        </w:rPr>
        <w:t>, 24-33. (doi:10.1016/j.fgb.2018.03.003).</w:t>
      </w:r>
    </w:p>
    <w:p w14:paraId="3615C0A0"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[24] Ortiz, D., Francke, O.F. &amp; Bond, J.E. 2018 A tangle of forms and phylogeny: Extensive morphological homoplasy and molecular clock heterogeneity in Bonnetina and related tarantulas.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127</w:t>
      </w:r>
      <w:r w:rsidRPr="00A91090">
        <w:rPr>
          <w:rFonts w:asciiTheme="majorBidi" w:hAnsiTheme="majorBidi" w:cstheme="majorBidi"/>
        </w:rPr>
        <w:t>, 55-73. (doi:10.1016/j.ympev.2018.05.013).</w:t>
      </w:r>
    </w:p>
    <w:p w14:paraId="7B8B84FA"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[25] Pérez-González, S., Andújar, C. &amp; Zaballos, J.P. 2018 Hidden biodiversity: total evidence phylogenetics and evolution of morphological traits in a highly diverse lineage of endogean ground beetles, Typhlocharis Dieck, 1869 (Carabidae, Trechinae, Anillini). </w:t>
      </w:r>
      <w:r w:rsidRPr="00A91090">
        <w:rPr>
          <w:rFonts w:asciiTheme="majorBidi" w:hAnsiTheme="majorBidi" w:cstheme="majorBidi"/>
          <w:i/>
        </w:rPr>
        <w:t>Cladistics</w:t>
      </w:r>
      <w:r w:rsidRPr="00A91090">
        <w:rPr>
          <w:rFonts w:asciiTheme="majorBidi" w:hAnsiTheme="majorBidi" w:cstheme="majorBidi"/>
        </w:rPr>
        <w:t xml:space="preserve"> </w:t>
      </w:r>
      <w:r w:rsidRPr="00A91090">
        <w:rPr>
          <w:rFonts w:asciiTheme="majorBidi" w:hAnsiTheme="majorBidi" w:cstheme="majorBidi"/>
          <w:b/>
        </w:rPr>
        <w:t>34</w:t>
      </w:r>
      <w:r w:rsidRPr="00A91090">
        <w:rPr>
          <w:rFonts w:asciiTheme="majorBidi" w:hAnsiTheme="majorBidi" w:cstheme="majorBidi"/>
        </w:rPr>
        <w:t>, 359-383. (doi:10.1111/cla.12208).</w:t>
      </w:r>
    </w:p>
    <w:p w14:paraId="32795645"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[26] Schafran, P.W., Zimmer, E.A., Taylor, W.C. &amp; Musselman, L.J. 2018 A Whole Chloroplast Genome Phylogeny of Diploid Species of Isoëtes (Isoëtaceae, Lycopodiophyta) in the Southeastern United States. </w:t>
      </w:r>
      <w:r w:rsidRPr="00A91090">
        <w:rPr>
          <w:rFonts w:asciiTheme="majorBidi" w:hAnsiTheme="majorBidi" w:cstheme="majorBidi"/>
          <w:i/>
        </w:rPr>
        <w:t>Castanea</w:t>
      </w:r>
      <w:r w:rsidRPr="00A91090">
        <w:rPr>
          <w:rFonts w:asciiTheme="majorBidi" w:hAnsiTheme="majorBidi" w:cstheme="majorBidi"/>
        </w:rPr>
        <w:t xml:space="preserve"> </w:t>
      </w:r>
      <w:r w:rsidRPr="00A91090">
        <w:rPr>
          <w:rFonts w:asciiTheme="majorBidi" w:hAnsiTheme="majorBidi" w:cstheme="majorBidi"/>
          <w:b/>
        </w:rPr>
        <w:t>83</w:t>
      </w:r>
      <w:r w:rsidRPr="00A91090">
        <w:rPr>
          <w:rFonts w:asciiTheme="majorBidi" w:hAnsiTheme="majorBidi" w:cstheme="majorBidi"/>
        </w:rPr>
        <w:t>, 224-235. (doi:10.2179/17-132).</w:t>
      </w:r>
    </w:p>
    <w:p w14:paraId="73EF5AD2"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[27] Silva-Luz, C.L.D., Pirani, J.R., Mitchell, J.D., Daly, D., Capelli, N.D.V., Demarco, D., Pell, S.K. &amp; Plunkett, G.M. 2019 Phylogeny of Schinus L. (Anacardiaceae) with a new infrageneric classification and </w:t>
      </w:r>
      <w:r w:rsidRPr="00A91090">
        <w:rPr>
          <w:rFonts w:asciiTheme="majorBidi" w:hAnsiTheme="majorBidi" w:cstheme="majorBidi"/>
        </w:rPr>
        <w:lastRenderedPageBreak/>
        <w:t xml:space="preserve">insights into evolution of spinescence and floral traits.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133</w:t>
      </w:r>
      <w:r w:rsidRPr="00A91090">
        <w:rPr>
          <w:rFonts w:asciiTheme="majorBidi" w:hAnsiTheme="majorBidi" w:cstheme="majorBidi"/>
        </w:rPr>
        <w:t>, 302-351. (doi:10.1016/j.ympev.2018.10.013).</w:t>
      </w:r>
    </w:p>
    <w:p w14:paraId="407C2E9D"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[28] Soliz, M.C., Ponssa, M.L. &amp; Abdala, V. 2018 Comparative anatomy and development of pectoral and pelvic girdles in hylid anurans. </w:t>
      </w:r>
      <w:r w:rsidRPr="00A91090">
        <w:rPr>
          <w:rFonts w:asciiTheme="majorBidi" w:hAnsiTheme="majorBidi" w:cstheme="majorBidi"/>
          <w:i/>
        </w:rPr>
        <w:t>Journal of Morphology</w:t>
      </w:r>
      <w:r w:rsidRPr="00A91090">
        <w:rPr>
          <w:rFonts w:asciiTheme="majorBidi" w:hAnsiTheme="majorBidi" w:cstheme="majorBidi"/>
        </w:rPr>
        <w:t xml:space="preserve"> </w:t>
      </w:r>
      <w:r w:rsidRPr="00A91090">
        <w:rPr>
          <w:rFonts w:asciiTheme="majorBidi" w:hAnsiTheme="majorBidi" w:cstheme="majorBidi"/>
          <w:b/>
        </w:rPr>
        <w:t>279</w:t>
      </w:r>
      <w:r w:rsidRPr="00A91090">
        <w:rPr>
          <w:rFonts w:asciiTheme="majorBidi" w:hAnsiTheme="majorBidi" w:cstheme="majorBidi"/>
        </w:rPr>
        <w:t>, 904-924. (doi:10.1002/jmor.20820).</w:t>
      </w:r>
    </w:p>
    <w:p w14:paraId="77150E7B"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[29] Sosa-Calvo, J., Fernández, F. &amp; Schultz, T.R. 2019 Phylogeny and evolution of the cryptic fungus-farming ant genus Myrmicocrypta F. Smith (Hymenoptera: Formicidae) inferred from multilocus data. </w:t>
      </w:r>
      <w:r w:rsidRPr="00A91090">
        <w:rPr>
          <w:rFonts w:asciiTheme="majorBidi" w:hAnsiTheme="majorBidi" w:cstheme="majorBidi"/>
          <w:i/>
        </w:rPr>
        <w:t>Systematic Entomology</w:t>
      </w:r>
      <w:r w:rsidRPr="00A91090">
        <w:rPr>
          <w:rFonts w:asciiTheme="majorBidi" w:hAnsiTheme="majorBidi" w:cstheme="majorBidi"/>
        </w:rPr>
        <w:t xml:space="preserve"> </w:t>
      </w:r>
      <w:r w:rsidRPr="00A91090">
        <w:rPr>
          <w:rFonts w:asciiTheme="majorBidi" w:hAnsiTheme="majorBidi" w:cstheme="majorBidi"/>
          <w:b/>
        </w:rPr>
        <w:t>44</w:t>
      </w:r>
      <w:r w:rsidRPr="00A91090">
        <w:rPr>
          <w:rFonts w:asciiTheme="majorBidi" w:hAnsiTheme="majorBidi" w:cstheme="majorBidi"/>
        </w:rPr>
        <w:t>, 139-162. (doi:10.1111/syen.12313).</w:t>
      </w:r>
    </w:p>
    <w:p w14:paraId="7DD96F87"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[30] Testo, W., Øllgaard, B., Field, A., Almeida, T., Kessler, M. &amp; Barrington, D. 2018 Phylogenetic systematics, morphological evolution, and natural groups in neotropical </w:t>
      </w:r>
      <w:r w:rsidRPr="00A91090">
        <w:rPr>
          <w:rFonts w:asciiTheme="majorBidi" w:hAnsiTheme="majorBidi" w:cstheme="majorBidi"/>
          <w:i/>
          <w:iCs/>
        </w:rPr>
        <w:t>Phlegmariurus</w:t>
      </w:r>
      <w:r w:rsidRPr="00A91090">
        <w:rPr>
          <w:rFonts w:asciiTheme="majorBidi" w:hAnsiTheme="majorBidi" w:cstheme="majorBidi"/>
        </w:rPr>
        <w:t xml:space="preserve"> (Lycopodiaceae).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125</w:t>
      </w:r>
      <w:r w:rsidRPr="00A91090">
        <w:rPr>
          <w:rFonts w:asciiTheme="majorBidi" w:hAnsiTheme="majorBidi" w:cstheme="majorBidi"/>
        </w:rPr>
        <w:t>, 1-13. (doi:10.1016/j.ympev.2018.03.016).</w:t>
      </w:r>
    </w:p>
    <w:p w14:paraId="19988F26"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[31] Tseng, Y.H., Monro, A.K., Wei, Y.G. &amp; Hu, J.M. 2019 Molecular phylogeny and morphology of Elatostema s.l. (Urticaceae): Implications for inter- and infrageneric classifications. </w:t>
      </w:r>
      <w:r w:rsidRPr="00A91090">
        <w:rPr>
          <w:rFonts w:asciiTheme="majorBidi" w:hAnsiTheme="majorBidi" w:cstheme="majorBidi"/>
          <w:i/>
        </w:rPr>
        <w:t>Molecular Phylogenetics and Evolution</w:t>
      </w:r>
      <w:r w:rsidRPr="00A91090">
        <w:rPr>
          <w:rFonts w:asciiTheme="majorBidi" w:hAnsiTheme="majorBidi" w:cstheme="majorBidi"/>
        </w:rPr>
        <w:t xml:space="preserve"> </w:t>
      </w:r>
      <w:r w:rsidRPr="00A91090">
        <w:rPr>
          <w:rFonts w:asciiTheme="majorBidi" w:hAnsiTheme="majorBidi" w:cstheme="majorBidi"/>
          <w:b/>
        </w:rPr>
        <w:t>132</w:t>
      </w:r>
      <w:r w:rsidRPr="00A91090">
        <w:rPr>
          <w:rFonts w:asciiTheme="majorBidi" w:hAnsiTheme="majorBidi" w:cstheme="majorBidi"/>
        </w:rPr>
        <w:t>, 251-264. (doi:10.1016/j.ympev.2018.11.016).</w:t>
      </w:r>
    </w:p>
    <w:p w14:paraId="0CB85716" w14:textId="77777777"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[32] Yang, F., Chang, W., Hayashi, F., Gillung, J., Jiang, Y., Yang, D. &amp; Liu, X. 2018 Evolutionary history of the complex polymorphic dobsonfly genus Neoneuromus (Megaloptera: Corydalidae). </w:t>
      </w:r>
      <w:r w:rsidRPr="00A91090">
        <w:rPr>
          <w:rFonts w:asciiTheme="majorBidi" w:hAnsiTheme="majorBidi" w:cstheme="majorBidi"/>
          <w:i/>
        </w:rPr>
        <w:t>Systematic Entomology</w:t>
      </w:r>
      <w:r w:rsidRPr="00A91090">
        <w:rPr>
          <w:rFonts w:asciiTheme="majorBidi" w:hAnsiTheme="majorBidi" w:cstheme="majorBidi"/>
        </w:rPr>
        <w:t xml:space="preserve"> </w:t>
      </w:r>
      <w:r w:rsidRPr="00A91090">
        <w:rPr>
          <w:rFonts w:asciiTheme="majorBidi" w:hAnsiTheme="majorBidi" w:cstheme="majorBidi"/>
          <w:b/>
        </w:rPr>
        <w:t>43</w:t>
      </w:r>
      <w:r w:rsidRPr="00A91090">
        <w:rPr>
          <w:rFonts w:asciiTheme="majorBidi" w:hAnsiTheme="majorBidi" w:cstheme="majorBidi"/>
        </w:rPr>
        <w:t>, 568-595. (doi:10.1111/syen.12287).</w:t>
      </w:r>
    </w:p>
    <w:p w14:paraId="16F195E6" w14:textId="314BE394" w:rsidR="00AC6209" w:rsidRPr="00A91090" w:rsidRDefault="00AC6209" w:rsidP="00AC6209">
      <w:pPr>
        <w:pStyle w:val="EndNoteBibliography"/>
        <w:spacing w:after="120" w:line="288" w:lineRule="auto"/>
        <w:rPr>
          <w:rFonts w:asciiTheme="majorBidi" w:hAnsiTheme="majorBidi" w:cstheme="majorBidi"/>
        </w:rPr>
      </w:pPr>
      <w:r w:rsidRPr="00A91090">
        <w:rPr>
          <w:rFonts w:asciiTheme="majorBidi" w:hAnsiTheme="majorBidi" w:cstheme="majorBidi"/>
        </w:rPr>
        <w:t xml:space="preserve">[33] Zattara, E.E., Fernández-Álvarez, F.A., Hiebert, T.C., Bely, A.E. &amp; Norenburg, J.L. 2019 A phylum-wide survey reveals multiple independent gains of head regeneration in Nemertea. </w:t>
      </w:r>
      <w:r w:rsidRPr="00A91090">
        <w:rPr>
          <w:rFonts w:asciiTheme="majorBidi" w:hAnsiTheme="majorBidi" w:cstheme="majorBidi"/>
          <w:i/>
        </w:rPr>
        <w:t>Proceedings. Biological \Sciences</w:t>
      </w:r>
      <w:r w:rsidRPr="00A91090">
        <w:rPr>
          <w:rFonts w:asciiTheme="majorBidi" w:hAnsiTheme="majorBidi" w:cstheme="majorBidi"/>
        </w:rPr>
        <w:t xml:space="preserve"> </w:t>
      </w:r>
      <w:r w:rsidRPr="00A91090">
        <w:rPr>
          <w:rFonts w:asciiTheme="majorBidi" w:hAnsiTheme="majorBidi" w:cstheme="majorBidi"/>
          <w:b/>
        </w:rPr>
        <w:t>286</w:t>
      </w:r>
      <w:r w:rsidRPr="00A91090">
        <w:rPr>
          <w:rFonts w:asciiTheme="majorBidi" w:hAnsiTheme="majorBidi" w:cstheme="majorBidi"/>
        </w:rPr>
        <w:t>, 20182524. (doi:10.1098/rspb.2018.2524).</w:t>
      </w:r>
    </w:p>
    <w:p w14:paraId="16320C9F" w14:textId="4568AB2C" w:rsidR="00C13832" w:rsidRPr="00A91090" w:rsidRDefault="007F4134" w:rsidP="007F4134">
      <w:pPr>
        <w:rPr>
          <w:rFonts w:asciiTheme="majorBidi" w:eastAsia="Times New Roman" w:hAnsiTheme="majorBidi" w:cstheme="majorBidi"/>
        </w:rPr>
      </w:pPr>
      <w:r w:rsidRPr="00A91090">
        <w:rPr>
          <w:rFonts w:asciiTheme="majorBidi" w:eastAsia="Times New Roman" w:hAnsiTheme="majorBidi" w:cstheme="majorBidi"/>
        </w:rPr>
        <w:fldChar w:fldCharType="begin"/>
      </w:r>
      <w:r w:rsidRPr="00A91090">
        <w:rPr>
          <w:rFonts w:asciiTheme="majorBidi" w:eastAsia="Times New Roman" w:hAnsiTheme="majorBidi" w:cstheme="majorBidi"/>
        </w:rPr>
        <w:instrText xml:space="preserve"> ADDIN EN.REFLIST </w:instrText>
      </w:r>
      <w:r w:rsidRPr="00A91090">
        <w:rPr>
          <w:rFonts w:asciiTheme="majorBidi" w:eastAsia="Times New Roman" w:hAnsiTheme="majorBidi" w:cstheme="majorBidi"/>
        </w:rPr>
        <w:fldChar w:fldCharType="end"/>
      </w:r>
    </w:p>
    <w:sectPr w:rsidR="00C13832" w:rsidRPr="00A91090" w:rsidSect="002056A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roc R Soc 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tv9fape59ateeerx4xp2atpv2eesf9s50f&quot;&gt;My EndNote Library-Saved&lt;record-ids&gt;&lt;item&gt;11939&lt;/item&gt;&lt;item&gt;11940&lt;/item&gt;&lt;item&gt;11942&lt;/item&gt;&lt;item&gt;11943&lt;/item&gt;&lt;item&gt;11945&lt;/item&gt;&lt;item&gt;11946&lt;/item&gt;&lt;item&gt;11947&lt;/item&gt;&lt;item&gt;11948&lt;/item&gt;&lt;item&gt;11949&lt;/item&gt;&lt;item&gt;11951&lt;/item&gt;&lt;item&gt;11952&lt;/item&gt;&lt;item&gt;11953&lt;/item&gt;&lt;item&gt;11954&lt;/item&gt;&lt;item&gt;11955&lt;/item&gt;&lt;item&gt;11956&lt;/item&gt;&lt;item&gt;11957&lt;/item&gt;&lt;item&gt;11958&lt;/item&gt;&lt;item&gt;11959&lt;/item&gt;&lt;item&gt;11961&lt;/item&gt;&lt;item&gt;11962&lt;/item&gt;&lt;item&gt;11963&lt;/item&gt;&lt;item&gt;11964&lt;/item&gt;&lt;item&gt;11965&lt;/item&gt;&lt;item&gt;11966&lt;/item&gt;&lt;item&gt;11967&lt;/item&gt;&lt;item&gt;11980&lt;/item&gt;&lt;item&gt;11981&lt;/item&gt;&lt;item&gt;11982&lt;/item&gt;&lt;item&gt;11983&lt;/item&gt;&lt;item&gt;11984&lt;/item&gt;&lt;item&gt;12017&lt;/item&gt;&lt;item&gt;12019&lt;/item&gt;&lt;item&gt;12020&lt;/item&gt;&lt;/record-ids&gt;&lt;/item&gt;&lt;/Libraries&gt;"/>
  </w:docVars>
  <w:rsids>
    <w:rsidRoot w:val="003D1365"/>
    <w:rsid w:val="00073B67"/>
    <w:rsid w:val="00082EB1"/>
    <w:rsid w:val="00096571"/>
    <w:rsid w:val="000A3C17"/>
    <w:rsid w:val="000B28F5"/>
    <w:rsid w:val="000D45EB"/>
    <w:rsid w:val="000D589F"/>
    <w:rsid w:val="000F7B57"/>
    <w:rsid w:val="00131ED3"/>
    <w:rsid w:val="0020508C"/>
    <w:rsid w:val="002056AE"/>
    <w:rsid w:val="002077B0"/>
    <w:rsid w:val="00224823"/>
    <w:rsid w:val="0022597D"/>
    <w:rsid w:val="00231603"/>
    <w:rsid w:val="00240DAC"/>
    <w:rsid w:val="00271278"/>
    <w:rsid w:val="00277ED2"/>
    <w:rsid w:val="002B4228"/>
    <w:rsid w:val="00341DD1"/>
    <w:rsid w:val="00342C62"/>
    <w:rsid w:val="00351674"/>
    <w:rsid w:val="00391E5C"/>
    <w:rsid w:val="003B1A5A"/>
    <w:rsid w:val="003D1365"/>
    <w:rsid w:val="004364D2"/>
    <w:rsid w:val="00457AC3"/>
    <w:rsid w:val="00470FDE"/>
    <w:rsid w:val="004737B1"/>
    <w:rsid w:val="0048670A"/>
    <w:rsid w:val="00486872"/>
    <w:rsid w:val="004B2E48"/>
    <w:rsid w:val="004D7C2A"/>
    <w:rsid w:val="004F6B54"/>
    <w:rsid w:val="00511F0F"/>
    <w:rsid w:val="00512290"/>
    <w:rsid w:val="0059022B"/>
    <w:rsid w:val="005D1B37"/>
    <w:rsid w:val="006144CC"/>
    <w:rsid w:val="0063727D"/>
    <w:rsid w:val="00656879"/>
    <w:rsid w:val="00677CE3"/>
    <w:rsid w:val="00726004"/>
    <w:rsid w:val="00797DBC"/>
    <w:rsid w:val="007E19AD"/>
    <w:rsid w:val="007F4134"/>
    <w:rsid w:val="007F623B"/>
    <w:rsid w:val="0080660C"/>
    <w:rsid w:val="00814057"/>
    <w:rsid w:val="00831388"/>
    <w:rsid w:val="008424F7"/>
    <w:rsid w:val="00850AC2"/>
    <w:rsid w:val="0085513C"/>
    <w:rsid w:val="00873357"/>
    <w:rsid w:val="00881034"/>
    <w:rsid w:val="008978CD"/>
    <w:rsid w:val="008C7599"/>
    <w:rsid w:val="00933379"/>
    <w:rsid w:val="00933EDD"/>
    <w:rsid w:val="00937BD8"/>
    <w:rsid w:val="00940769"/>
    <w:rsid w:val="00982312"/>
    <w:rsid w:val="009C218F"/>
    <w:rsid w:val="009D60F6"/>
    <w:rsid w:val="009E0F04"/>
    <w:rsid w:val="009F1C5B"/>
    <w:rsid w:val="00A267EF"/>
    <w:rsid w:val="00A67A2F"/>
    <w:rsid w:val="00A73146"/>
    <w:rsid w:val="00A91090"/>
    <w:rsid w:val="00A91DBC"/>
    <w:rsid w:val="00A927AF"/>
    <w:rsid w:val="00A93F83"/>
    <w:rsid w:val="00AA5C92"/>
    <w:rsid w:val="00AB1926"/>
    <w:rsid w:val="00AC6209"/>
    <w:rsid w:val="00AF19FE"/>
    <w:rsid w:val="00B01341"/>
    <w:rsid w:val="00B138F7"/>
    <w:rsid w:val="00B53E9D"/>
    <w:rsid w:val="00B74AF2"/>
    <w:rsid w:val="00BD3E61"/>
    <w:rsid w:val="00BE7191"/>
    <w:rsid w:val="00C13832"/>
    <w:rsid w:val="00C652BE"/>
    <w:rsid w:val="00C83332"/>
    <w:rsid w:val="00CA05AC"/>
    <w:rsid w:val="00CE466E"/>
    <w:rsid w:val="00D02110"/>
    <w:rsid w:val="00DB27EF"/>
    <w:rsid w:val="00DB345A"/>
    <w:rsid w:val="00DE7D0D"/>
    <w:rsid w:val="00E844F4"/>
    <w:rsid w:val="00EE7C4E"/>
    <w:rsid w:val="00F51409"/>
    <w:rsid w:val="00F64CF8"/>
    <w:rsid w:val="00F64DC2"/>
    <w:rsid w:val="00FA63A1"/>
    <w:rsid w:val="00FE5F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0112"/>
  <w15:docId w15:val="{DD6A42C6-F928-4D5A-A8CF-03433F0F0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0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1341"/>
    <w:pPr>
      <w:spacing w:after="0" w:line="240" w:lineRule="auto"/>
    </w:pPr>
    <w:rPr>
      <w:rFonts w:ascii="Arial" w:eastAsia="Arial" w:hAnsi="Arial" w:cs="Arial"/>
      <w:color w:val="00000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8F7"/>
    <w:rPr>
      <w:rFonts w:ascii="Tahoma" w:hAnsi="Tahoma" w:cs="Tahoma"/>
      <w:sz w:val="16"/>
      <w:szCs w:val="16"/>
    </w:rPr>
  </w:style>
  <w:style w:type="character" w:styleId="CommentReference">
    <w:name w:val="annotation reference"/>
    <w:basedOn w:val="DefaultParagraphFont"/>
    <w:uiPriority w:val="99"/>
    <w:semiHidden/>
    <w:unhideWhenUsed/>
    <w:qFormat/>
    <w:rsid w:val="00850AC2"/>
    <w:rPr>
      <w:sz w:val="16"/>
      <w:szCs w:val="16"/>
    </w:rPr>
  </w:style>
  <w:style w:type="paragraph" w:styleId="CommentText">
    <w:name w:val="annotation text"/>
    <w:basedOn w:val="Normal"/>
    <w:link w:val="CommentTextChar"/>
    <w:uiPriority w:val="99"/>
    <w:unhideWhenUsed/>
    <w:qFormat/>
    <w:rsid w:val="00850AC2"/>
    <w:pPr>
      <w:spacing w:after="0" w:line="240" w:lineRule="auto"/>
    </w:pPr>
    <w:rPr>
      <w:rFonts w:ascii="Arial" w:eastAsia="Arial" w:hAnsi="Arial" w:cs="Arial"/>
      <w:color w:val="000000"/>
      <w:sz w:val="20"/>
      <w:szCs w:val="20"/>
      <w:lang w:eastAsia="en-AU"/>
    </w:rPr>
  </w:style>
  <w:style w:type="character" w:customStyle="1" w:styleId="CommentTextChar">
    <w:name w:val="Comment Text Char"/>
    <w:basedOn w:val="DefaultParagraphFont"/>
    <w:link w:val="CommentText"/>
    <w:uiPriority w:val="99"/>
    <w:qFormat/>
    <w:rsid w:val="00850AC2"/>
    <w:rPr>
      <w:rFonts w:ascii="Arial" w:eastAsia="Arial" w:hAnsi="Arial" w:cs="Arial"/>
      <w:color w:val="000000"/>
      <w:sz w:val="20"/>
      <w:szCs w:val="20"/>
      <w:lang w:eastAsia="en-AU"/>
    </w:rPr>
  </w:style>
  <w:style w:type="paragraph" w:styleId="CommentSubject">
    <w:name w:val="annotation subject"/>
    <w:basedOn w:val="CommentText"/>
    <w:next w:val="CommentText"/>
    <w:link w:val="CommentSubjectChar"/>
    <w:uiPriority w:val="99"/>
    <w:semiHidden/>
    <w:unhideWhenUsed/>
    <w:rsid w:val="004737B1"/>
    <w:pPr>
      <w:spacing w:after="20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4737B1"/>
    <w:rPr>
      <w:rFonts w:ascii="Arial" w:eastAsia="Arial" w:hAnsi="Arial" w:cs="Arial"/>
      <w:b/>
      <w:bCs/>
      <w:color w:val="000000"/>
      <w:sz w:val="20"/>
      <w:szCs w:val="20"/>
      <w:lang w:eastAsia="en-AU"/>
    </w:rPr>
  </w:style>
  <w:style w:type="paragraph" w:styleId="Revision">
    <w:name w:val="Revision"/>
    <w:hidden/>
    <w:uiPriority w:val="99"/>
    <w:semiHidden/>
    <w:rsid w:val="0063727D"/>
    <w:pPr>
      <w:spacing w:after="0" w:line="240" w:lineRule="auto"/>
    </w:pPr>
  </w:style>
  <w:style w:type="paragraph" w:customStyle="1" w:styleId="EndNoteBibliographyTitle">
    <w:name w:val="EndNote Bibliography Title"/>
    <w:basedOn w:val="Normal"/>
    <w:link w:val="EndNoteBibliographyTitleChar"/>
    <w:rsid w:val="007F413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F4134"/>
    <w:rPr>
      <w:rFonts w:ascii="Calibri" w:hAnsi="Calibri" w:cs="Calibri"/>
      <w:noProof/>
      <w:lang w:val="en-US"/>
    </w:rPr>
  </w:style>
  <w:style w:type="paragraph" w:customStyle="1" w:styleId="EndNoteBibliography">
    <w:name w:val="EndNote Bibliography"/>
    <w:basedOn w:val="Normal"/>
    <w:link w:val="EndNoteBibliographyChar"/>
    <w:rsid w:val="007F413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F4134"/>
    <w:rPr>
      <w:rFonts w:ascii="Calibri" w:hAnsi="Calibri" w:cs="Calibri"/>
      <w:noProof/>
      <w:lang w:val="en-US"/>
    </w:rPr>
  </w:style>
  <w:style w:type="character" w:customStyle="1" w:styleId="InternetLink">
    <w:name w:val="Internet Link"/>
    <w:basedOn w:val="DefaultParagraphFont"/>
    <w:uiPriority w:val="99"/>
    <w:unhideWhenUsed/>
    <w:rsid w:val="004867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2913">
      <w:bodyDiv w:val="1"/>
      <w:marLeft w:val="0"/>
      <w:marRight w:val="0"/>
      <w:marTop w:val="0"/>
      <w:marBottom w:val="0"/>
      <w:divBdr>
        <w:top w:val="none" w:sz="0" w:space="0" w:color="auto"/>
        <w:left w:val="none" w:sz="0" w:space="0" w:color="auto"/>
        <w:bottom w:val="none" w:sz="0" w:space="0" w:color="auto"/>
        <w:right w:val="none" w:sz="0" w:space="0" w:color="auto"/>
      </w:divBdr>
    </w:div>
    <w:div w:id="53709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greg.jordan@utas.edu.au" TargetMode="External"/><Relationship Id="rId9" Type="http://schemas.openxmlformats.org/officeDocument/2006/relationships/image" Target="media/image5.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tas.ad.internal\research\SET\PlantSci\Staff\Greg%20Jordan\in%20progress\saan%20paper\revised\meta%20analysis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tas.ad.internal\research\SET\PlantSci\Staff\Greg%20Jordan\in%20progress\saan%20paper\revised\meta%20analysis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8140857392826"/>
          <c:y val="5.2824074074074072E-2"/>
          <c:w val="0.83246303587051618"/>
          <c:h val="0.67996056239110747"/>
        </c:manualLayout>
      </c:layout>
      <c:barChart>
        <c:barDir val="col"/>
        <c:grouping val="clustered"/>
        <c:varyColors val="0"/>
        <c:ser>
          <c:idx val="0"/>
          <c:order val="0"/>
          <c:spPr>
            <a:solidFill>
              <a:schemeClr val="tx1">
                <a:lumMod val="75000"/>
                <a:lumOff val="25000"/>
              </a:schemeClr>
            </a:solidFill>
            <a:ln>
              <a:noFill/>
            </a:ln>
            <a:effectLst/>
          </c:spPr>
          <c:invertIfNegative val="0"/>
          <c:val>
            <c:numRef>
              <c:f>'new version'!$T$2:$T$11</c:f>
              <c:numCache>
                <c:formatCode>General</c:formatCode>
                <c:ptCount val="10"/>
                <c:pt idx="0">
                  <c:v>0.70422535211267601</c:v>
                </c:pt>
                <c:pt idx="1">
                  <c:v>0.70422535211267601</c:v>
                </c:pt>
                <c:pt idx="2">
                  <c:v>0</c:v>
                </c:pt>
                <c:pt idx="3">
                  <c:v>0</c:v>
                </c:pt>
                <c:pt idx="4">
                  <c:v>2.816901408450704</c:v>
                </c:pt>
                <c:pt idx="5">
                  <c:v>4.929577464788732</c:v>
                </c:pt>
                <c:pt idx="6">
                  <c:v>5.6338028169014081</c:v>
                </c:pt>
                <c:pt idx="7">
                  <c:v>14.084507042253522</c:v>
                </c:pt>
                <c:pt idx="8">
                  <c:v>26.056338028169016</c:v>
                </c:pt>
                <c:pt idx="9">
                  <c:v>45.070422535211264</c:v>
                </c:pt>
              </c:numCache>
            </c:numRef>
          </c:val>
          <c:extLst>
            <c:ext xmlns:c16="http://schemas.microsoft.com/office/drawing/2014/chart" uri="{C3380CC4-5D6E-409C-BE32-E72D297353CC}">
              <c16:uniqueId val="{00000000-F8E6-41FE-978D-429D634E67D7}"/>
            </c:ext>
          </c:extLst>
        </c:ser>
        <c:dLbls>
          <c:showLegendKey val="0"/>
          <c:showVal val="0"/>
          <c:showCatName val="0"/>
          <c:showSerName val="0"/>
          <c:showPercent val="0"/>
          <c:showBubbleSize val="0"/>
        </c:dLbls>
        <c:gapWidth val="219"/>
        <c:overlap val="-27"/>
        <c:axId val="377097624"/>
        <c:axId val="377097296"/>
      </c:barChart>
      <c:catAx>
        <c:axId val="37709762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AU" sz="1100">
                    <a:solidFill>
                      <a:schemeClr val="tx1"/>
                    </a:solidFill>
                  </a:rPr>
                  <a:t>Depth decile of deepest transition</a:t>
                </a:r>
              </a:p>
            </c:rich>
          </c:tx>
          <c:layout>
            <c:manualLayout>
              <c:xMode val="edge"/>
              <c:yMode val="edge"/>
              <c:x val="0.3307545931758531"/>
              <c:y val="0.8961574074074072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77097296"/>
        <c:crosses val="autoZero"/>
        <c:auto val="1"/>
        <c:lblAlgn val="ctr"/>
        <c:lblOffset val="100"/>
        <c:noMultiLvlLbl val="0"/>
      </c:catAx>
      <c:valAx>
        <c:axId val="377097296"/>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AU" sz="1100">
                    <a:solidFill>
                      <a:schemeClr val="tx1"/>
                    </a:solidFill>
                  </a:rPr>
                  <a:t>%of reconstructions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7709762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8140857392826"/>
          <c:y val="5.2824074074074072E-2"/>
          <c:w val="0.83246303587051618"/>
          <c:h val="0.72972670374245174"/>
        </c:manualLayout>
      </c:layout>
      <c:barChart>
        <c:barDir val="col"/>
        <c:grouping val="clustered"/>
        <c:varyColors val="0"/>
        <c:ser>
          <c:idx val="0"/>
          <c:order val="0"/>
          <c:spPr>
            <a:solidFill>
              <a:schemeClr val="tx1">
                <a:lumMod val="75000"/>
                <a:lumOff val="25000"/>
              </a:schemeClr>
            </a:solidFill>
            <a:ln>
              <a:noFill/>
            </a:ln>
            <a:effectLst/>
          </c:spPr>
          <c:invertIfNegative val="0"/>
          <c:cat>
            <c:strRef>
              <c:f>'old version'!$N$15:$N$20</c:f>
              <c:strCache>
                <c:ptCount val="6"/>
                <c:pt idx="0">
                  <c:v>0 - 4</c:v>
                </c:pt>
                <c:pt idx="1">
                  <c:v>5 - 9</c:v>
                </c:pt>
                <c:pt idx="2">
                  <c:v>10 - 14</c:v>
                </c:pt>
                <c:pt idx="3">
                  <c:v>15 - 19</c:v>
                </c:pt>
                <c:pt idx="4">
                  <c:v>20 - 24</c:v>
                </c:pt>
                <c:pt idx="5">
                  <c:v>25 +</c:v>
                </c:pt>
              </c:strCache>
            </c:strRef>
          </c:cat>
          <c:val>
            <c:numRef>
              <c:f>'new version'!$T$15:$T$20</c:f>
              <c:numCache>
                <c:formatCode>General</c:formatCode>
                <c:ptCount val="6"/>
                <c:pt idx="0">
                  <c:v>45.774647887323944</c:v>
                </c:pt>
                <c:pt idx="1">
                  <c:v>40.140845070422536</c:v>
                </c:pt>
                <c:pt idx="2">
                  <c:v>11.267605633802816</c:v>
                </c:pt>
                <c:pt idx="3">
                  <c:v>2.112676056338028</c:v>
                </c:pt>
                <c:pt idx="4">
                  <c:v>0</c:v>
                </c:pt>
                <c:pt idx="5">
                  <c:v>0.70422535211267601</c:v>
                </c:pt>
              </c:numCache>
            </c:numRef>
          </c:val>
          <c:extLst>
            <c:ext xmlns:c16="http://schemas.microsoft.com/office/drawing/2014/chart" uri="{C3380CC4-5D6E-409C-BE32-E72D297353CC}">
              <c16:uniqueId val="{00000000-2D45-46D8-8C75-F2A9A98A847D}"/>
            </c:ext>
          </c:extLst>
        </c:ser>
        <c:dLbls>
          <c:showLegendKey val="0"/>
          <c:showVal val="0"/>
          <c:showCatName val="0"/>
          <c:showSerName val="0"/>
          <c:showPercent val="0"/>
          <c:showBubbleSize val="0"/>
        </c:dLbls>
        <c:gapWidth val="219"/>
        <c:overlap val="-27"/>
        <c:axId val="377097624"/>
        <c:axId val="377097296"/>
      </c:barChart>
      <c:catAx>
        <c:axId val="37709762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AU" sz="1100">
                    <a:solidFill>
                      <a:schemeClr val="tx1"/>
                    </a:solidFill>
                  </a:rPr>
                  <a:t>Transitions (% of total</a:t>
                </a:r>
                <a:r>
                  <a:rPr lang="en-AU" sz="1100" baseline="0">
                    <a:solidFill>
                      <a:schemeClr val="tx1"/>
                    </a:solidFill>
                  </a:rPr>
                  <a:t> number of edges)</a:t>
                </a:r>
                <a:endParaRPr lang="en-AU" sz="1100">
                  <a:solidFill>
                    <a:schemeClr val="tx1"/>
                  </a:solidFill>
                </a:endParaRPr>
              </a:p>
            </c:rich>
          </c:tx>
          <c:layout>
            <c:manualLayout>
              <c:xMode val="edge"/>
              <c:yMode val="edge"/>
              <c:x val="0.28677537182852142"/>
              <c:y val="0.8961574074074072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77097296"/>
        <c:crosses val="autoZero"/>
        <c:auto val="1"/>
        <c:lblAlgn val="ctr"/>
        <c:lblOffset val="100"/>
        <c:noMultiLvlLbl val="0"/>
      </c:catAx>
      <c:valAx>
        <c:axId val="377097296"/>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AU" sz="1100">
                    <a:solidFill>
                      <a:schemeClr val="tx1"/>
                    </a:solidFill>
                  </a:rPr>
                  <a:t>%of reconstructions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7709762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Jordan</dc:creator>
  <cp:lastModifiedBy>Barbara Holland</cp:lastModifiedBy>
  <cp:revision>2</cp:revision>
  <dcterms:created xsi:type="dcterms:W3CDTF">2020-04-03T00:31:00Z</dcterms:created>
  <dcterms:modified xsi:type="dcterms:W3CDTF">2020-04-03T00:31:00Z</dcterms:modified>
</cp:coreProperties>
</file>