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BB535" w14:textId="240ED9D8" w:rsidR="00EB000A" w:rsidRPr="00EB000A" w:rsidRDefault="00EB000A" w:rsidP="00EB000A">
      <w:pPr>
        <w:rPr>
          <w:rFonts w:ascii="Times New Roman" w:hAnsi="Times New Roman"/>
          <w:b/>
          <w:bCs/>
          <w:sz w:val="24"/>
          <w:szCs w:val="24"/>
        </w:rPr>
      </w:pPr>
      <w:r w:rsidRPr="00EB000A">
        <w:rPr>
          <w:rFonts w:ascii="Times New Roman" w:hAnsi="Times New Roman"/>
          <w:b/>
          <w:bCs/>
          <w:sz w:val="24"/>
          <w:szCs w:val="24"/>
        </w:rPr>
        <w:t xml:space="preserve">Histopathological lesions and exposure to </w:t>
      </w:r>
      <w:r w:rsidRPr="00EB000A">
        <w:rPr>
          <w:rFonts w:ascii="Times New Roman" w:hAnsi="Times New Roman"/>
          <w:b/>
          <w:bCs/>
          <w:i/>
          <w:sz w:val="24"/>
          <w:szCs w:val="24"/>
        </w:rPr>
        <w:t>Plasmodium falciparum</w:t>
      </w:r>
      <w:r w:rsidRPr="00EB000A">
        <w:rPr>
          <w:rFonts w:ascii="Times New Roman" w:hAnsi="Times New Roman"/>
          <w:b/>
          <w:bCs/>
          <w:sz w:val="24"/>
          <w:szCs w:val="24"/>
        </w:rPr>
        <w:t xml:space="preserve"> infections in the placenta increases the risk of preeclampsia among pregnant women</w:t>
      </w:r>
    </w:p>
    <w:p w14:paraId="3B01535E" w14:textId="06F6AE74" w:rsidR="000C6CBA" w:rsidRPr="000C6CBA" w:rsidRDefault="00EB000A" w:rsidP="00EB000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vertAlign w:val="superscript"/>
          <w:lang w:val="en-GB"/>
        </w:rPr>
      </w:pPr>
      <w:r>
        <w:rPr>
          <w:rFonts w:ascii="Times New Roman" w:hAnsi="Times New Roman"/>
          <w:color w:val="000000"/>
          <w:sz w:val="24"/>
          <w:szCs w:val="24"/>
        </w:rPr>
        <w:t>Dorotheah Obiri</w:t>
      </w:r>
      <w:r w:rsidRPr="0063650B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,2</w:t>
      </w:r>
      <w:r w:rsidRPr="0063650B">
        <w:rPr>
          <w:rFonts w:ascii="Times New Roman" w:hAnsi="Times New Roman"/>
          <w:color w:val="000000"/>
          <w:sz w:val="24"/>
          <w:szCs w:val="24"/>
          <w:vertAlign w:val="superscript"/>
        </w:rPr>
        <w:t>*</w:t>
      </w:r>
      <w:r w:rsidRPr="006F563F">
        <w:rPr>
          <w:rFonts w:ascii="Times New Roman" w:hAnsi="Times New Roman"/>
          <w:sz w:val="24"/>
          <w:szCs w:val="24"/>
          <w:lang w:val="en-GB"/>
        </w:rPr>
        <w:t>, Isaac Erskine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936111">
        <w:rPr>
          <w:rFonts w:ascii="Times New Roman" w:hAnsi="Times New Roman"/>
          <w:sz w:val="24"/>
          <w:szCs w:val="24"/>
          <w:vertAlign w:val="subscript"/>
          <w:lang w:val="en-GB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Pr="006F563F">
        <w:rPr>
          <w:rFonts w:ascii="Times New Roman" w:hAnsi="Times New Roman"/>
          <w:sz w:val="24"/>
          <w:szCs w:val="24"/>
          <w:lang w:val="en-GB"/>
        </w:rPr>
        <w:t>Daniel Oduro,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9A41D5">
        <w:rPr>
          <w:rFonts w:ascii="Times New Roman" w:hAnsi="Times New Roman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4,5</w:t>
      </w:r>
      <w:r w:rsidRPr="006F563F">
        <w:rPr>
          <w:rFonts w:ascii="Times New Roman" w:hAnsi="Times New Roman"/>
          <w:sz w:val="24"/>
          <w:szCs w:val="24"/>
          <w:lang w:val="en-GB"/>
        </w:rPr>
        <w:t>, Kwadwo Asamoah Kusi</w:t>
      </w:r>
      <w:r w:rsidRPr="006F563F">
        <w:rPr>
          <w:rFonts w:ascii="Times New Roman" w:hAnsi="Times New Roman"/>
          <w:sz w:val="24"/>
          <w:szCs w:val="24"/>
          <w:vertAlign w:val="superscript"/>
          <w:lang w:val="en-GB"/>
        </w:rPr>
        <w:t>1,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6F563F"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/>
          <w:sz w:val="24"/>
          <w:szCs w:val="24"/>
          <w:lang w:val="en-GB"/>
        </w:rPr>
        <w:t xml:space="preserve"> Jones Amponsah</w:t>
      </w:r>
      <w:r w:rsidRPr="009A631C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6F563F">
        <w:rPr>
          <w:rFonts w:ascii="Times New Roman" w:hAnsi="Times New Roman"/>
          <w:sz w:val="24"/>
          <w:szCs w:val="24"/>
          <w:lang w:val="en-GB"/>
        </w:rPr>
        <w:t>Ben Gyan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2E768F"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Kwame </w:t>
      </w:r>
      <w:r w:rsidRPr="006F563F">
        <w:rPr>
          <w:rFonts w:ascii="Times New Roman" w:hAnsi="Times New Roman"/>
          <w:sz w:val="24"/>
          <w:szCs w:val="24"/>
          <w:lang w:val="en-GB"/>
        </w:rPr>
        <w:t>Adu-Bonsaffoh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6</w:t>
      </w:r>
      <w:r w:rsidRPr="006F563F">
        <w:rPr>
          <w:rFonts w:ascii="Times New Roman" w:hAnsi="Times New Roman"/>
          <w:sz w:val="24"/>
          <w:szCs w:val="24"/>
          <w:lang w:val="en-GB"/>
        </w:rPr>
        <w:t>, Michael Ofori</w:t>
      </w:r>
      <w:r w:rsidRPr="006F563F">
        <w:rPr>
          <w:rFonts w:ascii="Times New Roman" w:hAnsi="Times New Roman"/>
          <w:sz w:val="24"/>
          <w:szCs w:val="24"/>
          <w:vertAlign w:val="superscript"/>
          <w:lang w:val="en-GB"/>
        </w:rPr>
        <w:t>1,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2*</w:t>
      </w:r>
    </w:p>
    <w:p w14:paraId="7383A6C6" w14:textId="2E877C6E" w:rsidR="00BF767D" w:rsidRPr="006F563F" w:rsidRDefault="000C6CBA" w:rsidP="00BF767D">
      <w:r w:rsidRPr="00375279">
        <w:rPr>
          <w:noProof/>
        </w:rPr>
        <w:drawing>
          <wp:inline distT="0" distB="0" distL="0" distR="0" wp14:anchorId="1EBD48ED" wp14:editId="61F28CBB">
            <wp:extent cx="4570730" cy="5539563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1354" cy="561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FAB6B" w14:textId="045BFE78" w:rsidR="00BF767D" w:rsidRDefault="00BF767D" w:rsidP="00C72335">
      <w:pPr>
        <w:spacing w:line="480" w:lineRule="auto"/>
        <w:rPr>
          <w:rFonts w:ascii="Times New Roman" w:hAnsi="Times New Roman"/>
        </w:rPr>
      </w:pPr>
      <w:r w:rsidRPr="00C72335">
        <w:rPr>
          <w:rFonts w:ascii="Times New Roman" w:hAnsi="Times New Roman"/>
          <w:b/>
          <w:bCs/>
        </w:rPr>
        <w:t xml:space="preserve">Supplementary Figure S1. Relationship between placental pathology, maternal and delivery outcomes in non-PE and PE pregnancies. </w:t>
      </w:r>
      <w:r w:rsidRPr="00C72335">
        <w:rPr>
          <w:rFonts w:ascii="Times New Roman" w:hAnsi="Times New Roman"/>
        </w:rPr>
        <w:t>(</w:t>
      </w:r>
      <w:r w:rsidR="000C6CBA">
        <w:rPr>
          <w:rFonts w:ascii="Times New Roman" w:hAnsi="Times New Roman"/>
        </w:rPr>
        <w:t>a</w:t>
      </w:r>
      <w:r w:rsidRPr="00C72335">
        <w:rPr>
          <w:rFonts w:ascii="Times New Roman" w:hAnsi="Times New Roman"/>
        </w:rPr>
        <w:t>) Placental pathology (%) in primigravid and multigravida women. (</w:t>
      </w:r>
      <w:r w:rsidR="000C6CBA">
        <w:rPr>
          <w:rFonts w:ascii="Times New Roman" w:hAnsi="Times New Roman"/>
        </w:rPr>
        <w:t>b</w:t>
      </w:r>
      <w:r w:rsidRPr="00C72335">
        <w:rPr>
          <w:rFonts w:ascii="Times New Roman" w:hAnsi="Times New Roman"/>
        </w:rPr>
        <w:t xml:space="preserve">) delivery age in normal (white boxplot) and pathologic placentae (dotted boxplot). </w:t>
      </w:r>
      <w:r w:rsidR="008B23EB">
        <w:rPr>
          <w:rFonts w:ascii="Times New Roman" w:hAnsi="Times New Roman"/>
        </w:rPr>
        <w:t xml:space="preserve">Whiskers are presented as maximum and minimum values with medians represented by the horizonal lines across the boxes </w:t>
      </w:r>
      <w:r w:rsidRPr="00C72335">
        <w:rPr>
          <w:rFonts w:ascii="Times New Roman" w:hAnsi="Times New Roman"/>
        </w:rPr>
        <w:t>(</w:t>
      </w:r>
      <w:r w:rsidR="000C6CBA">
        <w:rPr>
          <w:rFonts w:ascii="Times New Roman" w:hAnsi="Times New Roman"/>
        </w:rPr>
        <w:t>c</w:t>
      </w:r>
      <w:r w:rsidRPr="00C72335">
        <w:rPr>
          <w:rFonts w:ascii="Times New Roman" w:hAnsi="Times New Roman"/>
        </w:rPr>
        <w:t>) birth weight (mean ±</w:t>
      </w:r>
      <w:r w:rsidRPr="00C72335">
        <w:rPr>
          <w:rFonts w:ascii="Times New Roman" w:hAnsi="Times New Roman"/>
          <w:lang w:val="en-GB"/>
        </w:rPr>
        <w:t xml:space="preserve"> </w:t>
      </w:r>
      <w:r w:rsidRPr="00C72335">
        <w:rPr>
          <w:rFonts w:ascii="Times New Roman" w:hAnsi="Times New Roman"/>
        </w:rPr>
        <w:t xml:space="preserve">SD) in normal and pathologic placentae. </w:t>
      </w:r>
      <w:r w:rsidRPr="00C72335">
        <w:rPr>
          <w:rFonts w:ascii="Times New Roman" w:hAnsi="Times New Roman"/>
          <w:vertAlign w:val="superscript"/>
          <w:lang w:val="en-GB"/>
        </w:rPr>
        <w:t>*</w:t>
      </w:r>
      <w:r w:rsidRPr="00C72335">
        <w:rPr>
          <w:rFonts w:ascii="Times New Roman" w:hAnsi="Times New Roman"/>
          <w:lang w:val="en-GB"/>
        </w:rPr>
        <w:t>P &lt; 0.05</w:t>
      </w:r>
      <w:r w:rsidRPr="00C72335">
        <w:rPr>
          <w:rFonts w:ascii="Times New Roman" w:hAnsi="Times New Roman"/>
        </w:rPr>
        <w:t xml:space="preserve">, </w:t>
      </w:r>
      <w:r w:rsidRPr="00C72335">
        <w:rPr>
          <w:rFonts w:ascii="Times New Roman" w:hAnsi="Times New Roman"/>
          <w:vertAlign w:val="superscript"/>
        </w:rPr>
        <w:t>**</w:t>
      </w:r>
      <w:r w:rsidRPr="00C72335">
        <w:rPr>
          <w:rFonts w:ascii="Times New Roman" w:hAnsi="Times New Roman"/>
        </w:rPr>
        <w:t xml:space="preserve">P &lt; 0.01, </w:t>
      </w:r>
      <w:r w:rsidRPr="00C72335">
        <w:rPr>
          <w:rFonts w:ascii="Times New Roman" w:hAnsi="Times New Roman"/>
          <w:vertAlign w:val="superscript"/>
        </w:rPr>
        <w:t>***</w:t>
      </w:r>
      <w:r w:rsidRPr="00C72335">
        <w:rPr>
          <w:rFonts w:ascii="Times New Roman" w:hAnsi="Times New Roman"/>
        </w:rPr>
        <w:t xml:space="preserve"> P &lt; 0.001, </w:t>
      </w:r>
      <w:r w:rsidRPr="00C72335">
        <w:rPr>
          <w:rFonts w:ascii="Times New Roman" w:hAnsi="Times New Roman"/>
          <w:vertAlign w:val="superscript"/>
        </w:rPr>
        <w:t>****</w:t>
      </w:r>
      <w:r w:rsidRPr="00C72335">
        <w:rPr>
          <w:rFonts w:ascii="Times New Roman" w:hAnsi="Times New Roman"/>
        </w:rPr>
        <w:t xml:space="preserve"> P &lt; 0.0001.</w:t>
      </w:r>
    </w:p>
    <w:p w14:paraId="6D4FD294" w14:textId="77777777" w:rsidR="00BF767D" w:rsidRPr="00C72335" w:rsidRDefault="00BF767D" w:rsidP="00BF767D">
      <w:pPr>
        <w:spacing w:line="360" w:lineRule="auto"/>
        <w:rPr>
          <w:rFonts w:ascii="Times New Roman" w:hAnsi="Times New Roman"/>
          <w:b/>
          <w:bCs/>
          <w:color w:val="2F5496"/>
          <w:lang w:val="en-GB"/>
        </w:rPr>
      </w:pPr>
      <w:r w:rsidRPr="00C72335">
        <w:rPr>
          <w:b/>
          <w:bCs/>
          <w:noProof/>
        </w:rPr>
        <w:lastRenderedPageBreak/>
        <w:drawing>
          <wp:inline distT="0" distB="0" distL="0" distR="0" wp14:anchorId="562B2D13" wp14:editId="516D1E8C">
            <wp:extent cx="5715000" cy="6845300"/>
            <wp:effectExtent l="0" t="0" r="0" b="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4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3D5A" w14:textId="2964A25B" w:rsidR="00BF767D" w:rsidRPr="00C72335" w:rsidRDefault="00BF767D" w:rsidP="00C72335">
      <w:pPr>
        <w:spacing w:line="480" w:lineRule="auto"/>
        <w:rPr>
          <w:rFonts w:ascii="Times New Roman" w:hAnsi="Times New Roman"/>
          <w:sz w:val="18"/>
          <w:szCs w:val="18"/>
        </w:rPr>
      </w:pPr>
      <w:r w:rsidRPr="00C72335">
        <w:rPr>
          <w:rFonts w:ascii="Times New Roman" w:hAnsi="Times New Roman"/>
          <w:b/>
          <w:bCs/>
        </w:rPr>
        <w:t>Supplementary Figure S2. Relationship between maternal and delivery outcomes in non-PE and PE pregnancies with placental malaria</w:t>
      </w:r>
      <w:r w:rsidRPr="00C72335">
        <w:rPr>
          <w:rFonts w:ascii="Times New Roman" w:hAnsi="Times New Roman"/>
        </w:rPr>
        <w:t xml:space="preserve">. (A) Gestational age at delivery (mean ± SD) in women with no infection (grey dotted circles), active infection (inverted triangles) and past infection (dark circles) (B) Birth weight (mean ± SD) in women with no infection (plain circles), active infection (dark squares) and past infection (grey triangles). </w:t>
      </w:r>
      <w:r w:rsidRPr="00C72335">
        <w:rPr>
          <w:rFonts w:ascii="Times New Roman" w:hAnsi="Times New Roman"/>
          <w:vertAlign w:val="superscript"/>
        </w:rPr>
        <w:t>*</w:t>
      </w:r>
      <w:r w:rsidRPr="00C72335">
        <w:rPr>
          <w:rFonts w:ascii="Times New Roman" w:hAnsi="Times New Roman"/>
        </w:rPr>
        <w:t xml:space="preserve"> (</w:t>
      </w:r>
      <w:r w:rsidRPr="00C72335">
        <w:rPr>
          <w:rFonts w:ascii="Times New Roman" w:hAnsi="Times New Roman"/>
          <w:i/>
        </w:rPr>
        <w:t>P</w:t>
      </w:r>
      <w:r w:rsidRPr="00C72335">
        <w:rPr>
          <w:rFonts w:ascii="Times New Roman" w:hAnsi="Times New Roman"/>
        </w:rPr>
        <w:t xml:space="preserve"> &lt; 0.05), </w:t>
      </w:r>
      <w:r w:rsidRPr="00C72335">
        <w:rPr>
          <w:rFonts w:ascii="Times New Roman" w:hAnsi="Times New Roman"/>
          <w:vertAlign w:val="superscript"/>
        </w:rPr>
        <w:t>***</w:t>
      </w:r>
      <w:r w:rsidRPr="00C72335">
        <w:rPr>
          <w:rFonts w:ascii="Times New Roman" w:hAnsi="Times New Roman"/>
        </w:rPr>
        <w:t xml:space="preserve"> (</w:t>
      </w:r>
      <w:r w:rsidRPr="00C72335">
        <w:rPr>
          <w:rFonts w:ascii="Times New Roman" w:hAnsi="Times New Roman"/>
          <w:i/>
        </w:rPr>
        <w:t>P</w:t>
      </w:r>
      <w:r w:rsidRPr="00C72335">
        <w:rPr>
          <w:rFonts w:ascii="Times New Roman" w:hAnsi="Times New Roman"/>
        </w:rPr>
        <w:t xml:space="preserve"> &lt; 0.001).</w:t>
      </w:r>
    </w:p>
    <w:p w14:paraId="7AE96D40" w14:textId="77777777" w:rsidR="00BF767D" w:rsidRPr="008A2057" w:rsidRDefault="00BF767D" w:rsidP="00BF767D">
      <w:pPr>
        <w:rPr>
          <w:rFonts w:ascii="Times New Roman" w:hAnsi="Times New Roman"/>
          <w:b/>
          <w:bCs/>
          <w:sz w:val="24"/>
          <w:szCs w:val="24"/>
        </w:rPr>
      </w:pPr>
      <w:r w:rsidRPr="008A2057">
        <w:rPr>
          <w:rFonts w:ascii="Times New Roman" w:hAnsi="Times New Roman"/>
          <w:b/>
          <w:bCs/>
          <w:sz w:val="24"/>
          <w:szCs w:val="24"/>
        </w:rPr>
        <w:lastRenderedPageBreak/>
        <w:t>Supplementary Table S1. Placental pathology, maternal factors and the risk for preeclampsia</w:t>
      </w:r>
      <w:r w:rsidRPr="008A2057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843"/>
        <w:gridCol w:w="987"/>
        <w:gridCol w:w="2006"/>
        <w:gridCol w:w="1276"/>
      </w:tblGrid>
      <w:tr w:rsidR="00BF767D" w:rsidRPr="00212961" w14:paraId="6C742974" w14:textId="77777777" w:rsidTr="00DF42A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8111BF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6BE744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OR (95 % CI)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0D940F8C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04251A72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AOR (95 %CI)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743DD0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BF767D" w:rsidRPr="00212961" w14:paraId="799869C2" w14:textId="77777777" w:rsidTr="00DF42AA">
        <w:trPr>
          <w:trHeight w:val="575"/>
        </w:trPr>
        <w:tc>
          <w:tcPr>
            <w:tcW w:w="2835" w:type="dxa"/>
            <w:tcBorders>
              <w:top w:val="single" w:sz="4" w:space="0" w:color="auto"/>
            </w:tcBorders>
          </w:tcPr>
          <w:p w14:paraId="3F673FA0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Placental Pathology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00B9F5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71EAEE3A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5CC21B95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A90E5B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767D" w:rsidRPr="00212961" w14:paraId="2FB30348" w14:textId="77777777" w:rsidTr="00DF42AA">
        <w:tc>
          <w:tcPr>
            <w:tcW w:w="2835" w:type="dxa"/>
          </w:tcPr>
          <w:p w14:paraId="671E3A39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3" w:type="dxa"/>
          </w:tcPr>
          <w:p w14:paraId="0DAC9B90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Ref</w:t>
            </w:r>
          </w:p>
        </w:tc>
        <w:tc>
          <w:tcPr>
            <w:tcW w:w="987" w:type="dxa"/>
          </w:tcPr>
          <w:p w14:paraId="31D8AAA5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Ref</w:t>
            </w:r>
          </w:p>
        </w:tc>
        <w:tc>
          <w:tcPr>
            <w:tcW w:w="2006" w:type="dxa"/>
          </w:tcPr>
          <w:p w14:paraId="601752C8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Ref</w:t>
            </w:r>
          </w:p>
        </w:tc>
        <w:tc>
          <w:tcPr>
            <w:tcW w:w="1276" w:type="dxa"/>
          </w:tcPr>
          <w:p w14:paraId="79CFB07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767D" w:rsidRPr="00212961" w14:paraId="79981B78" w14:textId="77777777" w:rsidTr="00DF42AA">
        <w:tc>
          <w:tcPr>
            <w:tcW w:w="2835" w:type="dxa"/>
          </w:tcPr>
          <w:p w14:paraId="0191A07A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14:paraId="4AC60817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2.2 (1.1 – 4.6)</w:t>
            </w:r>
          </w:p>
        </w:tc>
        <w:tc>
          <w:tcPr>
            <w:tcW w:w="987" w:type="dxa"/>
          </w:tcPr>
          <w:p w14:paraId="2A3134CC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0.027</w:t>
            </w:r>
          </w:p>
        </w:tc>
        <w:tc>
          <w:tcPr>
            <w:tcW w:w="2006" w:type="dxa"/>
          </w:tcPr>
          <w:p w14:paraId="3CC33E44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2.8 (1.2 – 6.4)</w:t>
            </w:r>
          </w:p>
        </w:tc>
        <w:tc>
          <w:tcPr>
            <w:tcW w:w="1276" w:type="dxa"/>
          </w:tcPr>
          <w:p w14:paraId="29388D79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0.016</w:t>
            </w:r>
          </w:p>
        </w:tc>
      </w:tr>
      <w:tr w:rsidR="00BF767D" w:rsidRPr="00212961" w14:paraId="0FB90FBF" w14:textId="77777777" w:rsidTr="00DF42AA">
        <w:tc>
          <w:tcPr>
            <w:tcW w:w="2835" w:type="dxa"/>
          </w:tcPr>
          <w:p w14:paraId="5B62B37E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Specific Pathology</w:t>
            </w:r>
          </w:p>
        </w:tc>
        <w:tc>
          <w:tcPr>
            <w:tcW w:w="1843" w:type="dxa"/>
          </w:tcPr>
          <w:p w14:paraId="748CCE00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8C7BF0C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01F922AE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B40F3A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767D" w:rsidRPr="00212961" w14:paraId="592B0509" w14:textId="77777777" w:rsidTr="00DF42AA">
        <w:tc>
          <w:tcPr>
            <w:tcW w:w="2835" w:type="dxa"/>
          </w:tcPr>
          <w:p w14:paraId="499DDD8A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Mixed Pathology</w:t>
            </w:r>
          </w:p>
        </w:tc>
        <w:tc>
          <w:tcPr>
            <w:tcW w:w="1843" w:type="dxa"/>
          </w:tcPr>
          <w:p w14:paraId="4848D817" w14:textId="1E009C3B" w:rsidR="00BF767D" w:rsidRPr="00212961" w:rsidRDefault="00BF36D0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5.76</w:t>
            </w:r>
            <w:r w:rsidR="00BF767D" w:rsidRPr="00212961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F767D" w:rsidRPr="0021296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F767D" w:rsidRPr="0021296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F767D" w:rsidRPr="002129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</w:tcPr>
          <w:p w14:paraId="2D96C5D8" w14:textId="3D3F1126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0.</w:t>
            </w:r>
            <w:r w:rsidR="00BF36D0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006" w:type="dxa"/>
          </w:tcPr>
          <w:p w14:paraId="0C30C0F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5689BBA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F767D" w:rsidRPr="00212961" w14:paraId="3FC9234A" w14:textId="77777777" w:rsidTr="00DF42AA">
        <w:tc>
          <w:tcPr>
            <w:tcW w:w="2835" w:type="dxa"/>
          </w:tcPr>
          <w:p w14:paraId="626D1BA2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Infarction</w:t>
            </w:r>
          </w:p>
        </w:tc>
        <w:tc>
          <w:tcPr>
            <w:tcW w:w="1843" w:type="dxa"/>
          </w:tcPr>
          <w:p w14:paraId="0ECA0F3D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14:paraId="78B75486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14:paraId="2C328FD1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AC41793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F767D" w:rsidRPr="00212961" w14:paraId="01A456DF" w14:textId="77777777" w:rsidTr="00DF42AA">
        <w:tc>
          <w:tcPr>
            <w:tcW w:w="2835" w:type="dxa"/>
          </w:tcPr>
          <w:p w14:paraId="225BB343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Calcification</w:t>
            </w:r>
          </w:p>
        </w:tc>
        <w:tc>
          <w:tcPr>
            <w:tcW w:w="1843" w:type="dxa"/>
          </w:tcPr>
          <w:p w14:paraId="32F8E1F7" w14:textId="0FD4984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0.</w:t>
            </w:r>
            <w:r w:rsidR="009E0EA0">
              <w:rPr>
                <w:rFonts w:ascii="Times New Roman" w:hAnsi="Times New Roman"/>
                <w:sz w:val="24"/>
                <w:szCs w:val="24"/>
              </w:rPr>
              <w:t>41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CB4A29">
              <w:rPr>
                <w:rFonts w:ascii="Times New Roman" w:hAnsi="Times New Roman"/>
                <w:sz w:val="24"/>
                <w:szCs w:val="24"/>
              </w:rPr>
              <w:t>2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DF42AA">
              <w:rPr>
                <w:rFonts w:ascii="Times New Roman" w:hAnsi="Times New Roman"/>
                <w:sz w:val="24"/>
                <w:szCs w:val="24"/>
              </w:rPr>
              <w:t>1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.</w:t>
            </w:r>
            <w:r w:rsidR="00CB4A29">
              <w:rPr>
                <w:rFonts w:ascii="Times New Roman" w:hAnsi="Times New Roman"/>
                <w:sz w:val="24"/>
                <w:szCs w:val="24"/>
              </w:rPr>
              <w:t>1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</w:tcPr>
          <w:p w14:paraId="1101854B" w14:textId="5DD6C635" w:rsidR="00BF767D" w:rsidRPr="00212961" w:rsidRDefault="009E0EA0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  <w:r w:rsidR="009401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6" w:type="dxa"/>
          </w:tcPr>
          <w:p w14:paraId="02634972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053A8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F767D" w:rsidRPr="00212961" w14:paraId="48854A28" w14:textId="77777777" w:rsidTr="00DF42AA">
        <w:tc>
          <w:tcPr>
            <w:tcW w:w="2835" w:type="dxa"/>
          </w:tcPr>
          <w:p w14:paraId="18A5681B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Atherosis</w:t>
            </w:r>
            <w:proofErr w:type="spellEnd"/>
          </w:p>
        </w:tc>
        <w:tc>
          <w:tcPr>
            <w:tcW w:w="1843" w:type="dxa"/>
          </w:tcPr>
          <w:p w14:paraId="1C97850A" w14:textId="06D8FCF2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2.</w:t>
            </w:r>
            <w:r w:rsidR="00CB4A29">
              <w:rPr>
                <w:rFonts w:ascii="Times New Roman" w:hAnsi="Times New Roman"/>
                <w:sz w:val="24"/>
                <w:szCs w:val="24"/>
              </w:rPr>
              <w:t>16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CB4A29">
              <w:rPr>
                <w:rFonts w:ascii="Times New Roman" w:hAnsi="Times New Roman"/>
                <w:sz w:val="24"/>
                <w:szCs w:val="24"/>
              </w:rPr>
              <w:t>19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CB4A29">
              <w:rPr>
                <w:rFonts w:ascii="Times New Roman" w:hAnsi="Times New Roman"/>
                <w:sz w:val="24"/>
                <w:szCs w:val="24"/>
              </w:rPr>
              <w:t>24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.</w:t>
            </w:r>
            <w:r w:rsidR="00CB4A29">
              <w:rPr>
                <w:rFonts w:ascii="Times New Roman" w:hAnsi="Times New Roman"/>
                <w:sz w:val="24"/>
                <w:szCs w:val="24"/>
              </w:rPr>
              <w:t>4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</w:tcPr>
          <w:p w14:paraId="7BD79C92" w14:textId="37CC4E90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0.5</w:t>
            </w:r>
            <w:r w:rsidR="00CB4A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06" w:type="dxa"/>
          </w:tcPr>
          <w:p w14:paraId="199E7D9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0460045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F767D" w:rsidRPr="00212961" w14:paraId="476A4307" w14:textId="77777777" w:rsidTr="00DF42AA">
        <w:tc>
          <w:tcPr>
            <w:tcW w:w="2835" w:type="dxa"/>
          </w:tcPr>
          <w:p w14:paraId="3C7ABA5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Accelerated maturation</w:t>
            </w:r>
          </w:p>
        </w:tc>
        <w:tc>
          <w:tcPr>
            <w:tcW w:w="1843" w:type="dxa"/>
          </w:tcPr>
          <w:p w14:paraId="4B4CA02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14:paraId="55AA0476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14:paraId="767A1774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4E2AF42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F767D" w:rsidRPr="00212961" w14:paraId="1889A03D" w14:textId="77777777" w:rsidTr="00DF42AA">
        <w:tc>
          <w:tcPr>
            <w:tcW w:w="2835" w:type="dxa"/>
            <w:tcBorders>
              <w:bottom w:val="single" w:sz="4" w:space="0" w:color="auto"/>
            </w:tcBorders>
          </w:tcPr>
          <w:p w14:paraId="529A4B65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Syncytial Knots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4B3218" w14:textId="1A8B51D4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10.1 (2.2 -</w:t>
            </w:r>
            <w:r w:rsidR="00D61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47.3)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53CD725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0BA9946F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B02BB6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F767D" w:rsidRPr="00212961" w14:paraId="400DB8F0" w14:textId="77777777" w:rsidTr="00DF42AA"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72D503B2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1296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st </w:t>
            </w: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visit SBP (mmHg)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0FBC510" w14:textId="4E055FD6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1.0</w:t>
            </w:r>
            <w:r w:rsidR="00CF2E75">
              <w:rPr>
                <w:rFonts w:ascii="Times New Roman" w:hAnsi="Times New Roman"/>
                <w:sz w:val="24"/>
                <w:szCs w:val="24"/>
              </w:rPr>
              <w:t>4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 xml:space="preserve"> (1.0</w:t>
            </w:r>
            <w:r w:rsidR="00CF2E75">
              <w:rPr>
                <w:rFonts w:ascii="Times New Roman" w:hAnsi="Times New Roman"/>
                <w:sz w:val="24"/>
                <w:szCs w:val="24"/>
              </w:rPr>
              <w:t>1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 xml:space="preserve"> – 1.</w:t>
            </w:r>
            <w:r w:rsidR="00CF2E75">
              <w:rPr>
                <w:rFonts w:ascii="Times New Roman" w:hAnsi="Times New Roman"/>
                <w:sz w:val="24"/>
                <w:szCs w:val="24"/>
              </w:rPr>
              <w:t>07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14:paraId="05C3EB54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0.010</w:t>
            </w:r>
          </w:p>
        </w:tc>
        <w:tc>
          <w:tcPr>
            <w:tcW w:w="2006" w:type="dxa"/>
            <w:tcBorders>
              <w:top w:val="single" w:sz="4" w:space="0" w:color="auto"/>
              <w:bottom w:val="nil"/>
            </w:tcBorders>
          </w:tcPr>
          <w:p w14:paraId="4827BA60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1.0 (1.0 - 1.1)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725CBF1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0.035</w:t>
            </w:r>
          </w:p>
        </w:tc>
      </w:tr>
      <w:tr w:rsidR="00BF767D" w:rsidRPr="00212961" w14:paraId="389D710B" w14:textId="77777777" w:rsidTr="00DF42AA"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697CA79A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1296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st </w:t>
            </w: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visit DBP (mmHg)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E36A5AB" w14:textId="5CC222F4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1.0</w:t>
            </w:r>
            <w:r w:rsidR="008778E8">
              <w:rPr>
                <w:rFonts w:ascii="Times New Roman" w:hAnsi="Times New Roman"/>
                <w:sz w:val="24"/>
                <w:szCs w:val="24"/>
              </w:rPr>
              <w:t>4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 xml:space="preserve"> (1.0 </w:t>
            </w:r>
            <w:r w:rsidR="008778E8">
              <w:rPr>
                <w:rFonts w:ascii="Times New Roman" w:hAnsi="Times New Roman"/>
                <w:sz w:val="24"/>
                <w:szCs w:val="24"/>
              </w:rPr>
              <w:t>0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– 1.</w:t>
            </w:r>
            <w:r w:rsidR="00D5369F">
              <w:rPr>
                <w:rFonts w:ascii="Times New Roman" w:hAnsi="Times New Roman"/>
                <w:sz w:val="24"/>
                <w:szCs w:val="24"/>
              </w:rPr>
              <w:t>07</w:t>
            </w:r>
            <w:r w:rsidRPr="002129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417E9273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0.042</w:t>
            </w:r>
          </w:p>
        </w:tc>
        <w:tc>
          <w:tcPr>
            <w:tcW w:w="2006" w:type="dxa"/>
            <w:tcBorders>
              <w:top w:val="nil"/>
              <w:bottom w:val="single" w:sz="4" w:space="0" w:color="auto"/>
            </w:tcBorders>
          </w:tcPr>
          <w:p w14:paraId="2FC50D09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1.0 (0.9 – 1.1)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591E225" w14:textId="77777777" w:rsidR="00BF767D" w:rsidRPr="00212961" w:rsidRDefault="00BF767D" w:rsidP="008A20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</w:tr>
      <w:tr w:rsidR="00BF767D" w:rsidRPr="00212961" w14:paraId="51A058EE" w14:textId="77777777" w:rsidTr="00DF42A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B069767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Gravidity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EB0D2F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5265717B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18BF585F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AE026F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767D" w:rsidRPr="00212961" w14:paraId="4A4EFCEC" w14:textId="77777777" w:rsidTr="00DF42AA">
        <w:tc>
          <w:tcPr>
            <w:tcW w:w="2835" w:type="dxa"/>
            <w:tcBorders>
              <w:top w:val="single" w:sz="4" w:space="0" w:color="auto"/>
            </w:tcBorders>
          </w:tcPr>
          <w:p w14:paraId="0F807F00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Multigravid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94E2FD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1DD4E266" w14:textId="77777777" w:rsidR="00BF767D" w:rsidRPr="008A2057" w:rsidRDefault="00BF767D" w:rsidP="008A2057">
            <w:pPr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057">
              <w:rPr>
                <w:rFonts w:ascii="Times New Roman" w:hAnsi="Times New Roman"/>
                <w:bCs/>
                <w:sz w:val="24"/>
                <w:szCs w:val="24"/>
              </w:rPr>
              <w:t>Ref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0AFE1868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FB0DD8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767D" w:rsidRPr="00212961" w14:paraId="693420E6" w14:textId="77777777" w:rsidTr="00DF42AA">
        <w:tc>
          <w:tcPr>
            <w:tcW w:w="2835" w:type="dxa"/>
          </w:tcPr>
          <w:p w14:paraId="5349C153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Primigravid</w:t>
            </w:r>
          </w:p>
        </w:tc>
        <w:tc>
          <w:tcPr>
            <w:tcW w:w="1843" w:type="dxa"/>
          </w:tcPr>
          <w:p w14:paraId="4F8A73F4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3.0 (1.5 – 6.3)</w:t>
            </w:r>
          </w:p>
        </w:tc>
        <w:tc>
          <w:tcPr>
            <w:tcW w:w="987" w:type="dxa"/>
          </w:tcPr>
          <w:p w14:paraId="0D8F3993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2006" w:type="dxa"/>
          </w:tcPr>
          <w:p w14:paraId="4AA07F63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12961">
              <w:rPr>
                <w:rFonts w:ascii="Times New Roman" w:hAnsi="Times New Roman"/>
                <w:sz w:val="24"/>
                <w:szCs w:val="24"/>
              </w:rPr>
              <w:t>4.5 (2.0 – 10.7)</w:t>
            </w:r>
          </w:p>
        </w:tc>
        <w:tc>
          <w:tcPr>
            <w:tcW w:w="1276" w:type="dxa"/>
          </w:tcPr>
          <w:p w14:paraId="0A43E1A5" w14:textId="77777777" w:rsidR="00BF767D" w:rsidRPr="00212961" w:rsidRDefault="00BF767D" w:rsidP="008A205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&lt;0.0001</w:t>
            </w:r>
          </w:p>
        </w:tc>
      </w:tr>
    </w:tbl>
    <w:p w14:paraId="0FDF0CF8" w14:textId="361403E8" w:rsidR="00BF767D" w:rsidRDefault="00BF767D" w:rsidP="00BF767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lang w:val="en-GB"/>
        </w:rPr>
      </w:pPr>
      <w:r w:rsidRPr="005C235D">
        <w:rPr>
          <w:rFonts w:ascii="Times New Roman" w:hAnsi="Times New Roman"/>
          <w:lang w:val="en-GB"/>
        </w:rPr>
        <w:t xml:space="preserve">Univariate </w:t>
      </w:r>
      <w:r w:rsidR="009D79D1">
        <w:rPr>
          <w:rFonts w:ascii="Times New Roman" w:hAnsi="Times New Roman"/>
          <w:lang w:val="en-GB"/>
        </w:rPr>
        <w:t xml:space="preserve">and multivariate analysis showing factors associated with </w:t>
      </w:r>
      <w:r w:rsidR="009D79D1" w:rsidRPr="005C235D">
        <w:rPr>
          <w:rFonts w:ascii="Times New Roman" w:hAnsi="Times New Roman"/>
          <w:lang w:val="en-GB"/>
        </w:rPr>
        <w:t>an</w:t>
      </w:r>
      <w:r w:rsidR="009D79D1">
        <w:rPr>
          <w:rFonts w:ascii="Times New Roman" w:hAnsi="Times New Roman"/>
          <w:lang w:val="en-GB"/>
        </w:rPr>
        <w:t xml:space="preserve"> increased </w:t>
      </w:r>
      <w:r w:rsidR="009D79D1" w:rsidRPr="005C235D">
        <w:rPr>
          <w:rFonts w:ascii="Times New Roman" w:hAnsi="Times New Roman"/>
          <w:lang w:val="en-GB"/>
        </w:rPr>
        <w:t>risk</w:t>
      </w:r>
      <w:r w:rsidRPr="005C235D">
        <w:rPr>
          <w:rFonts w:ascii="Times New Roman" w:hAnsi="Times New Roman"/>
          <w:lang w:val="en-GB"/>
        </w:rPr>
        <w:t xml:space="preserve"> of PE. Data presented as odds ratio (OR), adjusted odds ratio (AOR) </w:t>
      </w:r>
      <w:r w:rsidR="009D79D1">
        <w:rPr>
          <w:rFonts w:ascii="Times New Roman" w:hAnsi="Times New Roman"/>
          <w:lang w:val="en-GB"/>
        </w:rPr>
        <w:t>with</w:t>
      </w:r>
      <w:r w:rsidRPr="005C235D">
        <w:rPr>
          <w:rFonts w:ascii="Times New Roman" w:hAnsi="Times New Roman"/>
          <w:lang w:val="en-GB"/>
        </w:rPr>
        <w:t xml:space="preserve"> confidence interval (CI). SBP and DBP = systolic and diastolic blood pressure respectively.</w:t>
      </w:r>
      <w:r w:rsidR="00661C0C">
        <w:rPr>
          <w:rFonts w:ascii="Times New Roman" w:hAnsi="Times New Roman"/>
          <w:lang w:val="en-GB"/>
        </w:rPr>
        <w:t xml:space="preserve"> </w:t>
      </w:r>
      <w:r w:rsidR="00661C0C" w:rsidRPr="00661C0C">
        <w:rPr>
          <w:rFonts w:ascii="Times New Roman" w:hAnsi="Times New Roman"/>
          <w:i/>
          <w:iCs/>
          <w:lang w:val="en-GB"/>
        </w:rPr>
        <w:t>P</w:t>
      </w:r>
      <w:r w:rsidR="00661C0C">
        <w:rPr>
          <w:rFonts w:ascii="Times New Roman" w:hAnsi="Times New Roman"/>
          <w:lang w:val="en-GB"/>
        </w:rPr>
        <w:t xml:space="preserve"> &lt; 0.05 was statistically significant.</w:t>
      </w:r>
    </w:p>
    <w:p w14:paraId="50A2B677" w14:textId="77777777" w:rsidR="00661C0C" w:rsidRDefault="00661C0C" w:rsidP="00BF767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lang w:val="en-GB"/>
        </w:rPr>
      </w:pPr>
    </w:p>
    <w:p w14:paraId="7B0151C5" w14:textId="77777777" w:rsidR="00BF767D" w:rsidRPr="00D1600D" w:rsidRDefault="00BF767D" w:rsidP="00D1600D">
      <w:pPr>
        <w:rPr>
          <w:rFonts w:ascii="Times New Roman" w:hAnsi="Times New Roman"/>
          <w:b/>
          <w:bCs/>
          <w:sz w:val="24"/>
          <w:szCs w:val="24"/>
        </w:rPr>
      </w:pPr>
      <w:r w:rsidRPr="00D1600D">
        <w:rPr>
          <w:rFonts w:ascii="Times New Roman" w:hAnsi="Times New Roman"/>
          <w:b/>
          <w:bCs/>
          <w:sz w:val="24"/>
          <w:szCs w:val="24"/>
        </w:rPr>
        <w:t xml:space="preserve">Supplementary Table S2. </w:t>
      </w:r>
      <w:r w:rsidRPr="00D1600D">
        <w:rPr>
          <w:rFonts w:ascii="Times New Roman" w:hAnsi="Times New Roman"/>
          <w:b/>
          <w:bCs/>
          <w:i/>
          <w:sz w:val="24"/>
          <w:szCs w:val="24"/>
        </w:rPr>
        <w:t>Plasmodium falciparum</w:t>
      </w:r>
      <w:r w:rsidRPr="00D1600D">
        <w:rPr>
          <w:rFonts w:ascii="Times New Roman" w:hAnsi="Times New Roman"/>
          <w:b/>
          <w:bCs/>
          <w:sz w:val="24"/>
          <w:szCs w:val="24"/>
        </w:rPr>
        <w:t xml:space="preserve"> exposure in non-preeclamptic and preeclamptic placentas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741"/>
        <w:gridCol w:w="1738"/>
        <w:gridCol w:w="1803"/>
        <w:gridCol w:w="1277"/>
      </w:tblGrid>
      <w:tr w:rsidR="00BF767D" w:rsidRPr="00212961" w14:paraId="43ADE0F7" w14:textId="77777777" w:rsidTr="008A2057">
        <w:trPr>
          <w:jc w:val="center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CAADDEF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Bulmer score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2112544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</w:rPr>
              <w:t>Non-PE</w:t>
            </w: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(%)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6CF7CE5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PE (%)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0F712D8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Total (%)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19A9E0B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P</w:t>
            </w: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-value</w:t>
            </w:r>
          </w:p>
        </w:tc>
      </w:tr>
      <w:tr w:rsidR="00BF767D" w:rsidRPr="00212961" w14:paraId="476C177C" w14:textId="77777777" w:rsidTr="008A2057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</w:tcPr>
          <w:p w14:paraId="009C4853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No Infection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14:paraId="068F5932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38 (55.1)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445D79C1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10 (15.6)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114B4FD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48 (36.1)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227040A1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 0.0001</w:t>
            </w:r>
          </w:p>
        </w:tc>
      </w:tr>
      <w:tr w:rsidR="00BF767D" w:rsidRPr="00212961" w14:paraId="41BBF2A0" w14:textId="77777777" w:rsidTr="008A2057">
        <w:trPr>
          <w:jc w:val="center"/>
        </w:trPr>
        <w:tc>
          <w:tcPr>
            <w:tcW w:w="2088" w:type="dxa"/>
          </w:tcPr>
          <w:p w14:paraId="18CDD654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Acute</w:t>
            </w:r>
          </w:p>
        </w:tc>
        <w:tc>
          <w:tcPr>
            <w:tcW w:w="1741" w:type="dxa"/>
          </w:tcPr>
          <w:p w14:paraId="2BA405AC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5 (7.2)</w:t>
            </w:r>
          </w:p>
        </w:tc>
        <w:tc>
          <w:tcPr>
            <w:tcW w:w="1738" w:type="dxa"/>
          </w:tcPr>
          <w:p w14:paraId="4E7A50F4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11 (17.2)</w:t>
            </w:r>
          </w:p>
        </w:tc>
        <w:tc>
          <w:tcPr>
            <w:tcW w:w="1803" w:type="dxa"/>
          </w:tcPr>
          <w:p w14:paraId="458086B1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16 (12.0)</w:t>
            </w:r>
          </w:p>
        </w:tc>
        <w:tc>
          <w:tcPr>
            <w:tcW w:w="1277" w:type="dxa"/>
            <w:vMerge/>
          </w:tcPr>
          <w:p w14:paraId="6EBC1D46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F767D" w:rsidRPr="00212961" w14:paraId="0818E4D4" w14:textId="77777777" w:rsidTr="008A2057">
        <w:trPr>
          <w:jc w:val="center"/>
        </w:trPr>
        <w:tc>
          <w:tcPr>
            <w:tcW w:w="2088" w:type="dxa"/>
          </w:tcPr>
          <w:p w14:paraId="6257C90D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Chronic</w:t>
            </w:r>
          </w:p>
        </w:tc>
        <w:tc>
          <w:tcPr>
            <w:tcW w:w="1741" w:type="dxa"/>
          </w:tcPr>
          <w:p w14:paraId="5CC8EB43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20 (29.0)</w:t>
            </w:r>
          </w:p>
        </w:tc>
        <w:tc>
          <w:tcPr>
            <w:tcW w:w="1738" w:type="dxa"/>
          </w:tcPr>
          <w:p w14:paraId="22F646A1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28 (43.8)</w:t>
            </w:r>
          </w:p>
        </w:tc>
        <w:tc>
          <w:tcPr>
            <w:tcW w:w="1803" w:type="dxa"/>
          </w:tcPr>
          <w:p w14:paraId="5D00476F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48 (36.1)</w:t>
            </w:r>
          </w:p>
        </w:tc>
        <w:tc>
          <w:tcPr>
            <w:tcW w:w="1277" w:type="dxa"/>
            <w:vMerge/>
          </w:tcPr>
          <w:p w14:paraId="6EC148F6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F767D" w:rsidRPr="00212961" w14:paraId="6C4C1FB5" w14:textId="77777777" w:rsidTr="008A2057">
        <w:trPr>
          <w:jc w:val="center"/>
        </w:trPr>
        <w:tc>
          <w:tcPr>
            <w:tcW w:w="2088" w:type="dxa"/>
          </w:tcPr>
          <w:p w14:paraId="3E0F5C60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Past Infection</w:t>
            </w:r>
          </w:p>
        </w:tc>
        <w:tc>
          <w:tcPr>
            <w:tcW w:w="1741" w:type="dxa"/>
          </w:tcPr>
          <w:p w14:paraId="6E57B407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6 (8.7)</w:t>
            </w:r>
          </w:p>
        </w:tc>
        <w:tc>
          <w:tcPr>
            <w:tcW w:w="1738" w:type="dxa"/>
          </w:tcPr>
          <w:p w14:paraId="35A252A0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15 (23.4)</w:t>
            </w:r>
          </w:p>
        </w:tc>
        <w:tc>
          <w:tcPr>
            <w:tcW w:w="1803" w:type="dxa"/>
          </w:tcPr>
          <w:p w14:paraId="2F489520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21 (15.8)</w:t>
            </w:r>
          </w:p>
        </w:tc>
        <w:tc>
          <w:tcPr>
            <w:tcW w:w="1277" w:type="dxa"/>
            <w:vMerge/>
          </w:tcPr>
          <w:p w14:paraId="0E8DADAB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F767D" w:rsidRPr="00212961" w14:paraId="164D475C" w14:textId="77777777" w:rsidTr="008A2057">
        <w:trPr>
          <w:jc w:val="center"/>
        </w:trPr>
        <w:tc>
          <w:tcPr>
            <w:tcW w:w="2088" w:type="dxa"/>
          </w:tcPr>
          <w:p w14:paraId="3F695180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Total </w:t>
            </w:r>
          </w:p>
        </w:tc>
        <w:tc>
          <w:tcPr>
            <w:tcW w:w="1741" w:type="dxa"/>
          </w:tcPr>
          <w:p w14:paraId="466860F5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69</w:t>
            </w:r>
          </w:p>
        </w:tc>
        <w:tc>
          <w:tcPr>
            <w:tcW w:w="1738" w:type="dxa"/>
          </w:tcPr>
          <w:p w14:paraId="2D5C7F75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803" w:type="dxa"/>
          </w:tcPr>
          <w:p w14:paraId="509266EC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12961">
              <w:rPr>
                <w:rFonts w:ascii="Times New Roman" w:hAnsi="Times New Roman"/>
                <w:sz w:val="24"/>
                <w:szCs w:val="24"/>
                <w:lang w:val="en-GB"/>
              </w:rPr>
              <w:t>133</w:t>
            </w:r>
          </w:p>
        </w:tc>
        <w:tc>
          <w:tcPr>
            <w:tcW w:w="1277" w:type="dxa"/>
            <w:vMerge/>
          </w:tcPr>
          <w:p w14:paraId="1B834726" w14:textId="77777777" w:rsidR="00BF767D" w:rsidRPr="00212961" w:rsidRDefault="00BF767D" w:rsidP="008A2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2DB763FF" w14:textId="785805C8" w:rsidR="00BF767D" w:rsidRDefault="00BF767D" w:rsidP="00014445">
      <w:pPr>
        <w:spacing w:line="480" w:lineRule="auto"/>
      </w:pPr>
      <w:r w:rsidRPr="005C235D">
        <w:rPr>
          <w:rFonts w:ascii="Times New Roman" w:hAnsi="Times New Roman"/>
          <w:lang w:val="en-GB"/>
        </w:rPr>
        <w:t xml:space="preserve">Data presented as proportions between non-preeclamptic group (non-PE) and preeclamptic group (PE). </w:t>
      </w:r>
      <w:r w:rsidRPr="005C235D">
        <w:rPr>
          <w:rFonts w:ascii="Times New Roman" w:hAnsi="Times New Roman"/>
          <w:i/>
          <w:lang w:val="en-GB"/>
        </w:rPr>
        <w:t>P</w:t>
      </w:r>
      <w:r w:rsidRPr="005C235D">
        <w:rPr>
          <w:rFonts w:ascii="Times New Roman" w:hAnsi="Times New Roman"/>
          <w:lang w:val="en-GB"/>
        </w:rPr>
        <w:t>-value obtained by</w:t>
      </w:r>
      <w:r>
        <w:rPr>
          <w:rFonts w:ascii="Times New Roman" w:hAnsi="Times New Roman"/>
          <w:lang w:val="en-GB"/>
        </w:rPr>
        <w:t xml:space="preserve"> </w:t>
      </w:r>
      <w:r w:rsidR="00764086">
        <w:rPr>
          <w:rFonts w:ascii="Times New Roman" w:hAnsi="Times New Roman"/>
          <w:lang w:val="en-GB"/>
        </w:rPr>
        <w:t>Fisher’s exact test</w:t>
      </w:r>
      <w:r w:rsidRPr="005C235D">
        <w:rPr>
          <w:rFonts w:ascii="Times New Roman" w:hAnsi="Times New Roman"/>
          <w:lang w:val="en-GB"/>
        </w:rPr>
        <w:t>.</w:t>
      </w:r>
    </w:p>
    <w:sectPr w:rsidR="00BF767D" w:rsidSect="002325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7D"/>
    <w:rsid w:val="00014445"/>
    <w:rsid w:val="00091FA0"/>
    <w:rsid w:val="000C6CBA"/>
    <w:rsid w:val="00157CA6"/>
    <w:rsid w:val="00232514"/>
    <w:rsid w:val="0025710C"/>
    <w:rsid w:val="00261583"/>
    <w:rsid w:val="002A21A6"/>
    <w:rsid w:val="00456F88"/>
    <w:rsid w:val="00590FC7"/>
    <w:rsid w:val="00593E90"/>
    <w:rsid w:val="00661C0C"/>
    <w:rsid w:val="006B03C0"/>
    <w:rsid w:val="00764086"/>
    <w:rsid w:val="007D44E4"/>
    <w:rsid w:val="007F0D61"/>
    <w:rsid w:val="00871B04"/>
    <w:rsid w:val="008778E8"/>
    <w:rsid w:val="008A4FBA"/>
    <w:rsid w:val="008B23EB"/>
    <w:rsid w:val="009034F0"/>
    <w:rsid w:val="009401D1"/>
    <w:rsid w:val="009D79D1"/>
    <w:rsid w:val="009E0EA0"/>
    <w:rsid w:val="00A85693"/>
    <w:rsid w:val="00B2385E"/>
    <w:rsid w:val="00B926D7"/>
    <w:rsid w:val="00BA7371"/>
    <w:rsid w:val="00BC32E8"/>
    <w:rsid w:val="00BF36D0"/>
    <w:rsid w:val="00BF767D"/>
    <w:rsid w:val="00C72335"/>
    <w:rsid w:val="00C93D21"/>
    <w:rsid w:val="00CB4A29"/>
    <w:rsid w:val="00CD0363"/>
    <w:rsid w:val="00CF2E75"/>
    <w:rsid w:val="00D1600D"/>
    <w:rsid w:val="00D5369F"/>
    <w:rsid w:val="00D61BEF"/>
    <w:rsid w:val="00DF42AA"/>
    <w:rsid w:val="00E62742"/>
    <w:rsid w:val="00E916C1"/>
    <w:rsid w:val="00EB000A"/>
    <w:rsid w:val="00F1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CA5B6"/>
  <w15:chartTrackingRefBased/>
  <w15:docId w15:val="{97B9B801-947E-EA41-ABE1-B9D1556D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67D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0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67D"/>
    <w:pPr>
      <w:keepNext/>
      <w:keepLines/>
      <w:spacing w:before="40" w:after="0" w:line="480" w:lineRule="auto"/>
      <w:jc w:val="both"/>
      <w:outlineLvl w:val="1"/>
    </w:pPr>
    <w:rPr>
      <w:rFonts w:ascii="Times New Roman" w:eastAsia="Times New Roman" w:hAnsi="Times New Roman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767D"/>
    <w:rPr>
      <w:rFonts w:ascii="Times New Roman" w:eastAsia="Times New Roman" w:hAnsi="Times New Roman" w:cs="Times New Roman"/>
      <w:b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67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67D"/>
    <w:rPr>
      <w:rFonts w:ascii="Times New Roman" w:eastAsia="Calibri" w:hAnsi="Times New Roman" w:cs="Times New Roman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7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F767D"/>
    <w:pPr>
      <w:spacing w:line="240" w:lineRule="auto"/>
    </w:pPr>
    <w:rPr>
      <w:rFonts w:ascii="Times New Roman" w:hAnsi="Times New Roman" w:cs="Arial"/>
      <w:b/>
      <w:bCs/>
      <w:color w:val="4F81BD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B00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Emphasis">
    <w:name w:val="Emphasis"/>
    <w:basedOn w:val="DefaultParagraphFont"/>
    <w:uiPriority w:val="20"/>
    <w:qFormat/>
    <w:rsid w:val="00C93D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2020-03-13T02:18:00Z</dcterms:created>
  <dcterms:modified xsi:type="dcterms:W3CDTF">2020-03-13T02:18:00Z</dcterms:modified>
</cp:coreProperties>
</file>