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EA72D" w14:textId="77777777" w:rsidR="005608AF" w:rsidRPr="00BD240A" w:rsidRDefault="005608AF" w:rsidP="005608AF">
      <w:pPr>
        <w:spacing w:line="360" w:lineRule="auto"/>
        <w:jc w:val="both"/>
        <w:rPr>
          <w:b/>
        </w:rPr>
      </w:pPr>
      <w:r w:rsidRPr="00BD240A">
        <w:rPr>
          <w:b/>
        </w:rPr>
        <w:t>RISK6, a 6-gene transcriptomic signature of TB disease risk, diagnosis and treatment response</w:t>
      </w:r>
    </w:p>
    <w:p w14:paraId="0F3043F0" w14:textId="77777777" w:rsidR="005608AF" w:rsidRPr="00BD240A" w:rsidRDefault="005608AF" w:rsidP="005608AF">
      <w:pPr>
        <w:spacing w:line="360" w:lineRule="auto"/>
        <w:jc w:val="both"/>
        <w:rPr>
          <w:b/>
        </w:rPr>
      </w:pPr>
    </w:p>
    <w:p w14:paraId="36001A08" w14:textId="44A58DD0" w:rsidR="00476221" w:rsidRPr="008D5D39" w:rsidRDefault="00476221" w:rsidP="00476221">
      <w:pPr>
        <w:spacing w:line="360" w:lineRule="auto"/>
        <w:jc w:val="both"/>
      </w:pPr>
      <w:r w:rsidRPr="00E42CFE">
        <w:t>Adam Penn-Nicholson</w:t>
      </w:r>
      <w:r w:rsidRPr="00E42CFE">
        <w:rPr>
          <w:vertAlign w:val="superscript"/>
        </w:rPr>
        <w:t>1*</w:t>
      </w:r>
      <w:r w:rsidRPr="00E42CFE">
        <w:t xml:space="preserve">, Stanley </w:t>
      </w:r>
      <w:proofErr w:type="spellStart"/>
      <w:r w:rsidRPr="00E42CFE">
        <w:t>Kimbung</w:t>
      </w:r>
      <w:proofErr w:type="spellEnd"/>
      <w:r w:rsidRPr="00E42CFE">
        <w:t xml:space="preserve"> Mbandi</w:t>
      </w:r>
      <w:r w:rsidRPr="00E42CFE">
        <w:rPr>
          <w:vertAlign w:val="superscript"/>
        </w:rPr>
        <w:t>1*</w:t>
      </w:r>
      <w:r w:rsidRPr="00E42CFE">
        <w:t>, Ethan Thompson</w:t>
      </w:r>
      <w:r w:rsidRPr="00E42CFE">
        <w:rPr>
          <w:vertAlign w:val="superscript"/>
        </w:rPr>
        <w:t>2*</w:t>
      </w:r>
      <w:r w:rsidRPr="00E42CFE">
        <w:t>, Simon C. Mendelsohn</w:t>
      </w:r>
      <w:r w:rsidRPr="00E42CFE">
        <w:rPr>
          <w:vertAlign w:val="superscript"/>
        </w:rPr>
        <w:t>1</w:t>
      </w:r>
      <w:r>
        <w:rPr>
          <w:vertAlign w:val="superscript"/>
        </w:rPr>
        <w:t>*</w:t>
      </w:r>
      <w:r w:rsidRPr="00E42CFE">
        <w:t>, Sara Suliman</w:t>
      </w:r>
      <w:r w:rsidRPr="00E42CFE">
        <w:rPr>
          <w:vertAlign w:val="superscript"/>
        </w:rPr>
        <w:t>1,</w:t>
      </w:r>
      <w:r w:rsidRPr="00E42CFE">
        <w:rPr>
          <w:rFonts w:eastAsia="Calibri"/>
          <w:vertAlign w:val="superscript"/>
        </w:rPr>
        <w:t>3</w:t>
      </w:r>
      <w:r w:rsidRPr="00E42CFE">
        <w:t>, Novel N. Chegou</w:t>
      </w:r>
      <w:r w:rsidRPr="00E42CFE">
        <w:rPr>
          <w:vertAlign w:val="superscript"/>
        </w:rPr>
        <w:t>4</w:t>
      </w:r>
      <w:r w:rsidRPr="00E42CFE">
        <w:t>, Stephanus T. Malherbe</w:t>
      </w:r>
      <w:r w:rsidRPr="00E42CFE">
        <w:rPr>
          <w:vertAlign w:val="superscript"/>
        </w:rPr>
        <w:t>4</w:t>
      </w:r>
      <w:r w:rsidRPr="00E42CFE">
        <w:t xml:space="preserve">, </w:t>
      </w:r>
      <w:proofErr w:type="spellStart"/>
      <w:r w:rsidRPr="00E42CFE">
        <w:t>Fatoumatta</w:t>
      </w:r>
      <w:proofErr w:type="spellEnd"/>
      <w:r w:rsidRPr="00E42CFE">
        <w:t xml:space="preserve"> Darboe</w:t>
      </w:r>
      <w:r w:rsidRPr="00E42CFE">
        <w:rPr>
          <w:vertAlign w:val="superscript"/>
        </w:rPr>
        <w:t>1</w:t>
      </w:r>
      <w:r w:rsidRPr="00E42CFE">
        <w:t xml:space="preserve">, </w:t>
      </w:r>
      <w:proofErr w:type="spellStart"/>
      <w:r w:rsidRPr="00E42CFE">
        <w:t>Mzwandile</w:t>
      </w:r>
      <w:proofErr w:type="spellEnd"/>
      <w:r w:rsidRPr="00E42CFE">
        <w:t xml:space="preserve"> Erasmus</w:t>
      </w:r>
      <w:r w:rsidRPr="00E42CFE">
        <w:rPr>
          <w:vertAlign w:val="superscript"/>
        </w:rPr>
        <w:t>1</w:t>
      </w:r>
      <w:r w:rsidRPr="00E42CFE">
        <w:t>, Willem A. Hanekom</w:t>
      </w:r>
      <w:r w:rsidRPr="00E42CFE">
        <w:rPr>
          <w:vertAlign w:val="superscript"/>
        </w:rPr>
        <w:t>1</w:t>
      </w:r>
      <w:r w:rsidRPr="00E42CFE">
        <w:t>, Nicole Bilek</w:t>
      </w:r>
      <w:r w:rsidRPr="00E42CFE">
        <w:rPr>
          <w:vertAlign w:val="superscript"/>
        </w:rPr>
        <w:t>1</w:t>
      </w:r>
      <w:r w:rsidRPr="00E42CFE">
        <w:t>, Michelle Fisher</w:t>
      </w:r>
      <w:r w:rsidRPr="00E42CFE">
        <w:rPr>
          <w:vertAlign w:val="superscript"/>
        </w:rPr>
        <w:t>1</w:t>
      </w:r>
      <w:r w:rsidRPr="00E42CFE">
        <w:t>, Stefan H. E. Kaufmann</w:t>
      </w:r>
      <w:r w:rsidRPr="00E42CFE">
        <w:rPr>
          <w:vertAlign w:val="superscript"/>
        </w:rPr>
        <w:t>5,6</w:t>
      </w:r>
      <w:r w:rsidRPr="00E42CFE">
        <w:t>, Jill Winter</w:t>
      </w:r>
      <w:r w:rsidRPr="00E42CFE">
        <w:rPr>
          <w:vertAlign w:val="superscript"/>
        </w:rPr>
        <w:t>7</w:t>
      </w:r>
      <w:r w:rsidRPr="00E42CFE">
        <w:t>, Melissa Murphy</w:t>
      </w:r>
      <w:r w:rsidRPr="00E42CFE">
        <w:rPr>
          <w:vertAlign w:val="superscript"/>
        </w:rPr>
        <w:t>1</w:t>
      </w:r>
      <w:r w:rsidRPr="00E42CFE">
        <w:t>, Robin Wood</w:t>
      </w:r>
      <w:r w:rsidRPr="00E42CFE">
        <w:rPr>
          <w:vertAlign w:val="superscript"/>
        </w:rPr>
        <w:t>8</w:t>
      </w:r>
      <w:r w:rsidRPr="00E42CFE">
        <w:t>, Carl Morrow</w:t>
      </w:r>
      <w:r w:rsidRPr="00E42CFE">
        <w:rPr>
          <w:vertAlign w:val="superscript"/>
        </w:rPr>
        <w:t>8</w:t>
      </w:r>
      <w:r w:rsidRPr="00E42CFE">
        <w:t xml:space="preserve">, </w:t>
      </w:r>
      <w:proofErr w:type="spellStart"/>
      <w:r w:rsidRPr="00E42CFE">
        <w:t>Ildiko</w:t>
      </w:r>
      <w:proofErr w:type="spellEnd"/>
      <w:r w:rsidRPr="00E42CFE">
        <w:t xml:space="preserve"> Van Rhijn</w:t>
      </w:r>
      <w:r w:rsidRPr="00E42CFE">
        <w:rPr>
          <w:rFonts w:eastAsia="Calibri"/>
          <w:vertAlign w:val="superscript"/>
        </w:rPr>
        <w:t>3</w:t>
      </w:r>
      <w:r w:rsidRPr="00E42CFE">
        <w:t xml:space="preserve">, </w:t>
      </w:r>
      <w:bookmarkStart w:id="0" w:name="_GoBack"/>
      <w:bookmarkEnd w:id="0"/>
      <w:r w:rsidRPr="00E42CFE">
        <w:t>Branch Moody</w:t>
      </w:r>
      <w:r w:rsidRPr="00E42CFE">
        <w:rPr>
          <w:rFonts w:eastAsia="Calibri"/>
          <w:vertAlign w:val="superscript"/>
        </w:rPr>
        <w:t>3</w:t>
      </w:r>
      <w:r w:rsidRPr="00E42CFE">
        <w:t>, Megan Murray</w:t>
      </w:r>
      <w:r w:rsidRPr="00E42CFE">
        <w:rPr>
          <w:vertAlign w:val="superscript"/>
        </w:rPr>
        <w:t>9</w:t>
      </w:r>
      <w:r w:rsidRPr="00E42CFE">
        <w:t>, Bruno B. Andrade</w:t>
      </w:r>
      <w:r w:rsidRPr="00E42CFE">
        <w:rPr>
          <w:vertAlign w:val="superscript"/>
        </w:rPr>
        <w:t>10</w:t>
      </w:r>
      <w:r w:rsidRPr="00E42CFE">
        <w:t>, Timothy R. Sterling</w:t>
      </w:r>
      <w:r w:rsidRPr="00E42CFE">
        <w:rPr>
          <w:vertAlign w:val="superscript"/>
        </w:rPr>
        <w:t>11</w:t>
      </w:r>
      <w:r w:rsidRPr="00E42CFE">
        <w:t>, Jayne Sutherland</w:t>
      </w:r>
      <w:r w:rsidRPr="00E42CFE">
        <w:rPr>
          <w:vertAlign w:val="superscript"/>
        </w:rPr>
        <w:t>12</w:t>
      </w:r>
      <w:r w:rsidRPr="00E42CFE">
        <w:t xml:space="preserve">, </w:t>
      </w:r>
      <w:proofErr w:type="spellStart"/>
      <w:r w:rsidRPr="00E42CFE">
        <w:t>Kogieleum</w:t>
      </w:r>
      <w:proofErr w:type="spellEnd"/>
      <w:r w:rsidRPr="00E42CFE">
        <w:t xml:space="preserve"> Naidoo</w:t>
      </w:r>
      <w:r w:rsidRPr="00E42CFE">
        <w:rPr>
          <w:vertAlign w:val="superscript"/>
        </w:rPr>
        <w:t>13,14</w:t>
      </w:r>
      <w:r w:rsidRPr="00E42CFE">
        <w:t xml:space="preserve">, </w:t>
      </w:r>
      <w:proofErr w:type="spellStart"/>
      <w:r w:rsidRPr="00E42CFE">
        <w:t>Nesri</w:t>
      </w:r>
      <w:proofErr w:type="spellEnd"/>
      <w:r w:rsidRPr="00E42CFE">
        <w:t xml:space="preserve"> Padayatchi</w:t>
      </w:r>
      <w:r w:rsidRPr="00E42CFE">
        <w:rPr>
          <w:vertAlign w:val="superscript"/>
        </w:rPr>
        <w:t>13,14</w:t>
      </w:r>
      <w:r w:rsidRPr="00E42CFE">
        <w:t>, Gerhard Walzl</w:t>
      </w:r>
      <w:r w:rsidRPr="00E42CFE">
        <w:rPr>
          <w:vertAlign w:val="superscript"/>
        </w:rPr>
        <w:t>4</w:t>
      </w:r>
      <w:r w:rsidRPr="00E42CFE">
        <w:t>, Mark Hatherill</w:t>
      </w:r>
      <w:r w:rsidRPr="00E42CFE">
        <w:rPr>
          <w:vertAlign w:val="superscript"/>
        </w:rPr>
        <w:t>1</w:t>
      </w:r>
      <w:r w:rsidRPr="00E42CFE">
        <w:t>, Daniel Zak</w:t>
      </w:r>
      <w:r w:rsidRPr="00E42CFE">
        <w:rPr>
          <w:vertAlign w:val="superscript"/>
        </w:rPr>
        <w:t>2</w:t>
      </w:r>
      <w:r w:rsidRPr="00E42CFE">
        <w:t xml:space="preserve">, </w:t>
      </w:r>
      <w:bookmarkStart w:id="1" w:name="OLE_LINK11"/>
      <w:bookmarkStart w:id="2" w:name="OLE_LINK12"/>
      <w:r w:rsidRPr="00E42CFE">
        <w:t>Thomas J. Scriba</w:t>
      </w:r>
      <w:bookmarkEnd w:id="1"/>
      <w:bookmarkEnd w:id="2"/>
      <w:r w:rsidRPr="00E42CFE">
        <w:rPr>
          <w:vertAlign w:val="superscript"/>
        </w:rPr>
        <w:t>1</w:t>
      </w:r>
      <w:r w:rsidRPr="00E42CFE">
        <w:t xml:space="preserve">, and the </w:t>
      </w:r>
      <w:r w:rsidRPr="00744514">
        <w:t>Adolescent Cohort Study team</w:t>
      </w:r>
      <w:r w:rsidRPr="00E42CFE">
        <w:t>, GC6-74</w:t>
      </w:r>
      <w:r>
        <w:t xml:space="preserve"> Consortium</w:t>
      </w:r>
      <w:r w:rsidRPr="00E42CFE">
        <w:t xml:space="preserve">, </w:t>
      </w:r>
      <w:r w:rsidRPr="00476221">
        <w:t>the SATVI Clinical and Laboratory Team,</w:t>
      </w:r>
      <w:r>
        <w:t xml:space="preserve"> The </w:t>
      </w:r>
      <w:proofErr w:type="spellStart"/>
      <w:r w:rsidRPr="00E42CFE">
        <w:t>ScreenTB</w:t>
      </w:r>
      <w:proofErr w:type="spellEnd"/>
      <w:r w:rsidRPr="00E42CFE">
        <w:t xml:space="preserve"> and AE-TBC</w:t>
      </w:r>
      <w:r>
        <w:t xml:space="preserve"> teams, CAPRISA IMPRESS team,</w:t>
      </w:r>
      <w:r w:rsidRPr="00BD240A">
        <w:t xml:space="preserve"> </w:t>
      </w:r>
      <w:proofErr w:type="spellStart"/>
      <w:r w:rsidRPr="00BD240A">
        <w:t>RePORT</w:t>
      </w:r>
      <w:proofErr w:type="spellEnd"/>
      <w:r w:rsidRPr="00BD240A">
        <w:t xml:space="preserve"> Brazil Consortium </w:t>
      </w:r>
      <w:r>
        <w:t xml:space="preserve">and </w:t>
      </w:r>
      <w:r w:rsidRPr="000D1D29">
        <w:rPr>
          <w:lang w:eastAsia="en-US" w:bidi="he-IL"/>
        </w:rPr>
        <w:t>Peruvian Household Contacts Cohort</w:t>
      </w:r>
      <w:r>
        <w:t xml:space="preserve"> </w:t>
      </w:r>
      <w:r w:rsidRPr="00BD240A">
        <w:t>study group.</w:t>
      </w:r>
    </w:p>
    <w:p w14:paraId="3D5EB384" w14:textId="0F79CB1E" w:rsidR="00254C2F" w:rsidRDefault="00254C2F" w:rsidP="00254C2F">
      <w:pPr>
        <w:jc w:val="both"/>
        <w:rPr>
          <w:color w:val="000000"/>
          <w:lang w:val="en-GB"/>
        </w:rPr>
      </w:pPr>
    </w:p>
    <w:p w14:paraId="4E71FEF0" w14:textId="064E0A25" w:rsidR="005608AF" w:rsidRDefault="005608AF" w:rsidP="00254C2F">
      <w:pPr>
        <w:jc w:val="both"/>
        <w:rPr>
          <w:color w:val="000000"/>
          <w:lang w:val="en-GB"/>
        </w:rPr>
      </w:pPr>
    </w:p>
    <w:p w14:paraId="7AE7CF75" w14:textId="71376C07" w:rsidR="005608AF" w:rsidRPr="008A5C9F" w:rsidRDefault="005608AF" w:rsidP="00254C2F">
      <w:pPr>
        <w:jc w:val="both"/>
        <w:rPr>
          <w:color w:val="000000"/>
          <w:lang w:val="en-GB"/>
        </w:rPr>
      </w:pPr>
      <w:r>
        <w:rPr>
          <w:color w:val="000000"/>
          <w:lang w:val="en-GB"/>
        </w:rPr>
        <w:br w:type="column"/>
      </w:r>
    </w:p>
    <w:p w14:paraId="7519995B" w14:textId="77777777" w:rsidR="00254C2F" w:rsidRPr="008A5C9F" w:rsidRDefault="00254C2F" w:rsidP="00254C2F">
      <w:pPr>
        <w:jc w:val="both"/>
        <w:rPr>
          <w:b/>
          <w:color w:val="000000"/>
          <w:lang w:val="en-GB"/>
        </w:rPr>
      </w:pPr>
      <w:r w:rsidRPr="008A5C9F">
        <w:rPr>
          <w:b/>
          <w:color w:val="000000"/>
          <w:lang w:val="en-GB"/>
        </w:rPr>
        <w:t>Supplementary Figures</w:t>
      </w:r>
    </w:p>
    <w:p w14:paraId="721D200E" w14:textId="77777777" w:rsidR="00254C2F" w:rsidRPr="008A5C9F" w:rsidRDefault="00254C2F" w:rsidP="00254C2F">
      <w:pPr>
        <w:jc w:val="both"/>
        <w:rPr>
          <w:b/>
          <w:color w:val="000000"/>
          <w:lang w:val="en-GB"/>
        </w:rPr>
      </w:pPr>
    </w:p>
    <w:p w14:paraId="6263BDC8" w14:textId="77777777" w:rsidR="00254C2F" w:rsidRPr="008A5C9F" w:rsidRDefault="00254C2F" w:rsidP="00254C2F">
      <w:pPr>
        <w:jc w:val="both"/>
        <w:rPr>
          <w:b/>
          <w:color w:val="000000"/>
          <w:lang w:val="en-GB"/>
        </w:rPr>
      </w:pPr>
      <w:r w:rsidRPr="008A5C9F">
        <w:rPr>
          <w:b/>
          <w:noProof/>
          <w:color w:val="000000"/>
          <w:lang w:val="en-GB" w:eastAsia="en-US"/>
        </w:rPr>
        <w:drawing>
          <wp:inline distT="0" distB="0" distL="0" distR="0" wp14:anchorId="2BC66BA9" wp14:editId="761D0B08">
            <wp:extent cx="4680258" cy="632584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 Fig 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5760" cy="6333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495DF" w14:textId="2993D9E4" w:rsidR="005608AF" w:rsidRDefault="00254C2F" w:rsidP="00254C2F">
      <w:pPr>
        <w:autoSpaceDE w:val="0"/>
        <w:autoSpaceDN w:val="0"/>
        <w:adjustRightInd w:val="0"/>
        <w:spacing w:line="480" w:lineRule="auto"/>
        <w:jc w:val="both"/>
        <w:rPr>
          <w:color w:val="000000"/>
          <w:lang w:val="en-GB"/>
        </w:rPr>
      </w:pPr>
      <w:r w:rsidRPr="008A5C9F">
        <w:rPr>
          <w:b/>
          <w:color w:val="000000"/>
          <w:lang w:val="en-GB"/>
        </w:rPr>
        <w:t xml:space="preserve">Supplementary </w:t>
      </w:r>
      <w:r w:rsidRPr="008A5C9F">
        <w:rPr>
          <w:b/>
          <w:lang w:val="en-GB"/>
        </w:rPr>
        <w:t xml:space="preserve">Figure 1: </w:t>
      </w:r>
      <w:r w:rsidRPr="008A5C9F">
        <w:rPr>
          <w:b/>
          <w:bCs/>
          <w:color w:val="000000"/>
          <w:lang w:val="en-GB"/>
        </w:rPr>
        <w:t>Discovery and validation of RISK6</w:t>
      </w:r>
      <w:r w:rsidRPr="008A5C9F">
        <w:rPr>
          <w:color w:val="000000"/>
          <w:lang w:val="en-GB"/>
        </w:rPr>
        <w:t xml:space="preserve">. (A) Schematic depiction of the process to discover the RISK6 signature in TB progressors and non-progressors from the Adolescent Cohort Study, </w:t>
      </w:r>
      <w:r w:rsidRPr="008A5C9F">
        <w:rPr>
          <w:lang w:val="en-GB"/>
        </w:rPr>
        <w:t xml:space="preserve">using samples collected within 360 days of TB disease diagnosis </w:t>
      </w:r>
      <w:r w:rsidRPr="008A5C9F">
        <w:rPr>
          <w:lang w:val="en-GB"/>
        </w:rPr>
        <w:fldChar w:fldCharType="begin"/>
      </w:r>
      <w:r w:rsidRPr="008A5C9F">
        <w:rPr>
          <w:lang w:val="en-GB"/>
        </w:rPr>
        <w:instrText xml:space="preserve"> ADDIN PAPERS2_CITATIONS &lt;citation&gt;&lt;priority&gt;9&lt;/priority&gt;&lt;uuid&gt;C1B628A9-E7D0-484E-A5C5-F98C9D5A4324&lt;/uuid&gt;&lt;publications&gt;&lt;publication&gt;&lt;subtype&gt;400&lt;/subtype&gt;&lt;title&gt;A blood RNA signature for tuberculosis disease risk: a prospective cohort study&lt;/title&gt;&lt;url&gt;http://linkinghub.elsevier.com/retrieve/pii/S0140673615013161&lt;/url&gt;&lt;volume&gt;387&lt;/volume&gt;&lt;publication_date&gt;99201603001200000000220000&lt;/publication_date&gt;&lt;uuid&gt;9138947F-B86D-49F0-8EDB-DB7DA7C929B0&lt;/uuid&gt;&lt;type&gt;400&lt;/type&gt;&lt;number&gt;10035&lt;/number&gt;&lt;doi&gt;10.1016/S0140-6736(15)01316-1&lt;/doi&gt;&lt;institution&gt;The Center for Infectious Disease Research, Seattle, WA, USA.&lt;/institution&gt;&lt;startpage&gt;2312&lt;/startpage&gt;&lt;endpage&gt;2322&lt;/endpage&gt;&lt;bundle&gt;&lt;publication&gt;&lt;title&gt;The Lancet&lt;/title&gt;&lt;uuid&gt;1A7376AA-F20A-41F1-A48E-5829DA4C50F7&lt;/uuid&gt;&lt;subtype&gt;-100&lt;/subtype&gt;&lt;type&gt;-100&lt;/type&gt;&lt;/publication&gt;&lt;/bundle&gt;&lt;authors&gt;&lt;author&gt;&lt;lastName&gt;Zak&lt;/lastName&gt;&lt;firstName&gt;Daniel&lt;/firstName&gt;&lt;middleNames&gt;E&lt;/middleNames&gt;&lt;/author&gt;&lt;author&gt;&lt;lastName&gt;Penn-Nicholson&lt;/lastName&gt;&lt;firstName&gt;Adam&lt;/firstName&gt;&lt;/author&gt;&lt;author&gt;&lt;lastName&gt;Scriba&lt;/lastName&gt;&lt;firstName&gt;Thomas&lt;/firstName&gt;&lt;middleNames&gt;J&lt;/middleNames&gt;&lt;/author&gt;&lt;author&gt;&lt;lastName&gt;Thompson&lt;/lastName&gt;&lt;firstName&gt;Ethan&lt;/firstName&gt;&lt;/author&gt;&lt;author&gt;&lt;lastName&gt;Suliman&lt;/lastName&gt;&lt;firstName&gt;Sara&lt;/firstName&gt;&lt;/author&gt;&lt;author&gt;&lt;lastName&gt;Amon&lt;/lastName&gt;&lt;firstName&gt;Lynn&lt;/firstName&gt;&lt;middleNames&gt;M&lt;/middleNames&gt;&lt;/author&gt;&lt;author&gt;&lt;lastName&gt;Mahomed&lt;/lastName&gt;&lt;firstName&gt;Hassan&lt;/firstName&gt;&lt;/author&gt;&lt;author&gt;&lt;lastName&gt;Erasmus&lt;/lastName&gt;&lt;firstName&gt;Mzwandile&lt;/firstName&gt;&lt;/author&gt;&lt;author&gt;&lt;lastName&gt;Whatney&lt;/lastName&gt;&lt;firstName&gt;Wendy&lt;/firstName&gt;&lt;/author&gt;&lt;author&gt;&lt;lastName&gt;Hussey&lt;/lastName&gt;&lt;firstName&gt;Gregory&lt;/firstName&gt;&lt;middleNames&gt;D&lt;/middleNames&gt;&lt;/author&gt;&lt;author&gt;&lt;lastName&gt;Abrahams&lt;/lastName&gt;&lt;firstName&gt;Deborah&lt;/firstName&gt;&lt;/author&gt;&lt;author&gt;&lt;lastName&gt;Kafaar&lt;/lastName&gt;&lt;firstName&gt;Fazlin&lt;/firstName&gt;&lt;/author&gt;&lt;author&gt;&lt;lastName&gt;Hawkridge&lt;/lastName&gt;&lt;firstName&gt;Tony&lt;/firstName&gt;&lt;/author&gt;&lt;author&gt;&lt;lastName&gt;Verver&lt;/lastName&gt;&lt;firstName&gt;Suzanne&lt;/firstName&gt;&lt;/author&gt;&lt;author&gt;&lt;lastName&gt;Hughes&lt;/lastName&gt;&lt;firstName&gt;E&lt;/firstName&gt;&lt;middleNames&gt;Jane&lt;/middleNames&gt;&lt;/author&gt;&lt;author&gt;&lt;lastName&gt;Ota&lt;/lastName&gt;&lt;firstName&gt;Martin&lt;/firstName&gt;&lt;/author&gt;&lt;author&gt;&lt;lastName&gt;Sutherland&lt;/lastName&gt;&lt;firstName&gt;Jayne&lt;/firstName&gt;&lt;/author&gt;&lt;author&gt;&lt;lastName&gt;Howe&lt;/lastName&gt;&lt;firstName&gt;Rawleigh&lt;/firstName&gt;&lt;/author&gt;&lt;author&gt;&lt;lastName&gt;Dockrell&lt;/lastName&gt;&lt;firstName&gt;Hazel&lt;/firstName&gt;&lt;middleNames&gt;M&lt;/middleNames&gt;&lt;/author&gt;&lt;author&gt;&lt;lastName&gt;Boom&lt;/lastName&gt;&lt;firstName&gt;W&lt;/firstName&gt;&lt;middleNames&gt;Henry&lt;/middleNames&gt;&lt;/author&gt;&lt;author&gt;&lt;lastName&gt;Thiel&lt;/lastName&gt;&lt;firstName&gt;Bonnie&lt;/firstName&gt;&lt;/author&gt;&lt;author&gt;&lt;lastName&gt;Ottenhoff&lt;/lastName&gt;&lt;firstName&gt;Tom&lt;/firstName&gt;&lt;middleNames&gt;H M&lt;/middleNames&gt;&lt;/author&gt;&lt;author&gt;&lt;lastName&gt;Mayanja-Kizza&lt;/lastName&gt;&lt;firstName&gt;Harriet&lt;/firstName&gt;&lt;/author&gt;&lt;author&gt;&lt;lastName&gt;Crampin&lt;/lastName&gt;&lt;firstName&gt;Amelia&lt;/firstName&gt;&lt;middleNames&gt;C&lt;/middleNames&gt;&lt;/author&gt;&lt;author&gt;&lt;lastName&gt;Downing&lt;/lastName&gt;&lt;firstName&gt;Katrina&lt;/firstName&gt;&lt;/author&gt;&lt;author&gt;&lt;lastName&gt;Hatherill&lt;/lastName&gt;&lt;firstName&gt;Mark&lt;/firstName&gt;&lt;/author&gt;&lt;author&gt;&lt;lastName&gt;Valvo&lt;/lastName&gt;&lt;firstName&gt;Joe&lt;/firstName&gt;&lt;/author&gt;&lt;author&gt;&lt;lastName&gt;Shankar&lt;/lastName&gt;&lt;firstName&gt;Smitha&lt;/firstName&gt;&lt;/author&gt;&lt;author&gt;&lt;lastName&gt;Parida&lt;/lastName&gt;&lt;firstName&gt;Shreemanta&lt;/firstName&gt;&lt;middleNames&gt;K&lt;/middleNames&gt;&lt;/author&gt;&lt;author&gt;&lt;lastName&gt;Kaufmann&lt;/lastName&gt;&lt;firstName&gt;Stefan&lt;/firstName&gt;&lt;middleNames&gt;H E&lt;/middleNames&gt;&lt;/author&gt;&lt;author&gt;&lt;lastName&gt;Walzl&lt;/lastName&gt;&lt;firstName&gt;Gerhard&lt;/firstName&gt;&lt;/author&gt;&lt;author&gt;&lt;lastName&gt;Aderem&lt;/lastName&gt;&lt;firstName&gt;Alan&lt;/firstName&gt;&lt;/author&gt;&lt;author&gt;&lt;lastName&gt;Hanekom&lt;/lastName&gt;&lt;firstName&gt;Willem&lt;/firstName&gt;&lt;middleNames&gt;A&lt;/middleNames&gt;&lt;/author&gt;&lt;/authors&gt;&lt;/publication&gt;&lt;/publications&gt;&lt;cites&gt;&lt;/cites&gt;&lt;/citation&gt;</w:instrText>
      </w:r>
      <w:r w:rsidRPr="008A5C9F">
        <w:rPr>
          <w:lang w:val="en-GB"/>
        </w:rPr>
        <w:fldChar w:fldCharType="separate"/>
      </w:r>
      <w:r w:rsidRPr="008A5C9F">
        <w:rPr>
          <w:rFonts w:eastAsiaTheme="minorHAnsi"/>
          <w:vertAlign w:val="superscript"/>
          <w:lang w:val="en-GB" w:eastAsia="en-US"/>
        </w:rPr>
        <w:t>6</w:t>
      </w:r>
      <w:r w:rsidRPr="008A5C9F">
        <w:rPr>
          <w:lang w:val="en-GB"/>
        </w:rPr>
        <w:fldChar w:fldCharType="end"/>
      </w:r>
      <w:r w:rsidRPr="008A5C9F">
        <w:rPr>
          <w:lang w:val="en-GB"/>
        </w:rPr>
        <w:t>. Differentially expressed exon junctions were identified using RNA-sequencing data and support vector machines of all possible pairs of junctions were trained using the Pair-Ratio approach (see methods). 84 junction pairs that differentiated progressors and non-progressors</w:t>
      </w:r>
      <w:r w:rsidRPr="008A5C9F" w:rsidDel="00511049">
        <w:rPr>
          <w:lang w:val="en-GB"/>
        </w:rPr>
        <w:t xml:space="preserve"> </w:t>
      </w:r>
      <w:r w:rsidRPr="008A5C9F">
        <w:rPr>
          <w:lang w:val="en-GB"/>
        </w:rPr>
        <w:lastRenderedPageBreak/>
        <w:t xml:space="preserve">with the highest sensitivity and specificity were selected and quantified by microfluidic qRT-PCR. Using these PCR data, a small set of junction-pairs was selected to train the most parsimonious signature with excellent performance in the ACS cohort, </w:t>
      </w:r>
      <w:r w:rsidR="00C65322" w:rsidRPr="008A5C9F">
        <w:rPr>
          <w:lang w:val="en-GB"/>
        </w:rPr>
        <w:t>RISK6</w:t>
      </w:r>
      <w:r w:rsidRPr="008A5C9F">
        <w:rPr>
          <w:lang w:val="en-GB"/>
        </w:rPr>
        <w:t>.</w:t>
      </w:r>
      <w:r w:rsidRPr="008A5C9F">
        <w:rPr>
          <w:color w:val="000000"/>
          <w:lang w:val="en-GB"/>
        </w:rPr>
        <w:t xml:space="preserve"> (B) RISK6 was validated by blind application using microfluidic qRT-PCR to samples from </w:t>
      </w:r>
      <w:r w:rsidR="009C6FF1">
        <w:rPr>
          <w:color w:val="000000"/>
          <w:lang w:val="en-GB"/>
        </w:rPr>
        <w:t>seven</w:t>
      </w:r>
      <w:r w:rsidR="00C65322" w:rsidRPr="008A5C9F">
        <w:rPr>
          <w:color w:val="000000"/>
          <w:lang w:val="en-GB"/>
        </w:rPr>
        <w:t xml:space="preserve"> </w:t>
      </w:r>
      <w:r w:rsidRPr="008A5C9F">
        <w:rPr>
          <w:color w:val="000000"/>
          <w:lang w:val="en-GB"/>
        </w:rPr>
        <w:t xml:space="preserve">different cohorts, arranged according to prognostic, diagnostic or treatment response validation and HIV status. </w:t>
      </w:r>
    </w:p>
    <w:p w14:paraId="67A7C094" w14:textId="77777777" w:rsidR="00254C2F" w:rsidRPr="008A5C9F" w:rsidRDefault="005608AF" w:rsidP="00254C2F">
      <w:pPr>
        <w:autoSpaceDE w:val="0"/>
        <w:autoSpaceDN w:val="0"/>
        <w:adjustRightInd w:val="0"/>
        <w:spacing w:line="480" w:lineRule="auto"/>
        <w:jc w:val="both"/>
        <w:rPr>
          <w:color w:val="000000"/>
          <w:lang w:val="en-GB"/>
        </w:rPr>
      </w:pPr>
      <w:r>
        <w:rPr>
          <w:color w:val="000000"/>
          <w:lang w:val="en-GB"/>
        </w:rPr>
        <w:br w:type="column"/>
      </w:r>
    </w:p>
    <w:p w14:paraId="3EA65B49" w14:textId="77777777" w:rsidR="00254C2F" w:rsidRPr="008A5C9F" w:rsidRDefault="00254C2F" w:rsidP="00254C2F">
      <w:pPr>
        <w:jc w:val="both"/>
        <w:rPr>
          <w:b/>
          <w:color w:val="000000"/>
          <w:lang w:val="en-GB"/>
        </w:rPr>
      </w:pPr>
    </w:p>
    <w:p w14:paraId="0F08E01B" w14:textId="77777777" w:rsidR="00254C2F" w:rsidRPr="008A5C9F" w:rsidRDefault="00254C2F" w:rsidP="00254C2F">
      <w:pPr>
        <w:jc w:val="both"/>
        <w:rPr>
          <w:color w:val="000000"/>
          <w:lang w:val="en-GB"/>
        </w:rPr>
      </w:pPr>
    </w:p>
    <w:p w14:paraId="628A2474" w14:textId="77777777" w:rsidR="00254C2F" w:rsidRPr="008A5C9F" w:rsidRDefault="00254C2F" w:rsidP="00254C2F">
      <w:pPr>
        <w:jc w:val="both"/>
        <w:rPr>
          <w:color w:val="000000"/>
          <w:lang w:val="en-GB"/>
        </w:rPr>
      </w:pPr>
      <w:r w:rsidRPr="008A5C9F">
        <w:rPr>
          <w:noProof/>
          <w:color w:val="000000"/>
          <w:lang w:val="en-GB" w:eastAsia="en-US"/>
        </w:rPr>
        <w:drawing>
          <wp:inline distT="0" distB="0" distL="0" distR="0" wp14:anchorId="533D2D89" wp14:editId="6D08D5E1">
            <wp:extent cx="4441867" cy="6214683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ppl 1 - Model selection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8856" cy="622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55C44" w14:textId="4F495EA1" w:rsidR="00254C2F" w:rsidRPr="008A5C9F" w:rsidRDefault="00254C2F" w:rsidP="00254C2F">
      <w:pPr>
        <w:jc w:val="both"/>
        <w:rPr>
          <w:color w:val="000000"/>
          <w:lang w:val="en-GB"/>
        </w:rPr>
      </w:pPr>
      <w:r w:rsidRPr="008A5C9F">
        <w:rPr>
          <w:b/>
          <w:color w:val="000000"/>
          <w:lang w:val="en-GB"/>
        </w:rPr>
        <w:t>Supplementary Figure 2</w:t>
      </w:r>
      <w:r w:rsidRPr="008A5C9F">
        <w:rPr>
          <w:color w:val="000000"/>
          <w:lang w:val="en-GB"/>
        </w:rPr>
        <w:t xml:space="preserve">. Network representation of the pairs (depicted by the edges) formed between </w:t>
      </w:r>
      <w:r w:rsidRPr="008A5C9F">
        <w:rPr>
          <w:lang w:val="en-GB"/>
        </w:rPr>
        <w:t xml:space="preserve">84 unique exon junctions (depicted by the nodes) identified from RNA-seq data in the adolescent progressor and non-progressor cohort, by the random subsets approach. This method randomly selects a partition of half the samples with a quarter of the features, to train support vector machines of all possible pairs of junctions using the Pair-Ratio approach. The Pair-Ratio approach pairs transcripts that are regulated in opposite directions in progressors and non-progressors, depicted as red (higher in progressors) and green (higher in non-progressors) nodes. The ROC plot at the bottom depicts the AUCs (and p-values) of </w:t>
      </w:r>
      <w:r w:rsidR="00C65322" w:rsidRPr="008A5C9F">
        <w:rPr>
          <w:lang w:val="en-GB"/>
        </w:rPr>
        <w:t xml:space="preserve">5 </w:t>
      </w:r>
      <w:r w:rsidRPr="008A5C9F">
        <w:rPr>
          <w:lang w:val="en-GB"/>
        </w:rPr>
        <w:t xml:space="preserve">parsimonious pair-ratio ensemble signatures comprising between 2 to 10 genes (comprising the top Pair-Ratios, PR), measured by qRT-PCR in samples collected within 6 months of TB diagnosis in ACS progressors versus non-progressors. </w:t>
      </w:r>
    </w:p>
    <w:p w14:paraId="2AD18CA6" w14:textId="77777777" w:rsidR="00254C2F" w:rsidRPr="008A5C9F" w:rsidRDefault="00254C2F" w:rsidP="00254C2F">
      <w:pPr>
        <w:jc w:val="both"/>
        <w:rPr>
          <w:color w:val="000000"/>
          <w:lang w:val="en-GB"/>
        </w:rPr>
      </w:pPr>
    </w:p>
    <w:p w14:paraId="440D7E04" w14:textId="77777777" w:rsidR="00254C2F" w:rsidRPr="008A5C9F" w:rsidRDefault="00254C2F" w:rsidP="00254C2F">
      <w:pPr>
        <w:jc w:val="both"/>
        <w:rPr>
          <w:color w:val="000000"/>
          <w:lang w:val="en-GB"/>
        </w:rPr>
      </w:pPr>
    </w:p>
    <w:p w14:paraId="54A844C1" w14:textId="77777777" w:rsidR="00254C2F" w:rsidRPr="008A5C9F" w:rsidRDefault="00254C2F" w:rsidP="00254C2F">
      <w:pPr>
        <w:jc w:val="both"/>
        <w:rPr>
          <w:color w:val="000000"/>
          <w:lang w:val="en-GB"/>
        </w:rPr>
      </w:pPr>
    </w:p>
    <w:p w14:paraId="56629021" w14:textId="01287906" w:rsidR="00254C2F" w:rsidRDefault="00254C2F" w:rsidP="00254C2F">
      <w:pPr>
        <w:jc w:val="both"/>
        <w:rPr>
          <w:color w:val="000000"/>
          <w:lang w:val="en-GB"/>
        </w:rPr>
      </w:pPr>
    </w:p>
    <w:p w14:paraId="08B78033" w14:textId="4B18EC8A" w:rsidR="00926189" w:rsidRDefault="001C31D4" w:rsidP="00254C2F">
      <w:pPr>
        <w:jc w:val="both"/>
        <w:rPr>
          <w:color w:val="000000"/>
          <w:lang w:val="en-GB"/>
        </w:rPr>
      </w:pPr>
      <w:r>
        <w:rPr>
          <w:noProof/>
          <w:color w:val="000000"/>
          <w:lang w:val="en-GB"/>
        </w:rPr>
        <w:drawing>
          <wp:inline distT="0" distB="0" distL="0" distR="0" wp14:anchorId="163758CE" wp14:editId="504F13C1">
            <wp:extent cx="3729603" cy="3799481"/>
            <wp:effectExtent l="0" t="0" r="4445" b="0"/>
            <wp:docPr id="3" name="Picture 3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SupplementaryFi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353" cy="380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7CD62" w14:textId="5C85C3C0" w:rsidR="00926189" w:rsidRPr="008A5C9F" w:rsidRDefault="00926189" w:rsidP="00254C2F">
      <w:pPr>
        <w:jc w:val="both"/>
        <w:rPr>
          <w:color w:val="000000"/>
          <w:lang w:val="en-GB"/>
        </w:rPr>
      </w:pPr>
      <w:r w:rsidRPr="008A5C9F">
        <w:rPr>
          <w:b/>
          <w:color w:val="000000"/>
          <w:lang w:val="en-GB"/>
        </w:rPr>
        <w:t xml:space="preserve">Supplementary Figure </w:t>
      </w:r>
      <w:r>
        <w:rPr>
          <w:b/>
          <w:color w:val="000000"/>
          <w:lang w:val="en-GB"/>
        </w:rPr>
        <w:t>3</w:t>
      </w:r>
      <w:r w:rsidRPr="008A5C9F">
        <w:rPr>
          <w:color w:val="000000"/>
          <w:lang w:val="en-GB"/>
        </w:rPr>
        <w:t xml:space="preserve">. </w:t>
      </w:r>
      <w:r>
        <w:rPr>
          <w:color w:val="000000"/>
          <w:lang w:val="en-GB"/>
        </w:rPr>
        <w:t xml:space="preserve">Area under the </w:t>
      </w:r>
      <w:r w:rsidRPr="008A5C9F">
        <w:rPr>
          <w:lang w:val="en-GB"/>
        </w:rPr>
        <w:t xml:space="preserve">ROC </w:t>
      </w:r>
      <w:r>
        <w:rPr>
          <w:lang w:val="en-GB"/>
        </w:rPr>
        <w:t>curve</w:t>
      </w:r>
      <w:r w:rsidRPr="008A5C9F">
        <w:rPr>
          <w:lang w:val="en-GB"/>
        </w:rPr>
        <w:t xml:space="preserve"> </w:t>
      </w:r>
      <w:r w:rsidR="00051867">
        <w:rPr>
          <w:lang w:val="en-GB"/>
        </w:rPr>
        <w:t>analysis</w:t>
      </w:r>
      <w:r w:rsidRPr="008A5C9F">
        <w:rPr>
          <w:lang w:val="en-GB"/>
        </w:rPr>
        <w:t xml:space="preserve"> </w:t>
      </w:r>
      <w:r w:rsidR="004838E8">
        <w:rPr>
          <w:lang w:val="en-GB"/>
        </w:rPr>
        <w:t xml:space="preserve">for </w:t>
      </w:r>
      <w:r w:rsidR="001412C9">
        <w:rPr>
          <w:lang w:val="en-GB"/>
        </w:rPr>
        <w:t xml:space="preserve">transcriptomic signature </w:t>
      </w:r>
      <w:r w:rsidRPr="008A5C9F">
        <w:rPr>
          <w:lang w:val="en-GB"/>
        </w:rPr>
        <w:t>discrimination</w:t>
      </w:r>
      <w:r w:rsidR="0098311F">
        <w:rPr>
          <w:lang w:val="en-GB"/>
        </w:rPr>
        <w:t xml:space="preserve"> </w:t>
      </w:r>
      <w:r w:rsidRPr="008A5C9F">
        <w:rPr>
          <w:lang w:val="en-GB"/>
        </w:rPr>
        <w:t xml:space="preserve">between </w:t>
      </w:r>
      <w:r>
        <w:rPr>
          <w:lang w:val="en-GB"/>
        </w:rPr>
        <w:t xml:space="preserve">GC6-74 cohort samples </w:t>
      </w:r>
      <w:r w:rsidR="00A02880">
        <w:rPr>
          <w:lang w:val="en-GB"/>
        </w:rPr>
        <w:t xml:space="preserve">from controls and samples from </w:t>
      </w:r>
      <w:r w:rsidR="00A02880" w:rsidRPr="008A5C9F">
        <w:rPr>
          <w:lang w:val="en-GB"/>
        </w:rPr>
        <w:t xml:space="preserve">TB </w:t>
      </w:r>
      <w:r w:rsidR="00A02880">
        <w:rPr>
          <w:lang w:val="en-GB"/>
        </w:rPr>
        <w:t>progressors</w:t>
      </w:r>
      <w:r w:rsidR="00A02880" w:rsidRPr="008A5C9F">
        <w:rPr>
          <w:lang w:val="en-GB"/>
        </w:rPr>
        <w:t xml:space="preserve"> </w:t>
      </w:r>
      <w:r>
        <w:rPr>
          <w:lang w:val="en-GB"/>
        </w:rPr>
        <w:t>collected within 6 months of TB diagnosis.</w:t>
      </w:r>
      <w:r w:rsidR="00F56EB6">
        <w:rPr>
          <w:lang w:val="en-GB"/>
        </w:rPr>
        <w:t xml:space="preserve"> The shading represents 95% confidence intervals.</w:t>
      </w:r>
      <w:r w:rsidR="00270734">
        <w:rPr>
          <w:lang w:val="en-GB"/>
        </w:rPr>
        <w:t xml:space="preserve"> The boxes in the top left corner represent the optimal (solid line) and minimum (dotted line) criteria set out in the target product profile for an incipient TB test.</w:t>
      </w:r>
      <w:r w:rsidR="00F6473A">
        <w:rPr>
          <w:lang w:val="en-GB"/>
        </w:rPr>
        <w:t xml:space="preserve"> Gene expression was measured by qRT-PCR for all 4 signatures.</w:t>
      </w:r>
      <w:r w:rsidR="00361E9F">
        <w:rPr>
          <w:lang w:val="en-GB"/>
        </w:rPr>
        <w:t xml:space="preserve"> </w:t>
      </w:r>
      <w:r w:rsidR="00EB43F4">
        <w:rPr>
          <w:lang w:val="en-GB"/>
        </w:rPr>
        <w:t>M</w:t>
      </w:r>
      <w:r w:rsidR="00361E9F">
        <w:rPr>
          <w:lang w:val="en-GB"/>
        </w:rPr>
        <w:t>ethods for measuring the</w:t>
      </w:r>
      <w:r w:rsidR="00F6473A">
        <w:rPr>
          <w:lang w:val="en-GB"/>
        </w:rPr>
        <w:t xml:space="preserve"> Sweeney3 and Maertzdorf4 </w:t>
      </w:r>
      <w:r w:rsidR="00361E9F">
        <w:rPr>
          <w:lang w:val="en-GB"/>
        </w:rPr>
        <w:t>signatures are</w:t>
      </w:r>
      <w:r w:rsidR="00F6473A">
        <w:rPr>
          <w:lang w:val="en-GB"/>
        </w:rPr>
        <w:t xml:space="preserve"> </w:t>
      </w:r>
      <w:r w:rsidR="00361E9F">
        <w:rPr>
          <w:lang w:val="en-GB"/>
        </w:rPr>
        <w:t>described</w:t>
      </w:r>
      <w:r w:rsidR="00F6473A">
        <w:rPr>
          <w:lang w:val="en-GB"/>
        </w:rPr>
        <w:t xml:space="preserve"> in Suliman et al., AJRCCM 2018.</w:t>
      </w:r>
    </w:p>
    <w:p w14:paraId="1E403109" w14:textId="77777777" w:rsidR="00254C2F" w:rsidRPr="008A5C9F" w:rsidRDefault="00254C2F" w:rsidP="00254C2F">
      <w:pPr>
        <w:jc w:val="both"/>
        <w:rPr>
          <w:color w:val="000000"/>
          <w:lang w:val="en-GB"/>
        </w:rPr>
      </w:pPr>
    </w:p>
    <w:p w14:paraId="1FA5E117" w14:textId="281AB76D" w:rsidR="00254C2F" w:rsidRPr="008A5C9F" w:rsidRDefault="005608AF" w:rsidP="00254C2F">
      <w:pPr>
        <w:jc w:val="both"/>
        <w:rPr>
          <w:color w:val="000000"/>
          <w:lang w:val="en-GB"/>
        </w:rPr>
      </w:pPr>
      <w:r>
        <w:rPr>
          <w:color w:val="000000"/>
          <w:lang w:val="en-GB"/>
        </w:rPr>
        <w:br w:type="column"/>
      </w:r>
    </w:p>
    <w:p w14:paraId="39B8F963" w14:textId="77777777" w:rsidR="00254C2F" w:rsidRPr="008A5C9F" w:rsidRDefault="00254C2F" w:rsidP="00254C2F">
      <w:pPr>
        <w:jc w:val="both"/>
        <w:rPr>
          <w:color w:val="000000"/>
          <w:lang w:val="en-GB"/>
        </w:rPr>
      </w:pPr>
      <w:r w:rsidRPr="008A5C9F">
        <w:rPr>
          <w:noProof/>
          <w:color w:val="000000"/>
          <w:lang w:val="en-GB" w:eastAsia="en-US"/>
        </w:rPr>
        <w:drawing>
          <wp:inline distT="0" distB="0" distL="0" distR="0" wp14:anchorId="07021546" wp14:editId="75F6CDB5">
            <wp:extent cx="2403053" cy="2488368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uppl Fig 2 Brazil ACS 6 gene reverse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1526" cy="249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1021" w14:textId="77777777" w:rsidR="00254C2F" w:rsidRPr="008A5C9F" w:rsidRDefault="00254C2F" w:rsidP="00254C2F">
      <w:pPr>
        <w:jc w:val="both"/>
        <w:rPr>
          <w:color w:val="000000"/>
          <w:lang w:val="en-GB"/>
        </w:rPr>
      </w:pPr>
    </w:p>
    <w:p w14:paraId="362B6834" w14:textId="64760023" w:rsidR="00254C2F" w:rsidRPr="008A5C9F" w:rsidRDefault="00254C2F" w:rsidP="00254C2F">
      <w:pPr>
        <w:jc w:val="both"/>
        <w:rPr>
          <w:color w:val="000000"/>
          <w:lang w:val="en-GB"/>
        </w:rPr>
      </w:pPr>
      <w:r w:rsidRPr="008A5C9F">
        <w:rPr>
          <w:b/>
          <w:color w:val="000000"/>
          <w:lang w:val="en-GB"/>
        </w:rPr>
        <w:t xml:space="preserve">Supplementary Figure </w:t>
      </w:r>
      <w:r w:rsidR="00926189">
        <w:rPr>
          <w:b/>
          <w:color w:val="000000"/>
          <w:lang w:val="en-GB"/>
        </w:rPr>
        <w:t>4</w:t>
      </w:r>
      <w:r w:rsidRPr="008A5C9F">
        <w:rPr>
          <w:color w:val="000000"/>
          <w:lang w:val="en-GB"/>
        </w:rPr>
        <w:t xml:space="preserve">. </w:t>
      </w:r>
      <w:r w:rsidRPr="008A5C9F">
        <w:rPr>
          <w:lang w:val="en-GB"/>
        </w:rPr>
        <w:t xml:space="preserve">ROC AUC values for discrimination between TB cases and asymptomatic controls in the Brazilian cohort by the full 6-gene RISK6 signature (nine pairs formed between six transcripts, far left), or after removing </w:t>
      </w:r>
      <w:r w:rsidR="00C65322" w:rsidRPr="008A5C9F">
        <w:rPr>
          <w:lang w:val="en-GB"/>
        </w:rPr>
        <w:t>1</w:t>
      </w:r>
      <w:r w:rsidRPr="008A5C9F">
        <w:rPr>
          <w:lang w:val="en-GB"/>
        </w:rPr>
        <w:t xml:space="preserve">, </w:t>
      </w:r>
      <w:r w:rsidR="00C65322" w:rsidRPr="008A5C9F">
        <w:rPr>
          <w:lang w:val="en-GB"/>
        </w:rPr>
        <w:t>2</w:t>
      </w:r>
      <w:r w:rsidRPr="008A5C9F">
        <w:rPr>
          <w:lang w:val="en-GB"/>
        </w:rPr>
        <w:t xml:space="preserve">, </w:t>
      </w:r>
      <w:r w:rsidR="00C65322" w:rsidRPr="008A5C9F">
        <w:rPr>
          <w:lang w:val="en-GB"/>
        </w:rPr>
        <w:t xml:space="preserve">3 </w:t>
      </w:r>
      <w:r w:rsidRPr="008A5C9F">
        <w:rPr>
          <w:lang w:val="en-GB"/>
        </w:rPr>
        <w:t xml:space="preserve">or </w:t>
      </w:r>
      <w:r w:rsidR="00C65322" w:rsidRPr="008A5C9F">
        <w:rPr>
          <w:lang w:val="en-GB"/>
        </w:rPr>
        <w:t>4</w:t>
      </w:r>
      <w:r w:rsidRPr="008A5C9F">
        <w:rPr>
          <w:lang w:val="en-GB"/>
        </w:rPr>
        <w:t>, of the transcripts such that every combination of the pairs (represented by individual blue dots) was tested. The grey bar graph represents the mean and the error bar the 95% CI.</w:t>
      </w:r>
    </w:p>
    <w:p w14:paraId="3A495ECB" w14:textId="77777777" w:rsidR="00254C2F" w:rsidRPr="008A5C9F" w:rsidRDefault="00254C2F" w:rsidP="00254C2F">
      <w:pPr>
        <w:jc w:val="both"/>
        <w:rPr>
          <w:rFonts w:eastAsiaTheme="minorHAnsi"/>
          <w:lang w:val="en-GB"/>
        </w:rPr>
      </w:pPr>
    </w:p>
    <w:p w14:paraId="7F0369F4" w14:textId="77777777" w:rsidR="00C07270" w:rsidRPr="008A5C9F" w:rsidRDefault="004F7D77">
      <w:pPr>
        <w:rPr>
          <w:lang w:val="en-GB"/>
        </w:rPr>
      </w:pPr>
    </w:p>
    <w:sectPr w:rsidR="00C07270" w:rsidRPr="008A5C9F" w:rsidSect="0014518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997C5" w14:textId="77777777" w:rsidR="004F7D77" w:rsidRDefault="004F7D77" w:rsidP="00254C2F">
      <w:r>
        <w:separator/>
      </w:r>
    </w:p>
  </w:endnote>
  <w:endnote w:type="continuationSeparator" w:id="0">
    <w:p w14:paraId="1A6B0569" w14:textId="77777777" w:rsidR="004F7D77" w:rsidRDefault="004F7D77" w:rsidP="00254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5C17B" w14:textId="77777777" w:rsidR="004F7D77" w:rsidRDefault="004F7D77" w:rsidP="00254C2F">
      <w:r>
        <w:separator/>
      </w:r>
    </w:p>
  </w:footnote>
  <w:footnote w:type="continuationSeparator" w:id="0">
    <w:p w14:paraId="7FD29E7A" w14:textId="77777777" w:rsidR="004F7D77" w:rsidRDefault="004F7D77" w:rsidP="00254C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2F"/>
    <w:rsid w:val="0002287D"/>
    <w:rsid w:val="00051867"/>
    <w:rsid w:val="00076A79"/>
    <w:rsid w:val="001412C9"/>
    <w:rsid w:val="00145187"/>
    <w:rsid w:val="001C31D4"/>
    <w:rsid w:val="001F6141"/>
    <w:rsid w:val="00240906"/>
    <w:rsid w:val="00254A40"/>
    <w:rsid w:val="00254C2F"/>
    <w:rsid w:val="00270734"/>
    <w:rsid w:val="00292ADC"/>
    <w:rsid w:val="00361E9F"/>
    <w:rsid w:val="00476221"/>
    <w:rsid w:val="004838E8"/>
    <w:rsid w:val="004F7D77"/>
    <w:rsid w:val="005608AF"/>
    <w:rsid w:val="005C381C"/>
    <w:rsid w:val="006A7FAD"/>
    <w:rsid w:val="006C2593"/>
    <w:rsid w:val="00770036"/>
    <w:rsid w:val="00795FAF"/>
    <w:rsid w:val="007B4D88"/>
    <w:rsid w:val="008A5C9F"/>
    <w:rsid w:val="008F2C9F"/>
    <w:rsid w:val="00926189"/>
    <w:rsid w:val="0098311F"/>
    <w:rsid w:val="009A73DA"/>
    <w:rsid w:val="009C6FF1"/>
    <w:rsid w:val="009D39BF"/>
    <w:rsid w:val="009E7B61"/>
    <w:rsid w:val="00A02880"/>
    <w:rsid w:val="00B364A3"/>
    <w:rsid w:val="00B57F59"/>
    <w:rsid w:val="00BC0919"/>
    <w:rsid w:val="00C65322"/>
    <w:rsid w:val="00C94C97"/>
    <w:rsid w:val="00E91DE3"/>
    <w:rsid w:val="00EB43F4"/>
    <w:rsid w:val="00F15096"/>
    <w:rsid w:val="00F56EB6"/>
    <w:rsid w:val="00F6473A"/>
    <w:rsid w:val="00FB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C3FC98"/>
  <w15:chartTrackingRefBased/>
  <w15:docId w15:val="{E5767645-75B1-0541-A747-20968CE1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C2F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4C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C2F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4C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C2F"/>
    <w:rPr>
      <w:rFonts w:ascii="Times New Roman" w:eastAsia="Times New Roman" w:hAnsi="Times New Roman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F5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F59"/>
    <w:rPr>
      <w:rFonts w:ascii="Times New Roman" w:eastAsia="Times New Roman" w:hAnsi="Times New Roman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1132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Scriba</dc:creator>
  <cp:keywords/>
  <dc:description/>
  <cp:lastModifiedBy>Thomas Scriba</cp:lastModifiedBy>
  <cp:revision>3</cp:revision>
  <dcterms:created xsi:type="dcterms:W3CDTF">2020-02-25T06:20:00Z</dcterms:created>
  <dcterms:modified xsi:type="dcterms:W3CDTF">2020-02-25T06:30:00Z</dcterms:modified>
</cp:coreProperties>
</file>