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081" w:rsidRPr="00950006" w:rsidRDefault="00EA5081" w:rsidP="00EA5081">
      <w:pPr>
        <w:pStyle w:val="Default"/>
        <w:spacing w:line="360" w:lineRule="auto"/>
        <w:jc w:val="both"/>
        <w:rPr>
          <w:b/>
          <w:bCs/>
          <w:color w:val="auto"/>
          <w:sz w:val="22"/>
          <w:szCs w:val="22"/>
          <w:lang w:val="en-US"/>
        </w:rPr>
      </w:pPr>
      <w:bookmarkStart w:id="0" w:name="_Hlk26874274"/>
      <w:bookmarkEnd w:id="0"/>
      <w:r w:rsidRPr="00950006">
        <w:rPr>
          <w:b/>
          <w:bCs/>
          <w:color w:val="auto"/>
          <w:sz w:val="22"/>
          <w:szCs w:val="22"/>
          <w:lang w:val="en-US"/>
        </w:rPr>
        <w:t xml:space="preserve">Evidence of </w:t>
      </w:r>
      <w:proofErr w:type="spellStart"/>
      <w:r w:rsidRPr="00950006">
        <w:rPr>
          <w:b/>
          <w:bCs/>
          <w:color w:val="auto"/>
          <w:sz w:val="22"/>
          <w:szCs w:val="22"/>
          <w:lang w:val="en-US"/>
        </w:rPr>
        <w:t>Biorealistic</w:t>
      </w:r>
      <w:proofErr w:type="spellEnd"/>
      <w:r w:rsidRPr="00950006">
        <w:rPr>
          <w:b/>
          <w:bCs/>
          <w:color w:val="auto"/>
          <w:sz w:val="22"/>
          <w:szCs w:val="22"/>
          <w:lang w:val="en-US"/>
        </w:rPr>
        <w:t xml:space="preserve"> Synaptic Behavior in Diffusive Li-based Two-terminal Resistive Switching Devices</w:t>
      </w:r>
      <w:bookmarkStart w:id="1" w:name="_GoBack"/>
      <w:bookmarkEnd w:id="1"/>
    </w:p>
    <w:p w:rsidR="00EA5081" w:rsidRPr="00950006" w:rsidRDefault="00EA5081" w:rsidP="00EA5081">
      <w:pPr>
        <w:pStyle w:val="Default"/>
        <w:spacing w:line="360" w:lineRule="auto"/>
        <w:jc w:val="both"/>
        <w:rPr>
          <w:b/>
          <w:bCs/>
          <w:color w:val="auto"/>
          <w:sz w:val="22"/>
          <w:szCs w:val="22"/>
          <w:lang w:val="en-US"/>
        </w:rPr>
      </w:pPr>
    </w:p>
    <w:p w:rsidR="00EA5081" w:rsidRPr="00950006" w:rsidRDefault="00EA5081" w:rsidP="00EA5081">
      <w:pPr>
        <w:pStyle w:val="Default"/>
        <w:spacing w:line="360" w:lineRule="auto"/>
        <w:jc w:val="both"/>
        <w:rPr>
          <w:b/>
          <w:bCs/>
          <w:color w:val="auto"/>
          <w:sz w:val="22"/>
          <w:szCs w:val="22"/>
          <w:lang w:val="en-US"/>
        </w:rPr>
      </w:pPr>
      <w:r w:rsidRPr="00950006">
        <w:rPr>
          <w:b/>
          <w:bCs/>
          <w:color w:val="auto"/>
          <w:sz w:val="22"/>
          <w:szCs w:val="22"/>
          <w:lang w:val="en-US"/>
        </w:rPr>
        <w:t>Panagiotis S. Ioannou</w:t>
      </w:r>
      <w:r w:rsidRPr="00950006">
        <w:rPr>
          <w:b/>
          <w:bCs/>
          <w:color w:val="auto"/>
          <w:sz w:val="22"/>
          <w:szCs w:val="22"/>
          <w:vertAlign w:val="superscript"/>
          <w:lang w:val="en-US"/>
        </w:rPr>
        <w:t>1</w:t>
      </w:r>
      <w:r w:rsidRPr="00950006">
        <w:rPr>
          <w:b/>
          <w:bCs/>
          <w:color w:val="auto"/>
          <w:sz w:val="22"/>
          <w:szCs w:val="22"/>
          <w:lang w:val="en-US"/>
        </w:rPr>
        <w:t xml:space="preserve">, </w:t>
      </w:r>
      <w:proofErr w:type="spellStart"/>
      <w:r w:rsidRPr="00950006">
        <w:rPr>
          <w:b/>
          <w:bCs/>
          <w:color w:val="auto"/>
          <w:sz w:val="22"/>
          <w:szCs w:val="22"/>
          <w:lang w:val="en-US"/>
        </w:rPr>
        <w:t>Evripides</w:t>
      </w:r>
      <w:proofErr w:type="spellEnd"/>
      <w:r w:rsidRPr="00950006">
        <w:rPr>
          <w:b/>
          <w:bCs/>
          <w:color w:val="auto"/>
          <w:sz w:val="22"/>
          <w:szCs w:val="22"/>
          <w:lang w:val="en-US"/>
        </w:rPr>
        <w:t xml:space="preserve"> Kyriakides</w:t>
      </w:r>
      <w:r w:rsidRPr="00950006">
        <w:rPr>
          <w:b/>
          <w:bCs/>
          <w:color w:val="auto"/>
          <w:sz w:val="22"/>
          <w:szCs w:val="22"/>
          <w:vertAlign w:val="superscript"/>
          <w:lang w:val="en-US"/>
        </w:rPr>
        <w:t>1</w:t>
      </w:r>
      <w:r w:rsidRPr="00950006">
        <w:rPr>
          <w:b/>
          <w:bCs/>
          <w:color w:val="auto"/>
          <w:sz w:val="22"/>
          <w:szCs w:val="22"/>
          <w:lang w:val="en-US"/>
        </w:rPr>
        <w:t>, Olivier Schneegans</w:t>
      </w:r>
      <w:r w:rsidRPr="00950006">
        <w:rPr>
          <w:b/>
          <w:bCs/>
          <w:color w:val="auto"/>
          <w:sz w:val="22"/>
          <w:szCs w:val="22"/>
          <w:vertAlign w:val="superscript"/>
          <w:lang w:val="en-US"/>
        </w:rPr>
        <w:t>2</w:t>
      </w:r>
      <w:r w:rsidRPr="00950006">
        <w:rPr>
          <w:b/>
          <w:bCs/>
          <w:color w:val="auto"/>
          <w:sz w:val="22"/>
          <w:szCs w:val="22"/>
          <w:lang w:val="en-US"/>
        </w:rPr>
        <w:t xml:space="preserve">, &amp; </w:t>
      </w:r>
      <w:r>
        <w:rPr>
          <w:b/>
          <w:bCs/>
          <w:color w:val="auto"/>
          <w:sz w:val="22"/>
          <w:szCs w:val="22"/>
          <w:lang w:val="en-US"/>
        </w:rPr>
        <w:t>*</w:t>
      </w:r>
      <w:r w:rsidRPr="00950006">
        <w:rPr>
          <w:b/>
          <w:bCs/>
          <w:color w:val="auto"/>
          <w:sz w:val="22"/>
          <w:szCs w:val="22"/>
          <w:lang w:val="en-US"/>
        </w:rPr>
        <w:t>John Giapintzakis</w:t>
      </w:r>
      <w:r w:rsidRPr="00950006">
        <w:rPr>
          <w:b/>
          <w:bCs/>
          <w:color w:val="auto"/>
          <w:sz w:val="22"/>
          <w:szCs w:val="22"/>
          <w:vertAlign w:val="superscript"/>
          <w:lang w:val="en-US"/>
        </w:rPr>
        <w:t>1</w:t>
      </w: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Default="00EA5081" w:rsidP="000D3278">
      <w:pPr>
        <w:spacing w:line="360" w:lineRule="auto"/>
        <w:jc w:val="both"/>
        <w:rPr>
          <w:rFonts w:ascii="Arial" w:hAnsi="Arial" w:cs="Arial"/>
          <w:b/>
          <w:lang w:val="en-US"/>
        </w:rPr>
      </w:pPr>
    </w:p>
    <w:p w:rsidR="00EA5081" w:rsidRPr="00EA5081" w:rsidRDefault="00EA5081" w:rsidP="00EA5081">
      <w:pPr>
        <w:autoSpaceDE w:val="0"/>
        <w:autoSpaceDN w:val="0"/>
        <w:adjustRightInd w:val="0"/>
        <w:spacing w:after="0" w:line="360" w:lineRule="auto"/>
        <w:rPr>
          <w:rFonts w:ascii="Arial" w:hAnsi="Arial" w:cs="Arial"/>
          <w:iCs/>
          <w:color w:val="000000"/>
          <w:lang w:val="en-GB"/>
        </w:rPr>
      </w:pPr>
      <w:r w:rsidRPr="00950006">
        <w:rPr>
          <w:rFonts w:ascii="Arial" w:hAnsi="Arial" w:cs="Arial"/>
          <w:bCs/>
          <w:vertAlign w:val="superscript"/>
          <w:lang w:val="en-US"/>
        </w:rPr>
        <w:t>1</w:t>
      </w:r>
      <w:r w:rsidRPr="00950006">
        <w:rPr>
          <w:rFonts w:ascii="Arial" w:hAnsi="Arial" w:cs="Arial"/>
          <w:b/>
          <w:bCs/>
          <w:lang w:val="en-US"/>
        </w:rPr>
        <w:t xml:space="preserve"> </w:t>
      </w:r>
      <w:r w:rsidRPr="00EA5081">
        <w:rPr>
          <w:rFonts w:ascii="Arial" w:hAnsi="Arial" w:cs="Arial"/>
          <w:iCs/>
          <w:color w:val="000000"/>
          <w:lang w:val="en-GB"/>
        </w:rPr>
        <w:t>Department of Mechanical and Manufacturing Engineering, University of Cyprus,</w:t>
      </w:r>
    </w:p>
    <w:p w:rsidR="00EA5081" w:rsidRPr="00EA5081" w:rsidRDefault="00EA5081" w:rsidP="00EA5081">
      <w:pPr>
        <w:autoSpaceDE w:val="0"/>
        <w:autoSpaceDN w:val="0"/>
        <w:adjustRightInd w:val="0"/>
        <w:spacing w:after="0" w:line="360" w:lineRule="auto"/>
        <w:rPr>
          <w:rFonts w:ascii="Arial" w:hAnsi="Arial" w:cs="Arial"/>
          <w:iCs/>
          <w:color w:val="000000"/>
          <w:lang w:val="en-GB"/>
        </w:rPr>
      </w:pPr>
      <w:r w:rsidRPr="00EA5081">
        <w:rPr>
          <w:rFonts w:ascii="Arial" w:hAnsi="Arial" w:cs="Arial"/>
          <w:iCs/>
          <w:color w:val="000000"/>
          <w:lang w:val="en-GB"/>
        </w:rPr>
        <w:t xml:space="preserve">75 </w:t>
      </w:r>
      <w:proofErr w:type="spellStart"/>
      <w:r w:rsidRPr="00EA5081">
        <w:rPr>
          <w:rFonts w:ascii="Arial" w:hAnsi="Arial" w:cs="Arial"/>
          <w:iCs/>
          <w:color w:val="000000"/>
          <w:lang w:val="en-GB"/>
        </w:rPr>
        <w:t>Kallipoleos</w:t>
      </w:r>
      <w:proofErr w:type="spellEnd"/>
      <w:r w:rsidRPr="00EA5081">
        <w:rPr>
          <w:rFonts w:ascii="Arial" w:hAnsi="Arial" w:cs="Arial"/>
          <w:iCs/>
          <w:color w:val="000000"/>
          <w:lang w:val="en-GB"/>
        </w:rPr>
        <w:t xml:space="preserve"> Avenue, P.O. Box 20537, 1678 Nicosia, Cyprus</w:t>
      </w:r>
    </w:p>
    <w:p w:rsidR="00EA5081" w:rsidRPr="00EA5081" w:rsidRDefault="00EA5081" w:rsidP="00EA5081">
      <w:pPr>
        <w:autoSpaceDE w:val="0"/>
        <w:autoSpaceDN w:val="0"/>
        <w:adjustRightInd w:val="0"/>
        <w:spacing w:after="0" w:line="360" w:lineRule="auto"/>
        <w:rPr>
          <w:rFonts w:ascii="Arial" w:hAnsi="Arial" w:cs="Arial"/>
          <w:iCs/>
          <w:color w:val="000000"/>
          <w:lang w:val="en-GB"/>
        </w:rPr>
      </w:pPr>
      <w:r w:rsidRPr="00EA5081">
        <w:rPr>
          <w:rFonts w:ascii="Arial" w:hAnsi="Arial" w:cs="Arial"/>
          <w:bCs/>
          <w:vertAlign w:val="superscript"/>
          <w:lang w:val="en-GB"/>
        </w:rPr>
        <w:t>2</w:t>
      </w:r>
      <w:r w:rsidRPr="00EA5081">
        <w:rPr>
          <w:rFonts w:ascii="Arial" w:hAnsi="Arial" w:cs="Arial"/>
          <w:b/>
          <w:bCs/>
          <w:lang w:val="en-GB"/>
        </w:rPr>
        <w:t xml:space="preserve"> </w:t>
      </w:r>
      <w:proofErr w:type="spellStart"/>
      <w:r w:rsidRPr="00EA5081">
        <w:rPr>
          <w:rFonts w:ascii="Arial" w:hAnsi="Arial" w:cs="Arial"/>
          <w:iCs/>
          <w:color w:val="000000"/>
          <w:lang w:val="en-GB"/>
        </w:rPr>
        <w:t>Laboratoire</w:t>
      </w:r>
      <w:proofErr w:type="spellEnd"/>
      <w:r w:rsidRPr="00EA5081">
        <w:rPr>
          <w:rFonts w:ascii="Arial" w:hAnsi="Arial" w:cs="Arial"/>
          <w:iCs/>
          <w:color w:val="000000"/>
          <w:lang w:val="en-GB"/>
        </w:rPr>
        <w:t xml:space="preserve"> de </w:t>
      </w:r>
      <w:proofErr w:type="spellStart"/>
      <w:r w:rsidRPr="00EA5081">
        <w:rPr>
          <w:rFonts w:ascii="Arial" w:hAnsi="Arial" w:cs="Arial"/>
          <w:iCs/>
          <w:color w:val="000000"/>
          <w:lang w:val="en-GB"/>
        </w:rPr>
        <w:t>Ge´nie</w:t>
      </w:r>
      <w:proofErr w:type="spellEnd"/>
      <w:r w:rsidRPr="00EA5081">
        <w:rPr>
          <w:rFonts w:ascii="Arial" w:hAnsi="Arial" w:cs="Arial"/>
          <w:iCs/>
          <w:color w:val="000000"/>
          <w:lang w:val="en-GB"/>
        </w:rPr>
        <w:t xml:space="preserve"> </w:t>
      </w:r>
      <w:proofErr w:type="spellStart"/>
      <w:r w:rsidRPr="00EA5081">
        <w:rPr>
          <w:rFonts w:ascii="Arial" w:hAnsi="Arial" w:cs="Arial"/>
          <w:iCs/>
          <w:color w:val="000000"/>
          <w:lang w:val="en-GB"/>
        </w:rPr>
        <w:t>E´lectrique</w:t>
      </w:r>
      <w:proofErr w:type="spellEnd"/>
      <w:r w:rsidRPr="00EA5081">
        <w:rPr>
          <w:rFonts w:ascii="Arial" w:hAnsi="Arial" w:cs="Arial"/>
          <w:iCs/>
          <w:color w:val="000000"/>
          <w:lang w:val="en-GB"/>
        </w:rPr>
        <w:t xml:space="preserve"> et </w:t>
      </w:r>
      <w:proofErr w:type="spellStart"/>
      <w:r w:rsidRPr="00EA5081">
        <w:rPr>
          <w:rFonts w:ascii="Arial" w:hAnsi="Arial" w:cs="Arial"/>
          <w:iCs/>
          <w:color w:val="000000"/>
          <w:lang w:val="en-GB"/>
        </w:rPr>
        <w:t>E´lectronique</w:t>
      </w:r>
      <w:proofErr w:type="spellEnd"/>
      <w:r w:rsidRPr="00EA5081">
        <w:rPr>
          <w:rFonts w:ascii="Arial" w:hAnsi="Arial" w:cs="Arial"/>
          <w:iCs/>
          <w:color w:val="000000"/>
          <w:lang w:val="en-GB"/>
        </w:rPr>
        <w:t xml:space="preserve"> de Paris, CNRS, UPMC and Paris-Sud</w:t>
      </w:r>
    </w:p>
    <w:p w:rsidR="00EA5081" w:rsidRPr="00EA5081" w:rsidRDefault="00EA5081" w:rsidP="00EA5081">
      <w:pPr>
        <w:spacing w:line="360" w:lineRule="auto"/>
        <w:rPr>
          <w:rFonts w:ascii="Arial" w:hAnsi="Arial" w:cs="Arial"/>
          <w:lang w:val="en-GB"/>
        </w:rPr>
      </w:pPr>
      <w:r w:rsidRPr="00EA5081">
        <w:rPr>
          <w:rFonts w:ascii="Arial" w:hAnsi="Arial" w:cs="Arial"/>
          <w:iCs/>
          <w:color w:val="000000"/>
          <w:lang w:val="en-GB"/>
        </w:rPr>
        <w:t xml:space="preserve">Universities, </w:t>
      </w:r>
      <w:proofErr w:type="spellStart"/>
      <w:r w:rsidRPr="00EA5081">
        <w:rPr>
          <w:rFonts w:ascii="Arial" w:hAnsi="Arial" w:cs="Arial"/>
          <w:iCs/>
          <w:color w:val="000000"/>
          <w:lang w:val="en-GB"/>
        </w:rPr>
        <w:t>Centralesup´elec</w:t>
      </w:r>
      <w:proofErr w:type="spellEnd"/>
      <w:r w:rsidRPr="00EA5081">
        <w:rPr>
          <w:rFonts w:ascii="Arial" w:hAnsi="Arial" w:cs="Arial"/>
          <w:iCs/>
          <w:color w:val="000000"/>
          <w:lang w:val="en-GB"/>
        </w:rPr>
        <w:t>, 11 rue Joliot-Curie, 91192 Gif-sur-Yvette, France</w:t>
      </w:r>
    </w:p>
    <w:p w:rsidR="000D3278" w:rsidRPr="000D3278" w:rsidRDefault="00EA5081" w:rsidP="000D3278">
      <w:pPr>
        <w:spacing w:line="360" w:lineRule="auto"/>
        <w:jc w:val="both"/>
        <w:rPr>
          <w:rFonts w:ascii="Arial" w:hAnsi="Arial" w:cs="Arial"/>
          <w:b/>
          <w:lang w:val="en-US"/>
        </w:rPr>
      </w:pPr>
      <w:r>
        <w:rPr>
          <w:rFonts w:ascii="Arial" w:hAnsi="Arial" w:cs="Arial"/>
          <w:b/>
          <w:lang w:val="en-US"/>
        </w:rPr>
        <w:lastRenderedPageBreak/>
        <w:t>S</w:t>
      </w:r>
      <w:r w:rsidR="000D3278" w:rsidRPr="000D3278">
        <w:rPr>
          <w:rFonts w:ascii="Arial" w:hAnsi="Arial" w:cs="Arial"/>
          <w:b/>
          <w:lang w:val="en-US"/>
        </w:rPr>
        <w:t>upplementary Information</w:t>
      </w:r>
    </w:p>
    <w:p w:rsidR="000D3278" w:rsidRDefault="000D3278" w:rsidP="000D3278">
      <w:pPr>
        <w:spacing w:line="360" w:lineRule="auto"/>
        <w:jc w:val="both"/>
        <w:rPr>
          <w:rFonts w:ascii="Arial" w:hAnsi="Arial" w:cs="Arial"/>
          <w:b/>
          <w:lang w:val="en-US"/>
        </w:rPr>
      </w:pPr>
      <w:r w:rsidRPr="000D3278">
        <w:rPr>
          <w:rFonts w:ascii="Arial" w:hAnsi="Arial" w:cs="Arial"/>
          <w:b/>
          <w:lang w:val="en-US"/>
        </w:rPr>
        <w:t xml:space="preserve">Area dependence of the I-V characteristics. </w:t>
      </w:r>
    </w:p>
    <w:p w:rsidR="000D3278" w:rsidRPr="000D3278" w:rsidRDefault="000D3278" w:rsidP="000D3278">
      <w:pPr>
        <w:spacing w:line="360" w:lineRule="auto"/>
        <w:jc w:val="both"/>
        <w:rPr>
          <w:rFonts w:ascii="Arial" w:hAnsi="Arial" w:cs="Arial"/>
          <w:b/>
          <w:lang w:val="en-US"/>
        </w:rPr>
      </w:pPr>
      <w:r w:rsidRPr="000D3278">
        <w:rPr>
          <w:rFonts w:ascii="Arial" w:hAnsi="Arial" w:cs="Arial"/>
          <w:noProof/>
          <w:lang w:eastAsia="en-GB"/>
        </w:rPr>
        <w:drawing>
          <wp:anchor distT="0" distB="0" distL="114300" distR="114300" simplePos="0" relativeHeight="251664384" behindDoc="0" locked="0" layoutInCell="1" allowOverlap="1" wp14:anchorId="2CFE0492">
            <wp:simplePos x="0" y="0"/>
            <wp:positionH relativeFrom="column">
              <wp:posOffset>-66048</wp:posOffset>
            </wp:positionH>
            <wp:positionV relativeFrom="paragraph">
              <wp:posOffset>896678</wp:posOffset>
            </wp:positionV>
            <wp:extent cx="5509260" cy="421449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9260" cy="4214495"/>
                    </a:xfrm>
                    <a:prstGeom prst="rect">
                      <a:avLst/>
                    </a:prstGeom>
                    <a:noFill/>
                    <a:ln>
                      <a:noFill/>
                    </a:ln>
                  </pic:spPr>
                </pic:pic>
              </a:graphicData>
            </a:graphic>
          </wp:anchor>
        </w:drawing>
      </w:r>
      <w:r w:rsidRPr="000D3278">
        <w:rPr>
          <w:rFonts w:ascii="Arial" w:hAnsi="Arial" w:cs="Arial"/>
          <w:lang w:val="en-US"/>
        </w:rPr>
        <w:t>The two-terminal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devices exhibited a dependence of the maximum current on the top Au electrode area</w:t>
      </w:r>
      <w:r w:rsidRPr="000D3278">
        <w:rPr>
          <w:rFonts w:ascii="Arial" w:hAnsi="Arial" w:cs="Arial"/>
          <w:color w:val="FF0000"/>
          <w:lang w:val="en-US"/>
        </w:rPr>
        <w:t xml:space="preserve"> </w:t>
      </w:r>
      <w:r w:rsidRPr="000D3278">
        <w:rPr>
          <w:rFonts w:ascii="Arial" w:hAnsi="Arial" w:cs="Arial"/>
          <w:lang w:val="en-US"/>
        </w:rPr>
        <w:t>that, in combination with the non-abrupt switching, indicate a homogeneous rather than a filamentary switching mechanism (Fig. S1).</w:t>
      </w:r>
    </w:p>
    <w:p w:rsidR="000D3278" w:rsidRPr="000D3278" w:rsidRDefault="000D3278" w:rsidP="000D3278">
      <w:pPr>
        <w:spacing w:line="360" w:lineRule="auto"/>
        <w:jc w:val="both"/>
        <w:rPr>
          <w:rFonts w:ascii="Arial" w:hAnsi="Arial" w:cs="Arial"/>
          <w:lang w:val="en-US"/>
        </w:rPr>
      </w:pPr>
      <w:r w:rsidRPr="000D3278">
        <w:rPr>
          <w:rFonts w:ascii="Arial" w:hAnsi="Arial" w:cs="Arial"/>
          <w:b/>
          <w:lang w:val="en-US"/>
        </w:rPr>
        <w:t>Figure S1.</w:t>
      </w:r>
      <w:r w:rsidRPr="000D3278">
        <w:rPr>
          <w:rFonts w:ascii="Arial" w:hAnsi="Arial" w:cs="Arial"/>
          <w:lang w:val="en-US"/>
        </w:rPr>
        <w:t xml:space="preserve"> I-V characteristics of the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 xml:space="preserve">-Si devices with different top Au electrode area (only the negative part of the sweeps </w:t>
      </w:r>
      <w:proofErr w:type="gramStart"/>
      <w:r w:rsidRPr="000D3278">
        <w:rPr>
          <w:rFonts w:ascii="Arial" w:hAnsi="Arial" w:cs="Arial"/>
          <w:lang w:val="en-US"/>
        </w:rPr>
        <w:t>are</w:t>
      </w:r>
      <w:proofErr w:type="gramEnd"/>
      <w:r w:rsidRPr="000D3278">
        <w:rPr>
          <w:rFonts w:ascii="Arial" w:hAnsi="Arial" w:cs="Arial"/>
          <w:lang w:val="en-US"/>
        </w:rPr>
        <w:t xml:space="preserve"> depicted). Inset shows the area dependence of the </w:t>
      </w:r>
      <w:proofErr w:type="gramStart"/>
      <w:r w:rsidRPr="000D3278">
        <w:rPr>
          <w:rFonts w:ascii="Arial" w:hAnsi="Arial" w:cs="Arial"/>
          <w:lang w:val="en-US"/>
        </w:rPr>
        <w:t>devices</w:t>
      </w:r>
      <w:proofErr w:type="gramEnd"/>
      <w:r w:rsidRPr="000D3278">
        <w:rPr>
          <w:rFonts w:ascii="Arial" w:hAnsi="Arial" w:cs="Arial"/>
          <w:lang w:val="en-US"/>
        </w:rPr>
        <w:t xml:space="preserve"> conductance measured at -5 V.</w:t>
      </w:r>
    </w:p>
    <w:p w:rsidR="000D3278" w:rsidRPr="000D3278" w:rsidRDefault="000D3278" w:rsidP="000D3278">
      <w:pPr>
        <w:spacing w:line="360" w:lineRule="auto"/>
        <w:jc w:val="both"/>
        <w:rPr>
          <w:rFonts w:ascii="Arial" w:hAnsi="Arial" w:cs="Arial"/>
          <w:lang w:val="en-US"/>
        </w:rPr>
      </w:pPr>
      <w:r w:rsidRPr="000D3278">
        <w:rPr>
          <w:rFonts w:ascii="Arial" w:hAnsi="Arial" w:cs="Arial"/>
          <w:lang w:val="en-US"/>
        </w:rPr>
        <w:t>Applying voltage sweeps (-/+5 V at 0.1 V/s) on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devices, with different top Au electrode area, resulted in qualitatively similar I-V characteristic curves, with maximum current and hysteresis area to be dependent on the top electrode area. Non-linear dependence of the maximum current on top electrode area (shown in the inset of Fig. S1) can be attributed to the device architecture adopted herein, which creates an asymmetry between the top and bottom electrode areas. Nevertheless, the abovementioned observations indicate a non-filamentary underlying mechanism, similar to that of Li</w:t>
      </w:r>
      <w:r w:rsidRPr="000D3278">
        <w:rPr>
          <w:rFonts w:ascii="Arial" w:hAnsi="Arial" w:cs="Arial"/>
          <w:vertAlign w:val="superscript"/>
          <w:lang w:val="en-US"/>
        </w:rPr>
        <w:t>+</w:t>
      </w:r>
      <w:r w:rsidRPr="000D3278">
        <w:rPr>
          <w:rFonts w:ascii="Arial" w:hAnsi="Arial" w:cs="Arial"/>
          <w:lang w:val="en-US"/>
        </w:rPr>
        <w:t xml:space="preserve"> ion batteries, based on the field-driven, homogeneous migration of Li</w:t>
      </w:r>
      <w:r w:rsidRPr="000D3278">
        <w:rPr>
          <w:rFonts w:ascii="Arial" w:hAnsi="Arial" w:cs="Arial"/>
          <w:vertAlign w:val="superscript"/>
          <w:lang w:val="en-US"/>
        </w:rPr>
        <w:t>+</w:t>
      </w:r>
      <w:r w:rsidRPr="000D3278">
        <w:rPr>
          <w:rFonts w:ascii="Arial" w:hAnsi="Arial" w:cs="Arial"/>
          <w:lang w:val="en-US"/>
        </w:rPr>
        <w:t xml:space="preserve"> ions from the 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 xml:space="preserve"> cathode towards the TiO</w:t>
      </w:r>
      <w:r w:rsidRPr="000D3278">
        <w:rPr>
          <w:rFonts w:ascii="Arial" w:hAnsi="Arial" w:cs="Arial"/>
          <w:vertAlign w:val="subscript"/>
          <w:lang w:val="en-US"/>
        </w:rPr>
        <w:t>2</w:t>
      </w:r>
      <w:r w:rsidRPr="000D3278">
        <w:rPr>
          <w:rFonts w:ascii="Arial" w:hAnsi="Arial" w:cs="Arial"/>
          <w:lang w:val="en-US"/>
        </w:rPr>
        <w:t xml:space="preserve"> anode, in turn reducing </w:t>
      </w:r>
      <w:r w:rsidRPr="000D3278">
        <w:rPr>
          <w:rFonts w:ascii="Arial" w:hAnsi="Arial" w:cs="Arial"/>
          <w:lang w:val="en-US"/>
        </w:rPr>
        <w:lastRenderedPageBreak/>
        <w:t>the overall device resistance through the induced IMT in the 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 xml:space="preserve"> cathode, due to the generated Li</w:t>
      </w:r>
      <w:r w:rsidRPr="000D3278">
        <w:rPr>
          <w:rFonts w:ascii="Arial" w:hAnsi="Arial" w:cs="Arial"/>
          <w:vertAlign w:val="superscript"/>
          <w:lang w:val="en-US"/>
        </w:rPr>
        <w:t>+</w:t>
      </w:r>
      <w:r w:rsidRPr="000D3278">
        <w:rPr>
          <w:rFonts w:ascii="Arial" w:hAnsi="Arial" w:cs="Arial"/>
          <w:lang w:val="en-US"/>
        </w:rPr>
        <w:t xml:space="preserve"> deficiency in 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 While a non-filamentary resistive switching mechanism is possibly related to the increased stability of the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devices compared to previous approaches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 the reduction of maximum current with device miniaturization can potentially be promising for more power efficient switching with device scaling.</w:t>
      </w:r>
    </w:p>
    <w:p w:rsidR="000D3278" w:rsidRPr="000D3278" w:rsidRDefault="000D3278" w:rsidP="000D3278">
      <w:pPr>
        <w:spacing w:line="360" w:lineRule="auto"/>
        <w:jc w:val="both"/>
        <w:rPr>
          <w:rFonts w:ascii="Arial" w:hAnsi="Arial" w:cs="Arial"/>
          <w:b/>
          <w:lang w:val="en-US"/>
        </w:rPr>
      </w:pPr>
      <w:r w:rsidRPr="000D3278">
        <w:rPr>
          <w:rFonts w:ascii="Arial" w:hAnsi="Arial" w:cs="Arial"/>
          <w:noProof/>
          <w:lang w:eastAsia="en-GB"/>
        </w:rPr>
        <w:drawing>
          <wp:anchor distT="0" distB="0" distL="114300" distR="114300" simplePos="0" relativeHeight="251660288" behindDoc="0" locked="0" layoutInCell="1" allowOverlap="1" wp14:anchorId="73D6618D" wp14:editId="02694567">
            <wp:simplePos x="0" y="0"/>
            <wp:positionH relativeFrom="margin">
              <wp:align>center</wp:align>
            </wp:positionH>
            <wp:positionV relativeFrom="paragraph">
              <wp:posOffset>1345414</wp:posOffset>
            </wp:positionV>
            <wp:extent cx="5547360" cy="3870325"/>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7360" cy="3870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3278">
        <w:rPr>
          <w:rFonts w:ascii="Arial" w:hAnsi="Arial" w:cs="Arial"/>
          <w:b/>
          <w:lang w:val="en-US"/>
        </w:rPr>
        <w:t xml:space="preserve">Impact of the pulse width on the potentiation/depression. </w:t>
      </w:r>
      <w:r w:rsidRPr="000D3278">
        <w:rPr>
          <w:rFonts w:ascii="Arial" w:hAnsi="Arial" w:cs="Arial"/>
          <w:lang w:val="en-US"/>
        </w:rPr>
        <w:t xml:space="preserve">In order to address the impact of the pulse width on the conductance modulation of the device, during pulsed potentiation/depression characterization, the width of the write pulses was varied (60, 80, 100, 120, 140, 160 </w:t>
      </w:r>
      <w:proofErr w:type="spellStart"/>
      <w:r w:rsidRPr="000D3278">
        <w:rPr>
          <w:rFonts w:ascii="Arial" w:hAnsi="Arial" w:cs="Arial"/>
          <w:lang w:val="en-US"/>
        </w:rPr>
        <w:t>ms</w:t>
      </w:r>
      <w:proofErr w:type="spellEnd"/>
      <w:r w:rsidRPr="000D3278">
        <w:rPr>
          <w:rFonts w:ascii="Arial" w:hAnsi="Arial" w:cs="Arial"/>
          <w:lang w:val="en-US"/>
        </w:rPr>
        <w:t xml:space="preserve">), while the temporal spacing between successive write pulses was kept constant at 120 </w:t>
      </w:r>
      <w:proofErr w:type="spellStart"/>
      <w:r w:rsidRPr="000D3278">
        <w:rPr>
          <w:rFonts w:ascii="Arial" w:hAnsi="Arial" w:cs="Arial"/>
          <w:lang w:val="en-US"/>
        </w:rPr>
        <w:t>ms</w:t>
      </w:r>
      <w:proofErr w:type="spellEnd"/>
      <w:r w:rsidRPr="000D3278">
        <w:rPr>
          <w:rFonts w:ascii="Arial" w:hAnsi="Arial" w:cs="Arial"/>
          <w:lang w:val="en-US"/>
        </w:rPr>
        <w:t xml:space="preserve"> (Fig. S2).</w:t>
      </w:r>
    </w:p>
    <w:p w:rsidR="000D3278" w:rsidRPr="000D3278" w:rsidRDefault="000D3278" w:rsidP="000D3278">
      <w:pPr>
        <w:spacing w:line="360" w:lineRule="auto"/>
        <w:jc w:val="both"/>
        <w:rPr>
          <w:rFonts w:ascii="Arial" w:hAnsi="Arial" w:cs="Arial"/>
          <w:lang w:val="en-US" w:eastAsia="el-GR"/>
        </w:rPr>
      </w:pPr>
      <w:r w:rsidRPr="000D3278">
        <w:rPr>
          <w:rFonts w:ascii="Arial" w:hAnsi="Arial" w:cs="Arial"/>
          <w:b/>
          <w:lang w:val="en-US"/>
        </w:rPr>
        <w:t>Figure S2.</w:t>
      </w:r>
      <w:r w:rsidRPr="000D3278">
        <w:rPr>
          <w:rFonts w:ascii="Arial" w:hAnsi="Arial" w:cs="Arial"/>
          <w:lang w:val="en-US"/>
        </w:rPr>
        <w:t xml:space="preserve"> Pulsed potentiation/depression characterization of the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devices</w:t>
      </w:r>
      <w:r w:rsidRPr="000D3278" w:rsidDel="0051694A">
        <w:rPr>
          <w:rFonts w:ascii="Arial" w:hAnsi="Arial" w:cs="Arial"/>
          <w:lang w:val="en-US" w:eastAsia="el-GR"/>
        </w:rPr>
        <w:t xml:space="preserve"> </w:t>
      </w:r>
      <w:r w:rsidRPr="000D3278">
        <w:rPr>
          <w:rFonts w:ascii="Arial" w:hAnsi="Arial" w:cs="Arial"/>
          <w:lang w:val="en-US" w:eastAsia="el-GR"/>
        </w:rPr>
        <w:t>(Read: -2V, 2ms. Write: -/+4.2V, 60ms, 80ms, 100ms, 120ms, 140ms, 160ms. Spacing: 120ms)</w:t>
      </w:r>
      <w:r>
        <w:rPr>
          <w:rFonts w:ascii="Arial" w:hAnsi="Arial" w:cs="Arial"/>
          <w:lang w:val="en-US" w:eastAsia="el-GR"/>
        </w:rPr>
        <w:t>,</w:t>
      </w:r>
      <w:r w:rsidRPr="000D3278">
        <w:rPr>
          <w:rFonts w:ascii="Arial" w:hAnsi="Arial" w:cs="Arial"/>
          <w:lang w:val="en-US" w:eastAsia="el-GR"/>
        </w:rPr>
        <w:t xml:space="preserve"> (Top electrode area: 300x300</w:t>
      </w:r>
      <w:r w:rsidRPr="000D3278">
        <w:rPr>
          <w:rFonts w:ascii="Arial" w:hAnsi="Arial" w:cs="Arial"/>
          <w:lang w:eastAsia="el-GR"/>
        </w:rPr>
        <w:t>μ</w:t>
      </w:r>
      <w:r w:rsidRPr="000D3278">
        <w:rPr>
          <w:rFonts w:ascii="Arial" w:hAnsi="Arial" w:cs="Arial"/>
          <w:lang w:val="en-US" w:eastAsia="el-GR"/>
        </w:rPr>
        <w:t>m</w:t>
      </w:r>
      <w:r w:rsidRPr="000D3278">
        <w:rPr>
          <w:rFonts w:ascii="Arial" w:hAnsi="Arial" w:cs="Arial"/>
          <w:vertAlign w:val="superscript"/>
          <w:lang w:val="en-US" w:eastAsia="el-GR"/>
        </w:rPr>
        <w:t>2</w:t>
      </w:r>
      <w:r w:rsidRPr="000D3278">
        <w:rPr>
          <w:rFonts w:ascii="Arial" w:hAnsi="Arial" w:cs="Arial"/>
          <w:lang w:val="en-US" w:eastAsia="el-GR"/>
        </w:rPr>
        <w:t>)</w:t>
      </w:r>
      <w:r>
        <w:rPr>
          <w:rFonts w:ascii="Arial" w:hAnsi="Arial" w:cs="Arial"/>
          <w:lang w:val="en-US" w:eastAsia="el-GR"/>
        </w:rPr>
        <w:t>.</w:t>
      </w:r>
    </w:p>
    <w:p w:rsidR="000D3278" w:rsidRPr="000D3278" w:rsidRDefault="000D3278" w:rsidP="000D3278">
      <w:pPr>
        <w:spacing w:line="360" w:lineRule="auto"/>
        <w:jc w:val="both"/>
        <w:rPr>
          <w:rFonts w:ascii="Arial" w:hAnsi="Arial" w:cs="Arial"/>
          <w:lang w:val="en-US" w:eastAsia="el-GR"/>
        </w:rPr>
      </w:pPr>
      <w:r w:rsidRPr="000D3278">
        <w:rPr>
          <w:rFonts w:ascii="Arial" w:hAnsi="Arial" w:cs="Arial"/>
          <w:lang w:val="en-US" w:eastAsia="el-GR"/>
        </w:rPr>
        <w:t>As can be seen in Fig. S2, the write pulse width increase has a more pronounced impact on the potentiation of the device</w:t>
      </w:r>
      <w:r>
        <w:rPr>
          <w:rFonts w:ascii="Arial" w:hAnsi="Arial" w:cs="Arial"/>
          <w:lang w:val="en-US" w:eastAsia="el-GR"/>
        </w:rPr>
        <w:t xml:space="preserve"> </w:t>
      </w:r>
      <w:r w:rsidRPr="000D3278">
        <w:rPr>
          <w:rFonts w:ascii="Arial" w:hAnsi="Arial" w:cs="Arial"/>
          <w:lang w:val="en-US" w:eastAsia="el-GR"/>
        </w:rPr>
        <w:t>and at the same time enhances the separation between states, enabling a clearer observation of the</w:t>
      </w:r>
      <w:r w:rsidRPr="000D3278">
        <w:rPr>
          <w:rFonts w:ascii="Arial" w:hAnsi="Arial" w:cs="Arial"/>
          <w:lang w:val="en-US"/>
        </w:rPr>
        <w:t xml:space="preserve"> depression of the device in “stepladder” manner during positive write pulse trains application</w:t>
      </w:r>
      <w:r w:rsidRPr="000D3278">
        <w:rPr>
          <w:rFonts w:ascii="Arial" w:hAnsi="Arial" w:cs="Arial"/>
          <w:lang w:val="en-US" w:eastAsia="el-GR"/>
        </w:rPr>
        <w:t>.</w:t>
      </w:r>
    </w:p>
    <w:p w:rsidR="000D3278" w:rsidRPr="000D3278" w:rsidRDefault="000D3278" w:rsidP="000D3278">
      <w:pPr>
        <w:spacing w:line="360" w:lineRule="auto"/>
        <w:jc w:val="both"/>
        <w:rPr>
          <w:rFonts w:ascii="Arial" w:eastAsiaTheme="minorEastAsia" w:hAnsi="Arial" w:cs="Arial"/>
          <w:lang w:val="en-US" w:eastAsia="el-GR"/>
        </w:rPr>
      </w:pPr>
      <w:r w:rsidRPr="000D3278">
        <w:rPr>
          <w:rFonts w:ascii="Arial" w:hAnsi="Arial" w:cs="Arial"/>
          <w:lang w:val="en-US" w:eastAsia="el-GR"/>
        </w:rPr>
        <w:lastRenderedPageBreak/>
        <w:t>In order to examine the relaxation dynamics of the devices for increasing write pulse width – after the first potentiation train is applied and during read-only operations – fitting was performed on the data. With a simple exponential decay function (</w:t>
      </w:r>
      <m:oMath>
        <m:r>
          <w:rPr>
            <w:rFonts w:ascii="Cambria Math" w:hAnsi="Cambria Math" w:cs="Arial"/>
            <w:lang w:val="en-US" w:eastAsia="el-GR"/>
          </w:rPr>
          <m:t>I=</m:t>
        </m:r>
        <m:sSub>
          <m:sSubPr>
            <m:ctrlPr>
              <w:rPr>
                <w:rFonts w:ascii="Cambria Math" w:hAnsi="Cambria Math" w:cs="Arial"/>
                <w:i/>
                <w:lang w:val="en-US" w:eastAsia="el-GR"/>
              </w:rPr>
            </m:ctrlPr>
          </m:sSubPr>
          <m:e>
            <m:sSub>
              <m:sSubPr>
                <m:ctrlPr>
                  <w:rPr>
                    <w:rFonts w:ascii="Cambria Math" w:hAnsi="Cambria Math" w:cs="Arial"/>
                    <w:i/>
                    <w:lang w:val="en-US" w:eastAsia="el-GR"/>
                  </w:rPr>
                </m:ctrlPr>
              </m:sSubPr>
              <m:e>
                <m:r>
                  <w:rPr>
                    <w:rFonts w:ascii="Cambria Math" w:hAnsi="Cambria Math" w:cs="Arial"/>
                    <w:lang w:val="en-US" w:eastAsia="el-GR"/>
                  </w:rPr>
                  <m:t>I</m:t>
                </m:r>
              </m:e>
              <m:sub>
                <m:r>
                  <w:rPr>
                    <w:rFonts w:ascii="Cambria Math" w:hAnsi="Cambria Math" w:cs="Arial"/>
                    <w:lang w:val="en-US" w:eastAsia="el-GR"/>
                  </w:rPr>
                  <m:t>o</m:t>
                </m:r>
              </m:sub>
            </m:sSub>
            <m:r>
              <w:rPr>
                <w:rFonts w:ascii="Cambria Math" w:hAnsi="Cambria Math" w:cs="Arial"/>
                <w:lang w:val="en-US" w:eastAsia="el-GR"/>
              </w:rPr>
              <m:t>+A</m:t>
            </m:r>
          </m:e>
          <m:sub>
            <m:r>
              <w:rPr>
                <w:rFonts w:ascii="Cambria Math" w:hAnsi="Cambria Math" w:cs="Arial"/>
                <w:lang w:val="en-US" w:eastAsia="el-GR"/>
              </w:rPr>
              <m:t>o</m:t>
            </m:r>
          </m:sub>
        </m:sSub>
        <m:sSup>
          <m:sSupPr>
            <m:ctrlPr>
              <w:rPr>
                <w:rFonts w:ascii="Cambria Math" w:hAnsi="Cambria Math" w:cs="Arial"/>
                <w:i/>
                <w:lang w:val="en-US" w:eastAsia="el-GR"/>
              </w:rPr>
            </m:ctrlPr>
          </m:sSupPr>
          <m:e>
            <m:r>
              <w:rPr>
                <w:rFonts w:ascii="Cambria Math" w:hAnsi="Cambria Math" w:cs="Arial"/>
                <w:lang w:val="en-US" w:eastAsia="el-GR"/>
              </w:rPr>
              <m:t>e</m:t>
            </m:r>
          </m:e>
          <m:sup>
            <m:r>
              <w:rPr>
                <w:rFonts w:ascii="Cambria Math" w:hAnsi="Cambria Math" w:cs="Arial"/>
                <w:lang w:val="en-US" w:eastAsia="el-GR"/>
              </w:rPr>
              <m:t>-</m:t>
            </m:r>
            <m:f>
              <m:fPr>
                <m:type m:val="skw"/>
                <m:ctrlPr>
                  <w:rPr>
                    <w:rFonts w:ascii="Cambria Math" w:hAnsi="Cambria Math" w:cs="Arial"/>
                    <w:i/>
                    <w:lang w:val="en-US" w:eastAsia="el-GR"/>
                  </w:rPr>
                </m:ctrlPr>
              </m:fPr>
              <m:num>
                <m:r>
                  <w:rPr>
                    <w:rFonts w:ascii="Cambria Math" w:hAnsi="Cambria Math" w:cs="Arial"/>
                    <w:lang w:val="en-US" w:eastAsia="el-GR"/>
                  </w:rPr>
                  <m:t>t</m:t>
                </m:r>
              </m:num>
              <m:den>
                <m:r>
                  <w:rPr>
                    <w:rFonts w:ascii="Cambria Math" w:hAnsi="Cambria Math" w:cs="Arial"/>
                    <w:lang w:val="en-US" w:eastAsia="el-GR"/>
                  </w:rPr>
                  <m:t>τ</m:t>
                </m:r>
              </m:den>
            </m:f>
          </m:sup>
        </m:sSup>
      </m:oMath>
      <w:r w:rsidRPr="000D3278">
        <w:rPr>
          <w:rFonts w:ascii="Arial" w:eastAsiaTheme="minorEastAsia" w:hAnsi="Arial" w:cs="Arial"/>
          <w:lang w:val="en-US" w:eastAsia="el-GR"/>
        </w:rPr>
        <w:t>), a relaxation time constant of ~30 s was extracted, irrespective of the write pulse width applied on the potentiation (Figs. S3 and S4). This could be indicative of the internal kinetics governing the Li</w:t>
      </w:r>
      <w:r w:rsidRPr="000D3278">
        <w:rPr>
          <w:rFonts w:ascii="Arial" w:eastAsiaTheme="minorEastAsia" w:hAnsi="Arial" w:cs="Arial"/>
          <w:vertAlign w:val="superscript"/>
          <w:lang w:val="en-US" w:eastAsia="el-GR"/>
        </w:rPr>
        <w:t>+</w:t>
      </w:r>
      <w:r w:rsidRPr="000D3278">
        <w:rPr>
          <w:rFonts w:ascii="Arial" w:eastAsiaTheme="minorEastAsia" w:hAnsi="Arial" w:cs="Arial"/>
          <w:lang w:val="en-US" w:eastAsia="el-GR"/>
        </w:rPr>
        <w:t xml:space="preserve"> ion diffusion due to the generated EMF, leading to the conductance relaxation of the device expressed as an EPSC. Additionally, as can be clearly observed in Fig. S4, upon increasing the write pulse width, the measured current during potentiation reaches a higher maximum value, as a result of higher Li</w:t>
      </w:r>
      <w:r w:rsidRPr="000D3278">
        <w:rPr>
          <w:rFonts w:ascii="Arial" w:eastAsiaTheme="minorEastAsia" w:hAnsi="Arial" w:cs="Arial"/>
          <w:vertAlign w:val="superscript"/>
          <w:lang w:val="en-US" w:eastAsia="el-GR"/>
        </w:rPr>
        <w:t>+</w:t>
      </w:r>
      <w:r w:rsidRPr="000D3278">
        <w:rPr>
          <w:rFonts w:ascii="Arial" w:eastAsiaTheme="minorEastAsia" w:hAnsi="Arial" w:cs="Arial"/>
          <w:lang w:val="en-US" w:eastAsia="el-GR"/>
        </w:rPr>
        <w:t xml:space="preserve"> ion accumulation achieved in the anode side. For write pulses wider than 120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the current abruptly decays back to values observed for lower pulse widths. Specifically, while the maximum current value of the “relaxation tail” steadily increases for increasing write pulse width (60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80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and 100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higher pulse width stimulation (120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140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and 160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does not increase further this value. This can be indicative of the inability of the solid electrolyte used herein to withstand the increasing EMF for higher Li</w:t>
      </w:r>
      <w:r w:rsidRPr="000D3278">
        <w:rPr>
          <w:rFonts w:ascii="Arial" w:eastAsiaTheme="minorEastAsia" w:hAnsi="Arial" w:cs="Arial"/>
          <w:vertAlign w:val="superscript"/>
          <w:lang w:val="en-US" w:eastAsia="el-GR"/>
        </w:rPr>
        <w:t>+</w:t>
      </w:r>
      <w:r w:rsidRPr="000D3278">
        <w:rPr>
          <w:rFonts w:ascii="Arial" w:eastAsiaTheme="minorEastAsia" w:hAnsi="Arial" w:cs="Arial"/>
          <w:lang w:val="en-US" w:eastAsia="el-GR"/>
        </w:rPr>
        <w:t xml:space="preserve"> ion accumulation in the anode side, leading to the abrupt conductance relaxation of the device to a steady state limit. Occurrence of such a limit indicates that a maximum Li</w:t>
      </w:r>
      <w:r w:rsidRPr="000D3278">
        <w:rPr>
          <w:rFonts w:ascii="Arial" w:eastAsiaTheme="minorEastAsia" w:hAnsi="Arial" w:cs="Arial"/>
          <w:vertAlign w:val="superscript"/>
          <w:lang w:val="en-US" w:eastAsia="el-GR"/>
        </w:rPr>
        <w:t>+</w:t>
      </w:r>
      <w:r w:rsidRPr="000D3278">
        <w:rPr>
          <w:rFonts w:ascii="Arial" w:eastAsiaTheme="minorEastAsia" w:hAnsi="Arial" w:cs="Arial"/>
          <w:lang w:val="en-US" w:eastAsia="el-GR"/>
        </w:rPr>
        <w:t xml:space="preserve"> ion accumulation degree exists for the </w:t>
      </w:r>
      <w:r w:rsidRPr="000D3278">
        <w:rPr>
          <w:rFonts w:ascii="Arial" w:hAnsi="Arial" w:cs="Arial"/>
          <w:lang w:val="en-US"/>
        </w:rPr>
        <w:t>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 xml:space="preserve">devices, which can be ascribed to the properties of the </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 xml:space="preserve"> solid electrolyte. Nevertheless, proper solid electrolyte engineering and material selection is expected to mitigate this limitation, consequently enabling the engineering of the relaxation characteristics of such two-terminal battery-like devices.</w:t>
      </w:r>
    </w:p>
    <w:p w:rsidR="000D3278" w:rsidRPr="000D3278" w:rsidRDefault="000D3278" w:rsidP="000D3278">
      <w:pPr>
        <w:spacing w:line="360" w:lineRule="auto"/>
        <w:jc w:val="both"/>
        <w:rPr>
          <w:rFonts w:ascii="Arial" w:hAnsi="Arial" w:cs="Arial"/>
          <w:i/>
          <w:lang w:val="en-US"/>
        </w:rPr>
      </w:pPr>
    </w:p>
    <w:p w:rsidR="000D3278" w:rsidRPr="000D3278" w:rsidRDefault="000D3278" w:rsidP="000D3278">
      <w:pPr>
        <w:spacing w:line="360" w:lineRule="auto"/>
        <w:jc w:val="both"/>
        <w:rPr>
          <w:rFonts w:ascii="Arial" w:hAnsi="Arial" w:cs="Arial"/>
          <w:lang w:val="en-US" w:eastAsia="el-GR"/>
        </w:rPr>
      </w:pPr>
    </w:p>
    <w:p w:rsidR="000D3278" w:rsidRPr="000D3278" w:rsidRDefault="000D3278" w:rsidP="000D3278">
      <w:pPr>
        <w:spacing w:line="360" w:lineRule="auto"/>
        <w:jc w:val="both"/>
        <w:rPr>
          <w:rFonts w:ascii="Arial" w:hAnsi="Arial" w:cs="Arial"/>
          <w:lang w:val="en-US"/>
        </w:rPr>
      </w:pPr>
      <w:r w:rsidRPr="000D3278">
        <w:rPr>
          <w:rFonts w:ascii="Arial" w:hAnsi="Arial" w:cs="Arial"/>
          <w:lang w:val="en-US"/>
        </w:rPr>
        <w:t xml:space="preserve"> </w:t>
      </w:r>
    </w:p>
    <w:p w:rsidR="000D3278" w:rsidRPr="000D3278" w:rsidRDefault="000D3278" w:rsidP="000D3278">
      <w:pPr>
        <w:spacing w:line="360" w:lineRule="auto"/>
        <w:jc w:val="both"/>
        <w:rPr>
          <w:rFonts w:ascii="Arial" w:hAnsi="Arial" w:cs="Arial"/>
          <w:lang w:val="en-US"/>
        </w:rPr>
      </w:pPr>
    </w:p>
    <w:p w:rsidR="000D3278" w:rsidRPr="000D3278" w:rsidRDefault="000D3278" w:rsidP="000D3278">
      <w:pPr>
        <w:jc w:val="both"/>
        <w:rPr>
          <w:rFonts w:ascii="Arial" w:hAnsi="Arial" w:cs="Arial"/>
          <w:lang w:val="en-US"/>
        </w:rPr>
      </w:pPr>
    </w:p>
    <w:p w:rsidR="000D3278" w:rsidRPr="000D3278" w:rsidRDefault="000D3278" w:rsidP="000D3278">
      <w:pPr>
        <w:jc w:val="both"/>
        <w:rPr>
          <w:rFonts w:ascii="Arial" w:hAnsi="Arial" w:cs="Arial"/>
          <w:lang w:val="en-US"/>
        </w:rPr>
      </w:pPr>
    </w:p>
    <w:p w:rsidR="000D3278" w:rsidRPr="000D3278" w:rsidRDefault="000D3278" w:rsidP="000D3278">
      <w:pPr>
        <w:jc w:val="both"/>
        <w:rPr>
          <w:rFonts w:ascii="Arial" w:hAnsi="Arial" w:cs="Arial"/>
          <w:lang w:val="en-US"/>
        </w:rPr>
      </w:pPr>
    </w:p>
    <w:p w:rsidR="000D3278" w:rsidRPr="000D3278" w:rsidRDefault="000D3278" w:rsidP="000D3278">
      <w:pPr>
        <w:jc w:val="both"/>
        <w:rPr>
          <w:rFonts w:ascii="Arial" w:hAnsi="Arial" w:cs="Arial"/>
          <w:lang w:val="en-US"/>
        </w:rPr>
      </w:pPr>
      <w:r w:rsidRPr="000D3278">
        <w:rPr>
          <w:rFonts w:ascii="Arial" w:hAnsi="Arial" w:cs="Arial"/>
          <w:noProof/>
          <w:lang w:eastAsia="en-GB"/>
        </w:rPr>
        <w:lastRenderedPageBreak/>
        <w:drawing>
          <wp:anchor distT="0" distB="0" distL="114300" distR="114300" simplePos="0" relativeHeight="251662336" behindDoc="0" locked="0" layoutInCell="1" allowOverlap="1" wp14:anchorId="03E67F1E" wp14:editId="3CA76389">
            <wp:simplePos x="0" y="0"/>
            <wp:positionH relativeFrom="margin">
              <wp:posOffset>1139654</wp:posOffset>
            </wp:positionH>
            <wp:positionV relativeFrom="paragraph">
              <wp:posOffset>168</wp:posOffset>
            </wp:positionV>
            <wp:extent cx="2950210" cy="225679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0210" cy="22567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D3278" w:rsidRDefault="000D3278" w:rsidP="000D3278">
      <w:pPr>
        <w:spacing w:line="360" w:lineRule="auto"/>
        <w:jc w:val="both"/>
        <w:rPr>
          <w:rFonts w:ascii="Arial" w:hAnsi="Arial" w:cs="Arial"/>
          <w:lang w:val="en-US"/>
        </w:rPr>
      </w:pPr>
      <w:r w:rsidRPr="000D3278">
        <w:rPr>
          <w:rFonts w:ascii="Arial" w:hAnsi="Arial" w:cs="Arial"/>
          <w:noProof/>
          <w:lang w:eastAsia="en-GB"/>
        </w:rPr>
        <w:drawing>
          <wp:anchor distT="0" distB="0" distL="114300" distR="114300" simplePos="0" relativeHeight="251663360" behindDoc="0" locked="0" layoutInCell="1" allowOverlap="1" wp14:anchorId="448E18E6">
            <wp:simplePos x="0" y="0"/>
            <wp:positionH relativeFrom="column">
              <wp:posOffset>-368082</wp:posOffset>
            </wp:positionH>
            <wp:positionV relativeFrom="paragraph">
              <wp:posOffset>749495</wp:posOffset>
            </wp:positionV>
            <wp:extent cx="5946140" cy="4148455"/>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6140" cy="4148455"/>
                    </a:xfrm>
                    <a:prstGeom prst="rect">
                      <a:avLst/>
                    </a:prstGeom>
                    <a:noFill/>
                    <a:ln>
                      <a:noFill/>
                    </a:ln>
                  </pic:spPr>
                </pic:pic>
              </a:graphicData>
            </a:graphic>
          </wp:anchor>
        </w:drawing>
      </w:r>
      <w:r w:rsidRPr="000D3278">
        <w:rPr>
          <w:rFonts w:ascii="Arial" w:hAnsi="Arial" w:cs="Arial"/>
          <w:b/>
          <w:lang w:val="en-US"/>
        </w:rPr>
        <w:t>Figure S3.</w:t>
      </w:r>
      <w:r w:rsidRPr="000D3278">
        <w:rPr>
          <w:rFonts w:ascii="Arial" w:hAnsi="Arial" w:cs="Arial"/>
          <w:lang w:val="en-US"/>
        </w:rPr>
        <w:t xml:space="preserve"> Exponential decay fitting of the current “relaxation tail” measured for stimulation of the Au/Li</w:t>
      </w:r>
      <w:r w:rsidRPr="000D3278">
        <w:rPr>
          <w:rFonts w:ascii="Arial" w:hAnsi="Arial" w:cs="Arial"/>
          <w:vertAlign w:val="subscript"/>
          <w:lang w:val="en-US"/>
        </w:rPr>
        <w:t>x</w:t>
      </w:r>
      <w:r w:rsidRPr="000D3278">
        <w:rPr>
          <w:rFonts w:ascii="Arial" w:hAnsi="Arial" w:cs="Arial"/>
          <w:lang w:val="en-US"/>
        </w:rPr>
        <w:t>CoO</w:t>
      </w:r>
      <w:r w:rsidRPr="000D3278">
        <w:rPr>
          <w:rFonts w:ascii="Arial" w:hAnsi="Arial" w:cs="Arial"/>
          <w:vertAlign w:val="subscript"/>
          <w:lang w:val="en-US"/>
        </w:rPr>
        <w:t>2</w:t>
      </w:r>
      <w:r w:rsidRPr="000D3278">
        <w:rPr>
          <w:rFonts w:ascii="Arial" w:hAnsi="Arial" w:cs="Arial"/>
          <w:lang w:val="en-US"/>
        </w:rPr>
        <w:t>/</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lang w:val="en-US"/>
        </w:rPr>
        <w:t>/TiO</w:t>
      </w:r>
      <w:r w:rsidRPr="000D3278">
        <w:rPr>
          <w:rFonts w:ascii="Arial" w:hAnsi="Arial" w:cs="Arial"/>
          <w:vertAlign w:val="subscript"/>
          <w:lang w:val="en-US"/>
        </w:rPr>
        <w:t>2</w:t>
      </w:r>
      <w:r w:rsidRPr="000D3278">
        <w:rPr>
          <w:rFonts w:ascii="Arial" w:hAnsi="Arial" w:cs="Arial"/>
          <w:lang w:val="en-US"/>
        </w:rPr>
        <w:t>/p</w:t>
      </w:r>
      <w:r w:rsidRPr="000D3278">
        <w:rPr>
          <w:rFonts w:ascii="Arial" w:hAnsi="Arial" w:cs="Arial"/>
          <w:vertAlign w:val="superscript"/>
          <w:lang w:val="en-US"/>
        </w:rPr>
        <w:t>++</w:t>
      </w:r>
      <w:r w:rsidRPr="000D3278">
        <w:rPr>
          <w:rFonts w:ascii="Arial" w:hAnsi="Arial" w:cs="Arial"/>
          <w:lang w:val="en-US"/>
        </w:rPr>
        <w:t>-Si</w:t>
      </w:r>
      <w:r w:rsidRPr="000D3278">
        <w:rPr>
          <w:rFonts w:ascii="Arial" w:hAnsi="Arial" w:cs="Arial"/>
          <w:vertAlign w:val="superscript"/>
          <w:lang w:val="en-US"/>
        </w:rPr>
        <w:t xml:space="preserve"> </w:t>
      </w:r>
      <w:r w:rsidRPr="000D3278">
        <w:rPr>
          <w:rFonts w:ascii="Arial" w:hAnsi="Arial" w:cs="Arial"/>
          <w:lang w:val="en-US"/>
        </w:rPr>
        <w:t xml:space="preserve">device with 60 </w:t>
      </w:r>
      <w:proofErr w:type="spellStart"/>
      <w:r w:rsidRPr="000D3278">
        <w:rPr>
          <w:rFonts w:ascii="Arial" w:hAnsi="Arial" w:cs="Arial"/>
          <w:lang w:val="en-US"/>
        </w:rPr>
        <w:t>ms</w:t>
      </w:r>
      <w:proofErr w:type="spellEnd"/>
      <w:r w:rsidRPr="000D3278">
        <w:rPr>
          <w:rFonts w:ascii="Arial" w:hAnsi="Arial" w:cs="Arial"/>
          <w:lang w:val="en-US"/>
        </w:rPr>
        <w:t xml:space="preserve"> (-4.2 V) write pulses. A </w:t>
      </w:r>
      <w:r w:rsidRPr="000D3278">
        <w:rPr>
          <w:rFonts w:ascii="Arial" w:eastAsiaTheme="minorEastAsia" w:hAnsi="Arial" w:cs="Arial"/>
          <w:lang w:val="en-US" w:eastAsia="el-GR"/>
        </w:rPr>
        <w:t>relaxation time constant ~30 s was extracted.</w:t>
      </w:r>
      <w:r w:rsidRPr="000D3278">
        <w:rPr>
          <w:rFonts w:ascii="Arial" w:hAnsi="Arial" w:cs="Arial"/>
          <w:lang w:val="en-US"/>
        </w:rPr>
        <w:t xml:space="preserve"> </w:t>
      </w:r>
    </w:p>
    <w:p w:rsidR="00B2621D" w:rsidRPr="000D3278" w:rsidRDefault="000D3278" w:rsidP="000D3278">
      <w:pPr>
        <w:spacing w:line="360" w:lineRule="auto"/>
        <w:jc w:val="both"/>
        <w:rPr>
          <w:rFonts w:ascii="Arial" w:hAnsi="Arial" w:cs="Arial"/>
          <w:lang w:val="en-US"/>
        </w:rPr>
      </w:pPr>
      <w:r w:rsidRPr="000D3278">
        <w:rPr>
          <w:rFonts w:ascii="Arial" w:hAnsi="Arial" w:cs="Arial"/>
          <w:b/>
          <w:lang w:val="en-US"/>
        </w:rPr>
        <w:t>Figure S4.</w:t>
      </w:r>
      <w:r w:rsidRPr="000D3278">
        <w:rPr>
          <w:rFonts w:ascii="Arial" w:hAnsi="Arial" w:cs="Arial"/>
          <w:lang w:val="en-US"/>
        </w:rPr>
        <w:t xml:space="preserve"> Device potentiation and subsequent exponential relaxation of the measured current, for increasing write pulse widths </w:t>
      </w:r>
      <w:r w:rsidRPr="000D3278">
        <w:rPr>
          <w:rFonts w:ascii="Arial" w:hAnsi="Arial" w:cs="Arial"/>
          <w:lang w:val="en-US" w:eastAsia="el-GR"/>
        </w:rPr>
        <w:t xml:space="preserve">(Read: -2 V, 2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Write: -4.2 V, 60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80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100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120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140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160 </w:t>
      </w:r>
      <w:proofErr w:type="spellStart"/>
      <w:r w:rsidRPr="000D3278">
        <w:rPr>
          <w:rFonts w:ascii="Arial" w:hAnsi="Arial" w:cs="Arial"/>
          <w:lang w:val="en-US" w:eastAsia="el-GR"/>
        </w:rPr>
        <w:t>ms.</w:t>
      </w:r>
      <w:proofErr w:type="spellEnd"/>
      <w:r w:rsidRPr="000D3278">
        <w:rPr>
          <w:rFonts w:ascii="Arial" w:hAnsi="Arial" w:cs="Arial"/>
          <w:lang w:val="en-US" w:eastAsia="el-GR"/>
        </w:rPr>
        <w:t xml:space="preserve"> Spacing: 120 </w:t>
      </w:r>
      <w:proofErr w:type="spellStart"/>
      <w:r w:rsidRPr="000D3278">
        <w:rPr>
          <w:rFonts w:ascii="Arial" w:hAnsi="Arial" w:cs="Arial"/>
          <w:lang w:val="en-US" w:eastAsia="el-GR"/>
        </w:rPr>
        <w:t>ms</w:t>
      </w:r>
      <w:proofErr w:type="spellEnd"/>
      <w:r w:rsidRPr="000D3278">
        <w:rPr>
          <w:rFonts w:ascii="Arial" w:hAnsi="Arial" w:cs="Arial"/>
          <w:lang w:val="en-US" w:eastAsia="el-GR"/>
        </w:rPr>
        <w:t>)</w:t>
      </w:r>
      <w:r w:rsidRPr="000D3278">
        <w:rPr>
          <w:rFonts w:ascii="Arial" w:hAnsi="Arial" w:cs="Arial"/>
          <w:lang w:val="en-US"/>
        </w:rPr>
        <w:t xml:space="preserve">. Although the </w:t>
      </w:r>
      <w:r w:rsidRPr="000D3278">
        <w:rPr>
          <w:rFonts w:ascii="Arial" w:eastAsiaTheme="minorEastAsia" w:hAnsi="Arial" w:cs="Arial"/>
          <w:lang w:val="en-US" w:eastAsia="el-GR"/>
        </w:rPr>
        <w:t xml:space="preserve">measured current during potentiation reaches a higher maximum value for increasing pulse width stimulation, pulses wider than 120 </w:t>
      </w:r>
      <w:proofErr w:type="spellStart"/>
      <w:r w:rsidRPr="000D3278">
        <w:rPr>
          <w:rFonts w:ascii="Arial" w:eastAsiaTheme="minorEastAsia" w:hAnsi="Arial" w:cs="Arial"/>
          <w:lang w:val="en-US" w:eastAsia="el-GR"/>
        </w:rPr>
        <w:t>ms</w:t>
      </w:r>
      <w:proofErr w:type="spellEnd"/>
      <w:r w:rsidRPr="000D3278">
        <w:rPr>
          <w:rFonts w:ascii="Arial" w:eastAsiaTheme="minorEastAsia" w:hAnsi="Arial" w:cs="Arial"/>
          <w:lang w:val="en-US" w:eastAsia="el-GR"/>
        </w:rPr>
        <w:t xml:space="preserve"> have no further impact on the achieved steady state, due to limitation set by the </w:t>
      </w:r>
      <w:proofErr w:type="spellStart"/>
      <w:r w:rsidRPr="000D3278">
        <w:rPr>
          <w:rFonts w:ascii="Arial" w:hAnsi="Arial" w:cs="Arial"/>
          <w:lang w:val="en-US"/>
        </w:rPr>
        <w:t>SiO</w:t>
      </w:r>
      <w:r w:rsidRPr="000D3278">
        <w:rPr>
          <w:rFonts w:ascii="Arial" w:hAnsi="Arial" w:cs="Arial"/>
          <w:vertAlign w:val="subscript"/>
          <w:lang w:val="en-US"/>
        </w:rPr>
        <w:t>x</w:t>
      </w:r>
      <w:proofErr w:type="spellEnd"/>
      <w:r w:rsidRPr="000D3278">
        <w:rPr>
          <w:rFonts w:ascii="Arial" w:hAnsi="Arial" w:cs="Arial"/>
          <w:vertAlign w:val="subscript"/>
          <w:lang w:val="en-US"/>
        </w:rPr>
        <w:t xml:space="preserve"> </w:t>
      </w:r>
      <w:r w:rsidRPr="000D3278">
        <w:rPr>
          <w:rFonts w:ascii="Arial" w:hAnsi="Arial" w:cs="Arial"/>
          <w:lang w:val="en-US"/>
        </w:rPr>
        <w:t>solid electrolyte.</w:t>
      </w:r>
    </w:p>
    <w:sectPr w:rsidR="00B2621D" w:rsidRPr="000D3278">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663" w:rsidRDefault="00A80663" w:rsidP="001B5B84">
      <w:pPr>
        <w:spacing w:after="0" w:line="240" w:lineRule="auto"/>
      </w:pPr>
      <w:r>
        <w:separator/>
      </w:r>
    </w:p>
  </w:endnote>
  <w:endnote w:type="continuationSeparator" w:id="0">
    <w:p w:rsidR="00A80663" w:rsidRDefault="00A80663" w:rsidP="001B5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7112671"/>
      <w:docPartObj>
        <w:docPartGallery w:val="Page Numbers (Bottom of Page)"/>
        <w:docPartUnique/>
      </w:docPartObj>
    </w:sdtPr>
    <w:sdtEndPr>
      <w:rPr>
        <w:color w:val="7F7F7F" w:themeColor="background1" w:themeShade="7F"/>
        <w:spacing w:val="60"/>
      </w:rPr>
    </w:sdtEndPr>
    <w:sdtContent>
      <w:p w:rsidR="001B5B84" w:rsidRDefault="001B5B8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proofErr w:type="spellStart"/>
        <w:r>
          <w:rPr>
            <w:color w:val="7F7F7F" w:themeColor="background1" w:themeShade="7F"/>
            <w:spacing w:val="60"/>
          </w:rPr>
          <w:t>Page</w:t>
        </w:r>
        <w:proofErr w:type="spellEnd"/>
      </w:p>
    </w:sdtContent>
  </w:sdt>
  <w:p w:rsidR="001B5B84" w:rsidRDefault="001B5B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663" w:rsidRDefault="00A80663" w:rsidP="001B5B84">
      <w:pPr>
        <w:spacing w:after="0" w:line="240" w:lineRule="auto"/>
      </w:pPr>
      <w:r>
        <w:separator/>
      </w:r>
    </w:p>
  </w:footnote>
  <w:footnote w:type="continuationSeparator" w:id="0">
    <w:p w:rsidR="00A80663" w:rsidRDefault="00A80663" w:rsidP="001B5B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78"/>
    <w:rsid w:val="000B73B6"/>
    <w:rsid w:val="000D3278"/>
    <w:rsid w:val="001B5B84"/>
    <w:rsid w:val="005B0D68"/>
    <w:rsid w:val="00A11D33"/>
    <w:rsid w:val="00A80663"/>
    <w:rsid w:val="00EA50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913A"/>
  <w15:chartTrackingRefBased/>
  <w15:docId w15:val="{1C85C642-E170-4D44-A85F-6BC309C9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B8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B5B84"/>
  </w:style>
  <w:style w:type="paragraph" w:styleId="Footer">
    <w:name w:val="footer"/>
    <w:basedOn w:val="Normal"/>
    <w:link w:val="FooterChar"/>
    <w:uiPriority w:val="99"/>
    <w:unhideWhenUsed/>
    <w:rsid w:val="001B5B8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B5B84"/>
  </w:style>
  <w:style w:type="paragraph" w:customStyle="1" w:styleId="Default">
    <w:name w:val="Default"/>
    <w:rsid w:val="00EA5081"/>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912</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Cyprus</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Panagiotis Ioannou</dc:creator>
  <cp:keywords/>
  <dc:description/>
  <cp:lastModifiedBy>Panagiotis Ioannou</cp:lastModifiedBy>
  <cp:revision>2</cp:revision>
  <dcterms:created xsi:type="dcterms:W3CDTF">2020-04-06T04:07:00Z</dcterms:created>
  <dcterms:modified xsi:type="dcterms:W3CDTF">2020-04-06T11:39:00Z</dcterms:modified>
</cp:coreProperties>
</file>