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965950" w14:textId="77777777" w:rsidR="007E5D50" w:rsidRPr="00A17183" w:rsidRDefault="007E5D50" w:rsidP="007E5D50">
      <w:pPr>
        <w:spacing w:line="360" w:lineRule="auto"/>
        <w:jc w:val="center"/>
        <w:rPr>
          <w:rFonts w:ascii="Times New Roman" w:hAnsi="Times New Roman" w:cs="Times New Roman"/>
          <w:sz w:val="36"/>
          <w:szCs w:val="40"/>
        </w:rPr>
      </w:pPr>
      <w:r w:rsidRPr="00A17183">
        <w:rPr>
          <w:rFonts w:ascii="Times New Roman" w:hAnsi="Times New Roman" w:cs="Times New Roman"/>
          <w:sz w:val="36"/>
          <w:szCs w:val="40"/>
        </w:rPr>
        <w:t>Substantia nigra echogenicity is associated with serum ferritin, gender and iron-related genes in Parkinson's disease</w:t>
      </w:r>
    </w:p>
    <w:p w14:paraId="25ED3FD6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17183">
        <w:rPr>
          <w:rFonts w:ascii="Times New Roman" w:hAnsi="Times New Roman" w:cs="Times New Roman"/>
          <w:sz w:val="24"/>
          <w:szCs w:val="28"/>
        </w:rPr>
        <w:t>Kai Li,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1†</w:t>
      </w:r>
      <w:r w:rsidRPr="00A17183">
        <w:rPr>
          <w:rFonts w:ascii="Times New Roman" w:hAnsi="Times New Roman" w:cs="Times New Roman"/>
          <w:sz w:val="24"/>
          <w:szCs w:val="28"/>
        </w:rPr>
        <w:t xml:space="preserve"> Yi-Lun Ge, MD,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1†</w:t>
      </w:r>
      <w:r w:rsidRPr="00A17183">
        <w:rPr>
          <w:rFonts w:ascii="Times New Roman" w:hAnsi="Times New Roman" w:cs="Times New Roman"/>
          <w:sz w:val="24"/>
          <w:szCs w:val="28"/>
        </w:rPr>
        <w:t xml:space="preserve"> Chen-Chen Gu, MD,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Jin-Ru Zhang,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Hong Jin, MD,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Jiao Li,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Xiao-Yu Cheng,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Ya-Ping Yang,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Fen Wang, MD,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A17183">
        <w:rPr>
          <w:rFonts w:ascii="Times New Roman" w:hAnsi="Times New Roman" w:cs="Times New Roman"/>
          <w:sz w:val="24"/>
          <w:szCs w:val="28"/>
        </w:rPr>
        <w:t xml:space="preserve"> Ying-Chun Zhang,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Pr="00A17183">
        <w:rPr>
          <w:rFonts w:ascii="Times New Roman" w:hAnsi="Times New Roman" w:cs="Times New Roman"/>
          <w:sz w:val="24"/>
          <w:szCs w:val="28"/>
        </w:rPr>
        <w:t xml:space="preserve"> Jing Chen,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Cheng-Jie Mao, MD, PhD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 xml:space="preserve"> and Chun-Feng Liu, MD, PhD,</w:t>
      </w: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1,2*</w:t>
      </w:r>
    </w:p>
    <w:p w14:paraId="19B6AC31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  <w:vertAlign w:val="superscript"/>
        </w:rPr>
      </w:pPr>
    </w:p>
    <w:p w14:paraId="0FF8972A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bookmarkStart w:id="0" w:name="_Hlk22238452"/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17183">
        <w:rPr>
          <w:rFonts w:ascii="Times New Roman" w:hAnsi="Times New Roman" w:cs="Times New Roman"/>
          <w:sz w:val="24"/>
          <w:szCs w:val="28"/>
        </w:rPr>
        <w:t>Department of Neurology, the Second Affiliated Hospital of Soochow University, Suzhou, Jiangsu, China</w:t>
      </w:r>
    </w:p>
    <w:p w14:paraId="4ECBE50C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A17183">
        <w:rPr>
          <w:rFonts w:ascii="Times New Roman" w:hAnsi="Times New Roman" w:cs="Times New Roman"/>
          <w:sz w:val="24"/>
          <w:szCs w:val="28"/>
        </w:rPr>
        <w:t>Institute of Neuroscience, Soochow University, Suzhou, Jiangsu, China</w:t>
      </w:r>
    </w:p>
    <w:p w14:paraId="7F1EDF70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Pr="00A17183">
        <w:rPr>
          <w:rFonts w:ascii="Times New Roman" w:hAnsi="Times New Roman" w:cs="Times New Roman"/>
          <w:sz w:val="24"/>
          <w:szCs w:val="28"/>
        </w:rPr>
        <w:t>Department of Ultrasound, the Second Affiliated Hospital of Soochow University, Suzhou, Jiangsu, China</w:t>
      </w:r>
    </w:p>
    <w:bookmarkEnd w:id="0"/>
    <w:p w14:paraId="5E6EC2F9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5A3AAAE3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17183">
        <w:rPr>
          <w:rFonts w:ascii="Times New Roman" w:hAnsi="Times New Roman" w:cs="Times New Roman"/>
          <w:sz w:val="24"/>
          <w:szCs w:val="28"/>
          <w:vertAlign w:val="superscript"/>
        </w:rPr>
        <w:t>†</w:t>
      </w:r>
      <w:r w:rsidRPr="00A17183">
        <w:rPr>
          <w:rFonts w:ascii="Times New Roman" w:hAnsi="Times New Roman" w:cs="Times New Roman"/>
          <w:sz w:val="24"/>
          <w:szCs w:val="28"/>
        </w:rPr>
        <w:t>Kai Li and Yi-Lun Ge contributed equally to this work.</w:t>
      </w:r>
    </w:p>
    <w:p w14:paraId="17BABDE7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72140EEC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17183">
        <w:rPr>
          <w:rFonts w:ascii="Times New Roman" w:hAnsi="Times New Roman" w:cs="Times New Roman"/>
          <w:sz w:val="24"/>
          <w:szCs w:val="28"/>
        </w:rPr>
        <w:t>*</w:t>
      </w:r>
      <w:r w:rsidRPr="00A17183">
        <w:rPr>
          <w:rFonts w:ascii="Times New Roman" w:hAnsi="Times New Roman" w:cs="Times New Roman"/>
          <w:b/>
          <w:bCs/>
          <w:sz w:val="24"/>
          <w:szCs w:val="28"/>
        </w:rPr>
        <w:t>Correspondence Author:</w:t>
      </w:r>
      <w:r w:rsidRPr="00A17183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068D62EF" w14:textId="77777777" w:rsidR="007E5D50" w:rsidRPr="005B0F5D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  <w:lang w:val="de-DE"/>
        </w:rPr>
      </w:pPr>
      <w:r w:rsidRPr="005B0F5D">
        <w:rPr>
          <w:rFonts w:ascii="Times New Roman" w:hAnsi="Times New Roman" w:cs="Times New Roman"/>
          <w:sz w:val="24"/>
          <w:szCs w:val="28"/>
          <w:lang w:val="de-DE"/>
        </w:rPr>
        <w:t>Dr. Chun-Feng Liu, MD, PhD</w:t>
      </w:r>
    </w:p>
    <w:p w14:paraId="79190D37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A17183">
        <w:rPr>
          <w:rFonts w:ascii="Times New Roman" w:hAnsi="Times New Roman" w:cs="Times New Roman"/>
          <w:sz w:val="24"/>
          <w:szCs w:val="28"/>
        </w:rPr>
        <w:t>Department of Neurology, the Second Affiliated Hospital of Soochow University, No.1055 Sanxiang Road, Suzhou, Jiangsu, 215004, P. R. China</w:t>
      </w:r>
    </w:p>
    <w:p w14:paraId="511CDF21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  <w:lang w:val="de-DE"/>
        </w:rPr>
      </w:pPr>
      <w:r w:rsidRPr="00A17183">
        <w:rPr>
          <w:rFonts w:ascii="Times New Roman" w:hAnsi="Times New Roman" w:cs="Times New Roman"/>
          <w:sz w:val="24"/>
          <w:szCs w:val="28"/>
          <w:lang w:val="de-DE"/>
        </w:rPr>
        <w:t>Tel.: (86)512-6778-3307</w:t>
      </w:r>
    </w:p>
    <w:p w14:paraId="5BA8E168" w14:textId="77777777" w:rsidR="007E5D50" w:rsidRPr="00A17183" w:rsidRDefault="007E5D50" w:rsidP="007E5D50">
      <w:pPr>
        <w:spacing w:line="360" w:lineRule="auto"/>
        <w:rPr>
          <w:rFonts w:ascii="Times New Roman" w:hAnsi="Times New Roman" w:cs="Times New Roman"/>
          <w:sz w:val="24"/>
          <w:szCs w:val="28"/>
          <w:lang w:val="de-DE"/>
        </w:rPr>
      </w:pPr>
      <w:r w:rsidRPr="00A17183">
        <w:rPr>
          <w:rFonts w:ascii="Times New Roman" w:hAnsi="Times New Roman" w:cs="Times New Roman"/>
          <w:sz w:val="24"/>
          <w:szCs w:val="28"/>
          <w:lang w:val="de-DE"/>
        </w:rPr>
        <w:t>E-mail: liuchunfeng@suda.edu.cn</w:t>
      </w:r>
    </w:p>
    <w:p w14:paraId="78DC4C9D" w14:textId="77777777" w:rsidR="007E5D50" w:rsidRPr="00A17183" w:rsidRDefault="007E5D50" w:rsidP="007E5D50">
      <w:pPr>
        <w:spacing w:line="360" w:lineRule="auto"/>
        <w:rPr>
          <w:lang w:val="de-DE"/>
        </w:rPr>
      </w:pPr>
      <w:r w:rsidRPr="00A17183">
        <w:rPr>
          <w:lang w:val="de-DE"/>
        </w:rPr>
        <w:br w:type="page"/>
      </w:r>
    </w:p>
    <w:p w14:paraId="6F92E4F4" w14:textId="77777777" w:rsidR="00E7419E" w:rsidRPr="00BB1B80" w:rsidRDefault="00E7419E" w:rsidP="00E7419E">
      <w:pPr>
        <w:rPr>
          <w:rFonts w:ascii="Times New Roman" w:hAnsi="Times New Roman" w:cs="Times New Roman"/>
          <w:sz w:val="24"/>
          <w:szCs w:val="24"/>
        </w:rPr>
      </w:pPr>
      <w:r w:rsidRPr="00BB1B80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4.</w:t>
      </w:r>
      <w:r w:rsidRPr="00BB1B80">
        <w:rPr>
          <w:rFonts w:ascii="Times New Roman" w:hAnsi="Times New Roman" w:cs="Times New Roman"/>
          <w:sz w:val="24"/>
          <w:szCs w:val="24"/>
        </w:rPr>
        <w:t xml:space="preserve"> Demographic and clinical features of 92 individuals with serum ferritin data.</w:t>
      </w:r>
    </w:p>
    <w:tbl>
      <w:tblPr>
        <w:tblW w:w="8222" w:type="dxa"/>
        <w:tblLayout w:type="fixed"/>
        <w:tblLook w:val="04A0" w:firstRow="1" w:lastRow="0" w:firstColumn="1" w:lastColumn="0" w:noHBand="0" w:noVBand="1"/>
      </w:tblPr>
      <w:tblGrid>
        <w:gridCol w:w="2410"/>
        <w:gridCol w:w="1704"/>
        <w:gridCol w:w="1704"/>
        <w:gridCol w:w="1562"/>
        <w:gridCol w:w="842"/>
      </w:tblGrid>
      <w:tr w:rsidR="00E7419E" w:rsidRPr="00BB1B80" w14:paraId="40C8ABF1" w14:textId="77777777" w:rsidTr="00F37FE1">
        <w:trPr>
          <w:trHeight w:val="276"/>
        </w:trPr>
        <w:tc>
          <w:tcPr>
            <w:tcW w:w="241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64ED0" w14:textId="77777777" w:rsidR="00E7419E" w:rsidRPr="00BB1B80" w:rsidRDefault="00E7419E" w:rsidP="00F37FE1">
            <w:pPr>
              <w:spacing w:after="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A6A3C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Total (n</w:t>
            </w:r>
            <w:r w:rsidRPr="00BB1B8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=</w:t>
            </w: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92)</w:t>
            </w:r>
          </w:p>
        </w:tc>
        <w:tc>
          <w:tcPr>
            <w:tcW w:w="17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A768F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SN+ (n</w:t>
            </w:r>
            <w:r w:rsidRPr="00BB1B8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=</w:t>
            </w: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49)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3220A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SN- (n</w:t>
            </w:r>
            <w:r w:rsidRPr="00BB1B8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=</w:t>
            </w: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43)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DCE86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</w:tr>
      <w:tr w:rsidR="00E7419E" w:rsidRPr="00BB1B80" w14:paraId="04E966C7" w14:textId="77777777" w:rsidTr="00F37FE1">
        <w:trPr>
          <w:trHeight w:val="276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91E68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Gender (Male, %)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905E29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 (62.0</w:t>
            </w:r>
            <w:r w:rsidRPr="00BB1B8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%</w:t>
            </w: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7937C3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37 (75.5</w:t>
            </w:r>
            <w:r w:rsidRPr="00BB1B8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%</w:t>
            </w: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D311F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 (46.5</w:t>
            </w:r>
            <w:r w:rsidRPr="00BB1B80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%</w:t>
            </w: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40B6" w14:textId="77777777" w:rsidR="00E7419E" w:rsidRPr="00BB1B80" w:rsidRDefault="00E7419E" w:rsidP="00F37FE1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0.005</w:t>
            </w:r>
            <w:r w:rsidRPr="00BB1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032333" w:rsidRPr="00BB1B80" w14:paraId="1B3DD0B2" w14:textId="77777777" w:rsidTr="00F37FE1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9FE9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Age (years)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B694A" w14:textId="49ADE5AA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 ± 8.7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305D7" w14:textId="3FB0CB1B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64.0 ± 7.9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3C74C" w14:textId="703A175C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63.3 ± 9.6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17F4E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0.664</w:t>
            </w:r>
            <w:r w:rsidRPr="00BB1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032333" w:rsidRPr="00BB1B80" w14:paraId="72C64D93" w14:textId="77777777" w:rsidTr="00F37FE1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EBCC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PD Duration (years)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1AE41" w14:textId="167269B4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 ± 3.8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6AF7A" w14:textId="4C676D13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 ± 4.2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E08A" w14:textId="72E7A7CF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 ± 3.3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10CD7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0.825</w:t>
            </w:r>
            <w:r w:rsidRPr="00BB1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032333" w:rsidRPr="00BB1B80" w14:paraId="6B82B0C2" w14:textId="77777777" w:rsidTr="00F37FE1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AE675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H-Y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7D944" w14:textId="591F3B82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± 0.7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6D978" w14:textId="53E47F48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± 0.8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1D3A5" w14:textId="4611D737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 ± 0.7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12EF1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0.984</w:t>
            </w:r>
            <w:r w:rsidRPr="00BB1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032333" w:rsidRPr="00BB1B80" w14:paraId="233EA91D" w14:textId="77777777" w:rsidTr="00F37FE1">
        <w:trPr>
          <w:trHeight w:val="276"/>
        </w:trPr>
        <w:tc>
          <w:tcPr>
            <w:tcW w:w="24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4012F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UPDRS-III</w:t>
            </w:r>
          </w:p>
        </w:tc>
        <w:tc>
          <w:tcPr>
            <w:tcW w:w="1704" w:type="dxa"/>
            <w:tcBorders>
              <w:top w:val="nil"/>
              <w:left w:val="nil"/>
              <w:right w:val="nil"/>
            </w:tcBorders>
            <w:vAlign w:val="center"/>
          </w:tcPr>
          <w:p w14:paraId="6D6E218B" w14:textId="2A810509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 ± 12.6</w:t>
            </w:r>
          </w:p>
        </w:tc>
        <w:tc>
          <w:tcPr>
            <w:tcW w:w="1704" w:type="dxa"/>
            <w:tcBorders>
              <w:top w:val="nil"/>
              <w:left w:val="nil"/>
              <w:right w:val="nil"/>
            </w:tcBorders>
            <w:vAlign w:val="center"/>
          </w:tcPr>
          <w:p w14:paraId="3509B78D" w14:textId="6100EEEF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29.0 ± 14.3</w:t>
            </w:r>
          </w:p>
        </w:tc>
        <w:tc>
          <w:tcPr>
            <w:tcW w:w="15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35EFC" w14:textId="24D0B9C5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27.1 ± 10.6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FBD51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0.833</w:t>
            </w:r>
            <w:r w:rsidRPr="00BB1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  <w:tr w:rsidR="00032333" w:rsidRPr="00BB1B80" w14:paraId="5DE3830D" w14:textId="77777777" w:rsidTr="00F37FE1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A8B76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Ferritin (μg/L)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1F5041D" w14:textId="4995BC86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186.9 ± 128.1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FAB82A2" w14:textId="70C4C69B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223.8 ± 150.8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BF603C" w14:textId="5FE6DA1D" w:rsidR="00032333" w:rsidRPr="00032333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0323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144.9 ± 78.6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DBD769" w14:textId="77777777" w:rsidR="00032333" w:rsidRPr="00BB1B80" w:rsidRDefault="00032333" w:rsidP="00032333">
            <w:pPr>
              <w:spacing w:after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B1B8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0.024</w:t>
            </w:r>
            <w:r w:rsidRPr="00BB1B8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</w:tr>
    </w:tbl>
    <w:p w14:paraId="7C27747E" w14:textId="77777777" w:rsidR="00E7419E" w:rsidRPr="00BB1B80" w:rsidRDefault="00E7419E" w:rsidP="00E7419E">
      <w:pPr>
        <w:rPr>
          <w:rFonts w:ascii="Times New Roman" w:hAnsi="Times New Roman" w:cs="Times New Roman"/>
          <w:sz w:val="24"/>
          <w:szCs w:val="24"/>
        </w:rPr>
      </w:pPr>
      <w:r w:rsidRPr="00BB1B80">
        <w:rPr>
          <w:rFonts w:ascii="Times New Roman" w:hAnsi="Times New Roman" w:cs="Times New Roman"/>
          <w:sz w:val="24"/>
          <w:szCs w:val="24"/>
        </w:rPr>
        <w:t>PD: Parkinson’s disease; SN+: Substantia nigra hyperechogenicity; SN-: Substantia nigra hypoechogenicity; H-Y: Hoehn and Yahr stage ("off" state); UPDRS-III: Unified Parkinson Disease Rating Scale Part III ("on" state).</w:t>
      </w:r>
    </w:p>
    <w:p w14:paraId="10ACFFC3" w14:textId="3476A5EA" w:rsidR="00E7419E" w:rsidRPr="00BB1B80" w:rsidRDefault="00E7419E" w:rsidP="00E7419E">
      <w:pPr>
        <w:rPr>
          <w:rFonts w:ascii="Times New Roman" w:hAnsi="Times New Roman" w:cs="Times New Roman"/>
          <w:sz w:val="24"/>
          <w:szCs w:val="24"/>
        </w:rPr>
      </w:pPr>
      <w:r w:rsidRPr="00BB1B80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D82DBD">
        <w:rPr>
          <w:rFonts w:ascii="Times New Roman" w:hAnsi="Times New Roman" w:cs="Times New Roman"/>
          <w:sz w:val="24"/>
          <w:szCs w:val="24"/>
        </w:rPr>
        <w:t>c</w:t>
      </w:r>
      <w:r w:rsidRPr="00BB1B80">
        <w:rPr>
          <w:rFonts w:ascii="Times New Roman" w:hAnsi="Times New Roman" w:cs="Times New Roman"/>
          <w:sz w:val="24"/>
          <w:szCs w:val="24"/>
        </w:rPr>
        <w:t>hi-square test.</w:t>
      </w:r>
    </w:p>
    <w:p w14:paraId="57DC843A" w14:textId="77777777" w:rsidR="00E7419E" w:rsidRPr="00BB1B80" w:rsidRDefault="00E7419E" w:rsidP="00E7419E">
      <w:pPr>
        <w:rPr>
          <w:rFonts w:ascii="Times New Roman" w:hAnsi="Times New Roman" w:cs="Times New Roman"/>
          <w:sz w:val="24"/>
          <w:szCs w:val="24"/>
        </w:rPr>
      </w:pPr>
      <w:r w:rsidRPr="00BB1B80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BB1B80">
        <w:rPr>
          <w:rFonts w:ascii="Times New Roman" w:hAnsi="Times New Roman" w:cs="Times New Roman"/>
          <w:sz w:val="24"/>
          <w:szCs w:val="24"/>
        </w:rPr>
        <w:t>Mann-Whitney test.</w:t>
      </w:r>
    </w:p>
    <w:p w14:paraId="59C084AC" w14:textId="77777777" w:rsidR="00907961" w:rsidRPr="00E7419E" w:rsidRDefault="000E5EB5" w:rsidP="00F37169">
      <w:pPr>
        <w:spacing w:line="192" w:lineRule="auto"/>
      </w:pPr>
    </w:p>
    <w:sectPr w:rsidR="00907961" w:rsidRPr="00E741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B74C4" w14:textId="77777777" w:rsidR="000E5EB5" w:rsidRDefault="000E5EB5" w:rsidP="00F37169">
      <w:pPr>
        <w:spacing w:after="0"/>
      </w:pPr>
      <w:r>
        <w:separator/>
      </w:r>
    </w:p>
  </w:endnote>
  <w:endnote w:type="continuationSeparator" w:id="0">
    <w:p w14:paraId="06B1E14F" w14:textId="77777777" w:rsidR="000E5EB5" w:rsidRDefault="000E5EB5" w:rsidP="00F3716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4C12B" w14:textId="77777777" w:rsidR="000E5EB5" w:rsidRDefault="000E5EB5" w:rsidP="00F37169">
      <w:pPr>
        <w:spacing w:after="0"/>
      </w:pPr>
      <w:r>
        <w:separator/>
      </w:r>
    </w:p>
  </w:footnote>
  <w:footnote w:type="continuationSeparator" w:id="0">
    <w:p w14:paraId="016C1A31" w14:textId="77777777" w:rsidR="000E5EB5" w:rsidRDefault="000E5EB5" w:rsidP="00F371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19E"/>
    <w:rsid w:val="00032333"/>
    <w:rsid w:val="000E5EB5"/>
    <w:rsid w:val="001050E1"/>
    <w:rsid w:val="001B7627"/>
    <w:rsid w:val="00253C27"/>
    <w:rsid w:val="00301B59"/>
    <w:rsid w:val="003A5B0A"/>
    <w:rsid w:val="00444672"/>
    <w:rsid w:val="00517A67"/>
    <w:rsid w:val="005C2C19"/>
    <w:rsid w:val="00747420"/>
    <w:rsid w:val="00775A46"/>
    <w:rsid w:val="007E5D50"/>
    <w:rsid w:val="00833EFD"/>
    <w:rsid w:val="00881A8B"/>
    <w:rsid w:val="009A4533"/>
    <w:rsid w:val="009F1496"/>
    <w:rsid w:val="00A311B5"/>
    <w:rsid w:val="00D041E5"/>
    <w:rsid w:val="00D82DBD"/>
    <w:rsid w:val="00D915FE"/>
    <w:rsid w:val="00E7419E"/>
    <w:rsid w:val="00EC644B"/>
    <w:rsid w:val="00F3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3FCA42"/>
  <w15:chartTrackingRefBased/>
  <w15:docId w15:val="{440C7BDC-DC15-4646-AE7C-918A86142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kern w:val="2"/>
        <w:sz w:val="24"/>
        <w:szCs w:val="22"/>
        <w:lang w:val="en-US" w:eastAsia="zh-CN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19E"/>
    <w:pPr>
      <w:spacing w:line="240" w:lineRule="auto"/>
    </w:pPr>
    <w:rPr>
      <w:rFonts w:asciiTheme="minorHAnsi" w:eastAsiaTheme="minorEastAsia" w:hAnsiTheme="minorHAnsi" w:cstheme="minorBidi"/>
      <w:sz w:val="2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1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360" w:lineRule="auto"/>
      <w:jc w:val="center"/>
    </w:pPr>
    <w:rPr>
      <w:rFonts w:ascii="Times New Roman" w:eastAsia="宋体" w:hAnsi="Times New Roman" w:cs="Times New Roman"/>
      <w:sz w:val="18"/>
      <w:szCs w:val="1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F3716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37169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ascii="Times New Roman" w:eastAsia="宋体" w:hAnsi="Times New Roman" w:cs="Times New Roman"/>
      <w:sz w:val="18"/>
      <w:szCs w:val="18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371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William</dc:creator>
  <cp:keywords/>
  <dc:description/>
  <cp:lastModifiedBy>Gary William</cp:lastModifiedBy>
  <cp:revision>4</cp:revision>
  <dcterms:created xsi:type="dcterms:W3CDTF">2020-04-15T11:49:00Z</dcterms:created>
  <dcterms:modified xsi:type="dcterms:W3CDTF">2020-04-23T13:08:00Z</dcterms:modified>
</cp:coreProperties>
</file>