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704" w:rsidRPr="007F7CBA" w:rsidRDefault="00381704" w:rsidP="00381704">
      <w:pPr>
        <w:spacing w:line="480" w:lineRule="auto"/>
        <w:rPr>
          <w:rFonts w:asciiTheme="majorBidi" w:hAnsiTheme="majorBidi" w:cstheme="majorBidi"/>
          <w:b/>
          <w:bCs/>
          <w:kern w:val="36"/>
          <w:szCs w:val="24"/>
        </w:rPr>
      </w:pPr>
      <w:r w:rsidRPr="007F7CBA">
        <w:rPr>
          <w:rFonts w:asciiTheme="majorBidi" w:hAnsiTheme="majorBidi" w:cstheme="majorBidi"/>
          <w:b/>
          <w:bCs/>
          <w:kern w:val="36"/>
          <w:szCs w:val="24"/>
        </w:rPr>
        <w:t>References</w:t>
      </w:r>
    </w:p>
    <w:p w:rsidR="00381704" w:rsidRPr="00CA6451" w:rsidRDefault="00381704" w:rsidP="00381704">
      <w:pPr>
        <w:pStyle w:val="EndNoteBibliography"/>
        <w:ind w:left="720" w:hanging="720"/>
      </w:pPr>
      <w:r w:rsidRPr="007F7CBA">
        <w:rPr>
          <w:rFonts w:asciiTheme="majorBidi" w:hAnsiTheme="majorBidi" w:cstheme="majorBidi"/>
          <w:kern w:val="36"/>
          <w:szCs w:val="24"/>
        </w:rPr>
        <w:fldChar w:fldCharType="begin"/>
      </w:r>
      <w:r w:rsidRPr="007F7CBA">
        <w:rPr>
          <w:rFonts w:asciiTheme="majorBidi" w:hAnsiTheme="majorBidi" w:cstheme="majorBidi"/>
          <w:kern w:val="36"/>
          <w:szCs w:val="24"/>
        </w:rPr>
        <w:instrText xml:space="preserve"> ADDIN EN.REFLIST </w:instrText>
      </w:r>
      <w:r w:rsidRPr="007F7CBA">
        <w:rPr>
          <w:rFonts w:asciiTheme="majorBidi" w:hAnsiTheme="majorBidi" w:cstheme="majorBidi"/>
          <w:kern w:val="36"/>
          <w:szCs w:val="24"/>
        </w:rPr>
        <w:fldChar w:fldCharType="separate"/>
      </w:r>
      <w:r w:rsidRPr="00CA6451">
        <w:t>1</w:t>
      </w:r>
      <w:r w:rsidRPr="00CA6451">
        <w:tab/>
        <w:t>Li, L.</w:t>
      </w:r>
      <w:r w:rsidRPr="00CA6451">
        <w:rPr>
          <w:i/>
        </w:rPr>
        <w:t xml:space="preserve"> et al.</w:t>
      </w:r>
      <w:r w:rsidRPr="00CA6451">
        <w:t xml:space="preserve"> Is hyperuricemia an independent risk factor for new-onset chronic kidney disease?: A systematic review and meta-analysis based on observational cohort studies. </w:t>
      </w:r>
      <w:r w:rsidRPr="00CA6451">
        <w:rPr>
          <w:i/>
        </w:rPr>
        <w:t>BMC Nephrol</w:t>
      </w:r>
      <w:r w:rsidRPr="00CA6451">
        <w:t xml:space="preserve"> </w:t>
      </w:r>
      <w:r w:rsidRPr="00CA6451">
        <w:rPr>
          <w:b/>
        </w:rPr>
        <w:t>15</w:t>
      </w:r>
      <w:r w:rsidRPr="00CA6451">
        <w:t>, 122, doi:10.1186/1471-2369-15-122 (2014).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</w:t>
      </w:r>
      <w:r w:rsidRPr="00CA6451">
        <w:tab/>
        <w:t xml:space="preserve">Lapi, F., Azoulay, L., Yin, H., Nessim, S. J. &amp; Suissa, S. Concurrent use of diuretics, angiotensin converting enzyme inhibitors, and angiotensin receptor blockers with non-steroidal anti-inflammatory drugs and risk of acute kidney injury: nested case-control study. </w:t>
      </w:r>
      <w:r w:rsidRPr="00CA6451">
        <w:rPr>
          <w:i/>
        </w:rPr>
        <w:t>Bmj</w:t>
      </w:r>
      <w:r w:rsidRPr="00CA6451">
        <w:t xml:space="preserve"> </w:t>
      </w:r>
      <w:r w:rsidRPr="00CA6451">
        <w:rPr>
          <w:b/>
        </w:rPr>
        <w:t>346</w:t>
      </w:r>
      <w:r w:rsidRPr="00CA6451">
        <w:t>, e8525, doi:10.1136/bmj.e8525 (2013).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3</w:t>
      </w:r>
      <w:r w:rsidRPr="00CA6451">
        <w:tab/>
        <w:t xml:space="preserve">Choi, H. K., Atkinson, K., Karlson, E. W., Willett, W. &amp; Curhan, G. Purine-rich foods, dairy and protein intake, and the risk of gout in men. </w:t>
      </w:r>
      <w:r w:rsidRPr="00CA6451">
        <w:rPr>
          <w:i/>
        </w:rPr>
        <w:t>N Engl J Med</w:t>
      </w:r>
      <w:r w:rsidRPr="00CA6451">
        <w:t xml:space="preserve"> </w:t>
      </w:r>
      <w:r w:rsidRPr="00CA6451">
        <w:rPr>
          <w:b/>
        </w:rPr>
        <w:t>350</w:t>
      </w:r>
      <w:r w:rsidRPr="00CA6451">
        <w:t>, 1093-1103, doi:10.1056/NEJMoa035700 (2004).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4</w:t>
      </w:r>
      <w:r w:rsidRPr="00CA6451">
        <w:tab/>
        <w:t xml:space="preserve">Zhu, J. N., Qi, X. Y., Tan, Y. &amp; Lyu, X. H. [Dietary Factors Associated with Hyperuricemia and Glycolipid Metabolism Disorder in Middle-aged and Elderly People]. </w:t>
      </w:r>
      <w:r w:rsidRPr="00CA6451">
        <w:rPr>
          <w:i/>
        </w:rPr>
        <w:t>Sichuan Da Xue Xue Bao Yi Xue Ban</w:t>
      </w:r>
      <w:r w:rsidRPr="00CA6451">
        <w:t xml:space="preserve"> </w:t>
      </w:r>
      <w:r w:rsidRPr="00CA6451">
        <w:rPr>
          <w:b/>
        </w:rPr>
        <w:t>47</w:t>
      </w:r>
      <w:r w:rsidRPr="00CA6451">
        <w:t>, 68-72 (2016).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5</w:t>
      </w:r>
      <w:r w:rsidRPr="00CA6451">
        <w:tab/>
        <w:t xml:space="preserve">Weaver, A. L. Epidemiology of gout. </w:t>
      </w:r>
      <w:r w:rsidRPr="00CA6451">
        <w:rPr>
          <w:i/>
        </w:rPr>
        <w:t>Cleve Clin J Med</w:t>
      </w:r>
      <w:r w:rsidRPr="00CA6451">
        <w:t xml:space="preserve"> </w:t>
      </w:r>
      <w:r w:rsidRPr="00CA6451">
        <w:rPr>
          <w:b/>
        </w:rPr>
        <w:t>75 Suppl 5</w:t>
      </w:r>
      <w:r w:rsidRPr="00CA6451">
        <w:t>, S9-12, doi:10.3949/ccjm.75.suppl_5.s9 (2008).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6</w:t>
      </w:r>
      <w:r w:rsidRPr="00CA6451">
        <w:tab/>
        <w:t xml:space="preserve">de Oliveira, E. P. &amp; Burini, R. C. High plasma uric acid concentration: causes and consequences. </w:t>
      </w:r>
      <w:r w:rsidRPr="00CA6451">
        <w:rPr>
          <w:i/>
        </w:rPr>
        <w:t>Diabetol Metab Syndr</w:t>
      </w:r>
      <w:r w:rsidRPr="00CA6451">
        <w:t xml:space="preserve"> </w:t>
      </w:r>
      <w:r w:rsidRPr="00CA6451">
        <w:rPr>
          <w:b/>
        </w:rPr>
        <w:t>4</w:t>
      </w:r>
      <w:r w:rsidRPr="00CA6451">
        <w:t>, 12, doi:10.1186/1758-5996-4-12 (2012).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7</w:t>
      </w:r>
      <w:r w:rsidRPr="00CA6451">
        <w:tab/>
        <w:t xml:space="preserve">Rock, K. L., Kataoka, H. &amp; Lai, J. J. Uric acid as a danger signal in gout and its comorbidities. </w:t>
      </w:r>
      <w:r w:rsidRPr="00CA6451">
        <w:rPr>
          <w:i/>
        </w:rPr>
        <w:t>Nat Rev Rheumatol</w:t>
      </w:r>
      <w:r w:rsidRPr="00CA6451">
        <w:t xml:space="preserve"> </w:t>
      </w:r>
      <w:r w:rsidRPr="00CA6451">
        <w:rPr>
          <w:b/>
        </w:rPr>
        <w:t>9</w:t>
      </w:r>
      <w:r w:rsidRPr="00CA6451">
        <w:t>, 13-23, doi:10.1038/nrrheum.2012.143 (2013).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8</w:t>
      </w:r>
      <w:r w:rsidRPr="00CA6451">
        <w:tab/>
        <w:t xml:space="preserve">Maiuolo, J., Oppedisano, F., Gratteri, S., Muscoli, C. &amp; Mollace, V. Regulation of uric acid metabolism and excretion. </w:t>
      </w:r>
      <w:r w:rsidRPr="00CA6451">
        <w:rPr>
          <w:i/>
        </w:rPr>
        <w:t>Int J Cardiol</w:t>
      </w:r>
      <w:r w:rsidRPr="00CA6451">
        <w:t xml:space="preserve"> </w:t>
      </w:r>
      <w:r w:rsidRPr="00CA6451">
        <w:rPr>
          <w:b/>
        </w:rPr>
        <w:t>213</w:t>
      </w:r>
      <w:r w:rsidRPr="00CA6451">
        <w:t>, 8-14, doi:10.1016/j.ijcard.2015.08.109 (2016).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9</w:t>
      </w:r>
      <w:r w:rsidRPr="00CA6451">
        <w:tab/>
        <w:t xml:space="preserve">Bobulescu, I. A. &amp; Moe, O. W. Renal transport of uric acid: evolving concepts and uncertainties. </w:t>
      </w:r>
      <w:r w:rsidRPr="00CA6451">
        <w:rPr>
          <w:i/>
        </w:rPr>
        <w:t>Adv Chronic Kidney Dis</w:t>
      </w:r>
      <w:r w:rsidRPr="00CA6451">
        <w:t xml:space="preserve"> </w:t>
      </w:r>
      <w:r w:rsidRPr="00CA6451">
        <w:rPr>
          <w:b/>
        </w:rPr>
        <w:t>19</w:t>
      </w:r>
      <w:r w:rsidRPr="00CA6451">
        <w:t>, 358-371, doi:10.1053/j.ackd.2012.07.009 (2012).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10</w:t>
      </w:r>
      <w:r w:rsidRPr="00CA6451">
        <w:tab/>
        <w:t xml:space="preserve">Jalal, D. I., Chonchol, M., Chen, W. &amp; Targher, G. Uric acid as a target of therapy in CKD. </w:t>
      </w:r>
      <w:r w:rsidRPr="00CA6451">
        <w:rPr>
          <w:i/>
        </w:rPr>
        <w:t>Am J Kidney Dis</w:t>
      </w:r>
      <w:r w:rsidRPr="00CA6451">
        <w:t xml:space="preserve"> </w:t>
      </w:r>
      <w:r w:rsidRPr="00CA6451">
        <w:rPr>
          <w:b/>
        </w:rPr>
        <w:t>61</w:t>
      </w:r>
      <w:r w:rsidRPr="00CA6451">
        <w:t>, 134-146, doi:10.1053/j.ajkd.2012.07.021 (2013).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11</w:t>
      </w:r>
      <w:r w:rsidRPr="00CA6451">
        <w:tab/>
        <w:t xml:space="preserve">Terkeltaub, R. Update on gout: new therapeutic strategies and options. </w:t>
      </w:r>
      <w:r w:rsidRPr="00CA6451">
        <w:rPr>
          <w:i/>
        </w:rPr>
        <w:t>Nat Rev Rheumatol</w:t>
      </w:r>
      <w:r w:rsidRPr="00CA6451">
        <w:t xml:space="preserve"> </w:t>
      </w:r>
      <w:r w:rsidRPr="00CA6451">
        <w:rPr>
          <w:b/>
        </w:rPr>
        <w:t>6</w:t>
      </w:r>
      <w:r w:rsidRPr="00CA6451">
        <w:t>, 30-38, doi:10.1038/nrrheum.2009.236 (2010).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12</w:t>
      </w:r>
      <w:r w:rsidRPr="00CA6451">
        <w:tab/>
        <w:t xml:space="preserve">Al-Asmari, A. K., Athar, M. T. &amp; Kadasah, S. G. An Updated Phytopharmacological Review on Medicinal Plant of Arab Region: Apium graveolens Linn. </w:t>
      </w:r>
      <w:r w:rsidRPr="00CA6451">
        <w:rPr>
          <w:i/>
        </w:rPr>
        <w:t>Pharmacogn Rev</w:t>
      </w:r>
      <w:r w:rsidRPr="00CA6451">
        <w:t xml:space="preserve"> </w:t>
      </w:r>
      <w:r w:rsidRPr="00CA6451">
        <w:rPr>
          <w:b/>
        </w:rPr>
        <w:t>11</w:t>
      </w:r>
      <w:r w:rsidRPr="00CA6451">
        <w:t>, 13-18, doi:10.4103/phrev.phrev_35_16 (2017).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13</w:t>
      </w:r>
      <w:r w:rsidRPr="00CA6451">
        <w:tab/>
        <w:t>Kooti, W.</w:t>
      </w:r>
      <w:r w:rsidRPr="00CA6451">
        <w:rPr>
          <w:i/>
        </w:rPr>
        <w:t xml:space="preserve"> et al.</w:t>
      </w:r>
      <w:r w:rsidRPr="00CA6451">
        <w:t xml:space="preserve"> The effect of hydro-alcoholic extract of celery on male rats in fertility control and sex ratio of rat offspring.  </w:t>
      </w:r>
      <w:r w:rsidRPr="00CA6451">
        <w:rPr>
          <w:b/>
        </w:rPr>
        <w:t>16</w:t>
      </w:r>
      <w:r w:rsidRPr="00CA6451">
        <w:t>, 43-49 (2014).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14</w:t>
      </w:r>
      <w:r w:rsidRPr="00CA6451">
        <w:tab/>
        <w:t xml:space="preserve">Popovic, M., Kaurinovic, B., Trivic, S., Mimica-Dukic, N. &amp; Bursac, M. Effect of celery (Apium graveolens) extracts on some biochemical parameters of oxidative stress in mice treated with carbon tetrachloride. </w:t>
      </w:r>
      <w:r w:rsidRPr="00CA6451">
        <w:rPr>
          <w:i/>
        </w:rPr>
        <w:t>Phytother Res</w:t>
      </w:r>
      <w:r w:rsidRPr="00CA6451">
        <w:t xml:space="preserve"> </w:t>
      </w:r>
      <w:r w:rsidRPr="00CA6451">
        <w:rPr>
          <w:b/>
        </w:rPr>
        <w:t>20</w:t>
      </w:r>
      <w:r w:rsidRPr="00CA6451">
        <w:t>, 531-537, doi:10.1002/ptr.1871 (2006).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15</w:t>
      </w:r>
      <w:r w:rsidRPr="00CA6451">
        <w:tab/>
        <w:t xml:space="preserve">Lone, Z. A., Lone, Y., Khan, S. S., Wani, A. A. &amp; Reshi, M. I. J. J. o. M. P. R. Hepatoprotective medicinal plants used by the Gond and Bhill tribals of District Raisen Madhya Pradesh, India.  </w:t>
      </w:r>
      <w:r w:rsidRPr="00CA6451">
        <w:rPr>
          <w:b/>
        </w:rPr>
        <w:t>9</w:t>
      </w:r>
      <w:r w:rsidRPr="00CA6451">
        <w:t>, 400-406 (2015).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lastRenderedPageBreak/>
        <w:t>16</w:t>
      </w:r>
      <w:r w:rsidRPr="00CA6451">
        <w:tab/>
        <w:t>Wu, S. Y.</w:t>
      </w:r>
      <w:r w:rsidRPr="00CA6451">
        <w:rPr>
          <w:i/>
        </w:rPr>
        <w:t xml:space="preserve"> et al.</w:t>
      </w:r>
      <w:r w:rsidRPr="00CA6451">
        <w:t xml:space="preserve"> An emerging translational model to screen potential medicinal plants for nephrolithiasis, an independent risk factor for chronic kidney disease. </w:t>
      </w:r>
      <w:r w:rsidRPr="00CA6451">
        <w:rPr>
          <w:i/>
        </w:rPr>
        <w:t>Evid Based Complement Alternat Med</w:t>
      </w:r>
      <w:r w:rsidRPr="00CA6451">
        <w:t xml:space="preserve"> </w:t>
      </w:r>
      <w:r w:rsidRPr="00CA6451">
        <w:rPr>
          <w:b/>
        </w:rPr>
        <w:t>2014</w:t>
      </w:r>
      <w:r w:rsidRPr="00CA6451">
        <w:t>, 972958, doi:10.1155/2014/972958 (2014).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17</w:t>
      </w:r>
      <w:r w:rsidRPr="00CA6451">
        <w:tab/>
        <w:t xml:space="preserve">Kooti, W., Farokhipour, M., Asadzadeh, Z., Ashtary-Larky, D. &amp; Asadi-Samani, M. The role of medicinal plants in the treatment of diabetes: a systematic review. </w:t>
      </w:r>
      <w:r w:rsidRPr="00CA6451">
        <w:rPr>
          <w:i/>
        </w:rPr>
        <w:t>Electron Physician</w:t>
      </w:r>
      <w:r w:rsidRPr="00CA6451">
        <w:t xml:space="preserve"> </w:t>
      </w:r>
      <w:r w:rsidRPr="00CA6451">
        <w:rPr>
          <w:b/>
        </w:rPr>
        <w:t>8</w:t>
      </w:r>
      <w:r w:rsidRPr="00CA6451">
        <w:t>, 1832-1842, doi:10.19082/1832 (2016).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18</w:t>
      </w:r>
      <w:r w:rsidRPr="00CA6451">
        <w:tab/>
        <w:t xml:space="preserve">Asadi-Samani, M., Kooti, W., Aslani, E. &amp; Shirzad, H. A Systematic Review of Iran's Medicinal Plants With Anticancer Effects. </w:t>
      </w:r>
      <w:r w:rsidRPr="00CA6451">
        <w:rPr>
          <w:i/>
        </w:rPr>
        <w:t>J Evid Based Complementary Altern Med</w:t>
      </w:r>
      <w:r w:rsidRPr="00CA6451">
        <w:t xml:space="preserve"> </w:t>
      </w:r>
      <w:r w:rsidRPr="00CA6451">
        <w:rPr>
          <w:b/>
        </w:rPr>
        <w:t>21</w:t>
      </w:r>
      <w:r w:rsidRPr="00CA6451">
        <w:t>, 143-153, doi:10.1177/2156587215600873 (2016).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19</w:t>
      </w:r>
      <w:r w:rsidRPr="00CA6451">
        <w:tab/>
        <w:t xml:space="preserve">Gauri, M., Ali, S. J. &amp; Khan, M. S. J. I. A. I. M. A review of Apium graveolens (Karafs) with special reference to Unani medicine.  </w:t>
      </w:r>
      <w:r w:rsidRPr="00CA6451">
        <w:rPr>
          <w:b/>
        </w:rPr>
        <w:t>2</w:t>
      </w:r>
      <w:r w:rsidRPr="00CA6451">
        <w:t>, 131-136 (2015).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20</w:t>
      </w:r>
      <w:r w:rsidRPr="00CA6451">
        <w:tab/>
        <w:t>Rahmat, A., Ahmad, N. S. S., Ramli, N. S. J. O. P. &amp; Medicine, E. Parsley (Petroselinum crispum) supplementation attenuates serum uric acid level and improves liver and kidney structures in oxonate-induced hyperuricemic rats. 1-9 (2018).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21</w:t>
      </w:r>
      <w:r w:rsidRPr="00CA6451">
        <w:tab/>
        <w:t xml:space="preserve">Marin, I., Sayas-Barbera, E., Viuda-Martos, M., Navarro, C. &amp; Sendra, E. Chemical Composition, Antioxidant and Antimicrobial Activity of Essential Oils from Organic Fennel, Parsley, and Lavender from Spain. </w:t>
      </w:r>
      <w:r w:rsidRPr="00CA6451">
        <w:rPr>
          <w:i/>
        </w:rPr>
        <w:t>Foods</w:t>
      </w:r>
      <w:r w:rsidRPr="00CA6451">
        <w:t xml:space="preserve"> </w:t>
      </w:r>
      <w:r w:rsidRPr="00CA6451">
        <w:rPr>
          <w:b/>
        </w:rPr>
        <w:t>5</w:t>
      </w:r>
      <w:r w:rsidRPr="00CA6451">
        <w:t>, doi:10.3390/foods5010018 (2016).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22</w:t>
      </w:r>
      <w:r w:rsidRPr="00CA6451">
        <w:tab/>
        <w:t xml:space="preserve">Wong, P. Y. &amp; Kitts, D. D. J. F. c. Studies on the dual antioxidant and antibacterial properties of parsley (Petroselinum crispum) and cilantro (Coriandrum sativum) extracts.  </w:t>
      </w:r>
      <w:r w:rsidRPr="00CA6451">
        <w:rPr>
          <w:b/>
        </w:rPr>
        <w:t>97</w:t>
      </w:r>
      <w:r w:rsidRPr="00CA6451">
        <w:t>, 505-515 (2006).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23</w:t>
      </w:r>
      <w:r w:rsidRPr="00CA6451">
        <w:tab/>
        <w:t>Mafuvadze, B.</w:t>
      </w:r>
      <w:r w:rsidRPr="00CA6451">
        <w:rPr>
          <w:i/>
        </w:rPr>
        <w:t xml:space="preserve"> et al.</w:t>
      </w:r>
      <w:r w:rsidRPr="00CA6451">
        <w:t xml:space="preserve"> Apigenin prevents development of medroxyprogesterone acetate-accelerated 7,12-dimethylbenz(a)anthracene-induced mammary tumors in Sprague-Dawley rats. </w:t>
      </w:r>
      <w:r w:rsidRPr="00CA6451">
        <w:rPr>
          <w:i/>
        </w:rPr>
        <w:t>Cancer Prev Res (Phila)</w:t>
      </w:r>
      <w:r w:rsidRPr="00CA6451">
        <w:t xml:space="preserve"> </w:t>
      </w:r>
      <w:r w:rsidRPr="00CA6451">
        <w:rPr>
          <w:b/>
        </w:rPr>
        <w:t>4</w:t>
      </w:r>
      <w:r w:rsidRPr="00CA6451">
        <w:t>, 1316-1324, doi:10.1158/1940-6207.Capr-10-0382 (2011).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24</w:t>
      </w:r>
      <w:r w:rsidRPr="00CA6451">
        <w:tab/>
        <w:t xml:space="preserve">Farzaei, M. H., Abbasabadi, Z., Ardekani, M. R., Rahimi, R. &amp; Farzaei, F. Parsley: a review of ethnopharmacology, phytochemistry and biological activities. </w:t>
      </w:r>
      <w:r w:rsidRPr="00CA6451">
        <w:rPr>
          <w:i/>
        </w:rPr>
        <w:t>J Tradit Chin Med</w:t>
      </w:r>
      <w:r w:rsidRPr="00CA6451">
        <w:t xml:space="preserve"> </w:t>
      </w:r>
      <w:r w:rsidRPr="00CA6451">
        <w:rPr>
          <w:b/>
        </w:rPr>
        <w:t>33</w:t>
      </w:r>
      <w:r w:rsidRPr="00CA6451">
        <w:t>, 815-826, doi:10.1016/s0254-6272(14)60018-2 (2013).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25</w:t>
      </w:r>
      <w:r w:rsidRPr="00CA6451">
        <w:tab/>
        <w:t>Kooti, W.</w:t>
      </w:r>
      <w:r w:rsidRPr="00CA6451">
        <w:rPr>
          <w:i/>
        </w:rPr>
        <w:t xml:space="preserve"> et al.</w:t>
      </w:r>
      <w:r w:rsidRPr="00CA6451">
        <w:t xml:space="preserve"> The effects of hydro-alcoholic extract of celery on lipid profile of rats fed a high fat diet.  </w:t>
      </w:r>
      <w:r w:rsidRPr="00CA6451">
        <w:rPr>
          <w:b/>
        </w:rPr>
        <w:t>8</w:t>
      </w:r>
      <w:r w:rsidRPr="00CA6451">
        <w:t>, 325-330 (2014).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26</w:t>
      </w:r>
      <w:r w:rsidRPr="00CA6451">
        <w:tab/>
        <w:t xml:space="preserve">Sowbhagya, H., Srinivas, P. &amp; Krishnamurthy, N. J. F. c. Effect of enzymes on extraction of volatiles from celery seeds.  </w:t>
      </w:r>
      <w:r w:rsidRPr="00CA6451">
        <w:rPr>
          <w:b/>
        </w:rPr>
        <w:t>120</w:t>
      </w:r>
      <w:r w:rsidRPr="00CA6451">
        <w:t>, 230-234 (2010).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27</w:t>
      </w:r>
      <w:r w:rsidRPr="00CA6451">
        <w:tab/>
        <w:t xml:space="preserve">Kooti, W., Mansouri, E., Ghasemiboroon, M., Harizi, M. &amp; Amirzargar, A. Protective effects of celery (Apium Graveolens) on testis and cauda epididymal spermatozoa in rat. </w:t>
      </w:r>
      <w:r w:rsidRPr="00CA6451">
        <w:rPr>
          <w:i/>
        </w:rPr>
        <w:t>Iran J Reprod Med</w:t>
      </w:r>
      <w:r w:rsidRPr="00CA6451">
        <w:t xml:space="preserve"> </w:t>
      </w:r>
      <w:r w:rsidRPr="00CA6451">
        <w:rPr>
          <w:b/>
        </w:rPr>
        <w:t>12</w:t>
      </w:r>
      <w:r w:rsidRPr="00CA6451">
        <w:t>, 365-366 (2014).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28</w:t>
      </w:r>
      <w:r w:rsidRPr="00CA6451">
        <w:tab/>
        <w:t xml:space="preserve">Marzouni, H. Z., Daraei, N., Sharafi-Ahvazi, N., Kalani, N. &amp; Kooti, W. J. W. J. P. P. S. The effects of aqueous extract of celery leaves (Apium graveolens) on fertility in female rats.  </w:t>
      </w:r>
      <w:r w:rsidRPr="00CA6451">
        <w:rPr>
          <w:b/>
        </w:rPr>
        <w:t>5</w:t>
      </w:r>
      <w:r w:rsidRPr="00CA6451">
        <w:t>, 1710-1714 (2016).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29</w:t>
      </w:r>
      <w:r w:rsidRPr="00CA6451">
        <w:tab/>
        <w:t>Mencherini, T.</w:t>
      </w:r>
      <w:r w:rsidRPr="00CA6451">
        <w:rPr>
          <w:i/>
        </w:rPr>
        <w:t xml:space="preserve"> et al.</w:t>
      </w:r>
      <w:r w:rsidRPr="00CA6451">
        <w:t xml:space="preserve"> An extract of Apium graveolens var. dulce leaves: structure of the major constituent, apiin, and its anti-inflammatory properties. </w:t>
      </w:r>
      <w:r w:rsidRPr="00CA6451">
        <w:rPr>
          <w:i/>
        </w:rPr>
        <w:t>The Journal of pharmacy and pharmacology</w:t>
      </w:r>
      <w:r w:rsidRPr="00CA6451">
        <w:t xml:space="preserve"> </w:t>
      </w:r>
      <w:r w:rsidRPr="00CA6451">
        <w:rPr>
          <w:b/>
        </w:rPr>
        <w:t>59</w:t>
      </w:r>
      <w:r w:rsidRPr="00CA6451">
        <w:t>, 891-897, doi:10.1211/jpp.59.6.0016 (2007).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30</w:t>
      </w:r>
      <w:r w:rsidRPr="00CA6451">
        <w:tab/>
        <w:t>Dolati, K.</w:t>
      </w:r>
      <w:r w:rsidRPr="00CA6451">
        <w:rPr>
          <w:i/>
        </w:rPr>
        <w:t xml:space="preserve"> et al.</w:t>
      </w:r>
      <w:r w:rsidRPr="00CA6451">
        <w:t xml:space="preserve"> Inhibitory Effects of Apium graveolens on Xanthine Oxidase Activity and Serum Uric Acid Levels in Hyperuricemic Mice. </w:t>
      </w:r>
      <w:r w:rsidRPr="00CA6451">
        <w:rPr>
          <w:i/>
        </w:rPr>
        <w:t>Preventive nutrition and food science</w:t>
      </w:r>
      <w:r w:rsidRPr="00CA6451">
        <w:t xml:space="preserve"> </w:t>
      </w:r>
      <w:r w:rsidRPr="00CA6451">
        <w:rPr>
          <w:b/>
        </w:rPr>
        <w:t>23</w:t>
      </w:r>
      <w:r w:rsidRPr="00CA6451">
        <w:t>, 127-133, doi:10.3746/pnf.2018.23.2.127 (2018).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lastRenderedPageBreak/>
        <w:t>31</w:t>
      </w:r>
      <w:r w:rsidRPr="00CA6451">
        <w:tab/>
        <w:t xml:space="preserve">Haidari, F., Keshavarz, S. A., Mohammad Shahi, M., Mahboob, S. A. &amp; Rashidi, M. R. Effects of Parsley (Petroselinum crispum) and its Flavonol Constituents, Kaempferol and Quercetin, on Serum Uric Acid Levels, Biomarkers of Oxidative Stress and Liver Xanthine Oxidoreductase Aactivity inOxonate-Induced Hyperuricemic Rats. </w:t>
      </w:r>
      <w:r w:rsidRPr="00CA6451">
        <w:rPr>
          <w:i/>
        </w:rPr>
        <w:t>Iranian journal of pharmaceutical research : IJPR</w:t>
      </w:r>
      <w:r w:rsidRPr="00CA6451">
        <w:t xml:space="preserve"> </w:t>
      </w:r>
      <w:r w:rsidRPr="00CA6451">
        <w:rPr>
          <w:b/>
        </w:rPr>
        <w:t>10</w:t>
      </w:r>
      <w:r w:rsidRPr="00CA6451">
        <w:t>, 811-819 (2011).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32</w:t>
      </w:r>
      <w:r w:rsidRPr="00CA6451">
        <w:tab/>
        <w:t xml:space="preserve">Billiet, L., Doaty, S., Katz, J. D. &amp; Velasquez, M. T. Review of hyperuricemia as new marker for metabolic syndrome. </w:t>
      </w:r>
      <w:r w:rsidRPr="00CA6451">
        <w:rPr>
          <w:i/>
        </w:rPr>
        <w:t>ISRN Rheumatol</w:t>
      </w:r>
      <w:r w:rsidRPr="00CA6451">
        <w:t xml:space="preserve"> </w:t>
      </w:r>
      <w:r w:rsidRPr="00CA6451">
        <w:rPr>
          <w:b/>
        </w:rPr>
        <w:t>2014</w:t>
      </w:r>
      <w:r w:rsidRPr="00CA6451">
        <w:t>, 852954, doi:10.1155/2014/852954 (2014).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33</w:t>
      </w:r>
      <w:r w:rsidRPr="00CA6451">
        <w:tab/>
        <w:t xml:space="preserve">Saad, D. Y., Soliman, M. M., Baiomy, A. A., Yassin, M. H. &amp; El-Sawy, H. B. Effects of Karela (Bitter Melon; Momordica charantia) on genes of lipids and carbohydrates metabolism in experimental hypercholesterolemia: biochemical, molecular and histopathological study. </w:t>
      </w:r>
      <w:r w:rsidRPr="00CA6451">
        <w:rPr>
          <w:i/>
        </w:rPr>
        <w:t>BMC Complement Altern Med</w:t>
      </w:r>
      <w:r w:rsidRPr="00CA6451">
        <w:t xml:space="preserve"> </w:t>
      </w:r>
      <w:r w:rsidRPr="00CA6451">
        <w:rPr>
          <w:b/>
        </w:rPr>
        <w:t>17</w:t>
      </w:r>
      <w:r w:rsidRPr="00CA6451">
        <w:t>, 319, doi:10.1186/s12906-017-1833-x (2017).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34</w:t>
      </w:r>
      <w:r w:rsidRPr="00CA6451">
        <w:tab/>
        <w:t xml:space="preserve">Balakumar, P., Sharma, R., Kalia, A. &amp; Singh, M. J. C. H. R. Hyperuricemia: is it a risk factor for vascular endothelial dysfunction and associated cardiovascular disorders?  </w:t>
      </w:r>
      <w:r w:rsidRPr="00CA6451">
        <w:rPr>
          <w:b/>
        </w:rPr>
        <w:t>5</w:t>
      </w:r>
      <w:r w:rsidRPr="00CA6451">
        <w:t>, 1-6 (2009).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35</w:t>
      </w:r>
      <w:r w:rsidRPr="00CA6451">
        <w:tab/>
        <w:t>Kanellis, J.</w:t>
      </w:r>
      <w:r w:rsidRPr="00CA6451">
        <w:rPr>
          <w:i/>
        </w:rPr>
        <w:t xml:space="preserve"> et al.</w:t>
      </w:r>
      <w:r w:rsidRPr="00CA6451">
        <w:t xml:space="preserve"> Uric acid stimulates monocyte chemoattractant protein-1 production in vascular smooth muscle cells via mitogen-activated protein kinase and cyclooxygenase-2.  </w:t>
      </w:r>
      <w:r w:rsidRPr="00CA6451">
        <w:rPr>
          <w:b/>
        </w:rPr>
        <w:t>41</w:t>
      </w:r>
      <w:r w:rsidRPr="00CA6451">
        <w:t>, 1287-1293 (2003).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36</w:t>
      </w:r>
      <w:r w:rsidRPr="00CA6451">
        <w:tab/>
        <w:t xml:space="preserve">Kolarovic, J., Popovic, M., Zlinska, J., Trivic, S. &amp; Vojnovic, M. Antioxidant activities of celery and parsley juices in rats treated with doxorubicin. </w:t>
      </w:r>
      <w:r w:rsidRPr="00CA6451">
        <w:rPr>
          <w:i/>
        </w:rPr>
        <w:t>Molecules</w:t>
      </w:r>
      <w:r w:rsidRPr="00CA6451">
        <w:t xml:space="preserve"> </w:t>
      </w:r>
      <w:r w:rsidRPr="00CA6451">
        <w:rPr>
          <w:b/>
        </w:rPr>
        <w:t>15</w:t>
      </w:r>
      <w:r w:rsidRPr="00CA6451">
        <w:t>, 6193-6204, doi:10.3390/molecules15096193 (2010).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37</w:t>
      </w:r>
      <w:r w:rsidRPr="00CA6451">
        <w:tab/>
        <w:t xml:space="preserve">Nickavar, B., Kamalinejad, M. &amp; Izadpanah, H. In vitro free radical scavenging activity of five Salvia species. </w:t>
      </w:r>
      <w:r w:rsidRPr="00CA6451">
        <w:rPr>
          <w:i/>
        </w:rPr>
        <w:t>Pak J Pharm Sci</w:t>
      </w:r>
      <w:r w:rsidRPr="00CA6451">
        <w:t xml:space="preserve"> </w:t>
      </w:r>
      <w:r w:rsidRPr="00CA6451">
        <w:rPr>
          <w:b/>
        </w:rPr>
        <w:t>20</w:t>
      </w:r>
      <w:r w:rsidRPr="00CA6451">
        <w:t>, 291-294 (2007).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38</w:t>
      </w:r>
      <w:r w:rsidRPr="00CA6451">
        <w:tab/>
        <w:t xml:space="preserve">Yao, Y., Sang, W., Zhou, M. &amp; Ren, G. Phenolic composition and antioxidant activities of 11 celery cultivars. </w:t>
      </w:r>
      <w:r w:rsidRPr="00CA6451">
        <w:rPr>
          <w:i/>
        </w:rPr>
        <w:t>J Food Sci</w:t>
      </w:r>
      <w:r w:rsidRPr="00CA6451">
        <w:t xml:space="preserve"> </w:t>
      </w:r>
      <w:r w:rsidRPr="00CA6451">
        <w:rPr>
          <w:b/>
        </w:rPr>
        <w:t>75</w:t>
      </w:r>
      <w:r w:rsidRPr="00CA6451">
        <w:t>, C9-13, doi:10.1111/j.1750-3841.2009.01392.x (2010).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39</w:t>
      </w:r>
      <w:r w:rsidRPr="00CA6451">
        <w:tab/>
        <w:t>Nguyen, M. T.</w:t>
      </w:r>
      <w:r w:rsidRPr="00CA6451">
        <w:rPr>
          <w:i/>
        </w:rPr>
        <w:t xml:space="preserve"> et al.</w:t>
      </w:r>
      <w:r w:rsidRPr="00CA6451">
        <w:t xml:space="preserve"> Xanthine oxidase inhibitory activity of Vietnamese medicinal plants. </w:t>
      </w:r>
      <w:r w:rsidRPr="00CA6451">
        <w:rPr>
          <w:i/>
        </w:rPr>
        <w:t>Biol Pharm Bull</w:t>
      </w:r>
      <w:r w:rsidRPr="00CA6451">
        <w:t xml:space="preserve"> </w:t>
      </w:r>
      <w:r w:rsidRPr="00CA6451">
        <w:rPr>
          <w:b/>
        </w:rPr>
        <w:t>27</w:t>
      </w:r>
      <w:r w:rsidRPr="00CA6451">
        <w:t>, 1414-1421, doi:10.1248/bpb.27.1414 (2004).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40</w:t>
      </w:r>
      <w:r w:rsidRPr="00CA6451">
        <w:tab/>
        <w:t xml:space="preserve">Zummah, A. &amp; Martha, R. D. J. M. O. T. Antihyperurisemic Activity of Aqueous Celery Infusion by Xanthine Oxidase Enzyme Inhibition.  </w:t>
      </w:r>
      <w:r w:rsidRPr="00CA6451">
        <w:rPr>
          <w:b/>
        </w:rPr>
        <w:t>23</w:t>
      </w:r>
      <w:r w:rsidRPr="00CA6451">
        <w:t>, 131-136.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41</w:t>
      </w:r>
      <w:r w:rsidRPr="00CA6451">
        <w:tab/>
        <w:t xml:space="preserve">Zhang, J., Lv, G. &amp; Zhao, Y. The significance of serum xanthine oxidase and oxidation markers in acute paraquat poisoning in humans. </w:t>
      </w:r>
      <w:r w:rsidRPr="00CA6451">
        <w:rPr>
          <w:i/>
        </w:rPr>
        <w:t>Clin Biochem</w:t>
      </w:r>
      <w:r w:rsidRPr="00CA6451">
        <w:t xml:space="preserve"> </w:t>
      </w:r>
      <w:r w:rsidRPr="00CA6451">
        <w:rPr>
          <w:b/>
        </w:rPr>
        <w:t>44</w:t>
      </w:r>
      <w:r w:rsidRPr="00CA6451">
        <w:t>, 221-225, doi:10.1016/j.clinbiochem.2010.09.006 (2011).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42</w:t>
      </w:r>
      <w:r w:rsidRPr="00CA6451">
        <w:tab/>
        <w:t xml:space="preserve">Ramallo, I. A., Zacchino, S. A., Furlan, R. L. J. P. A. A. I. J. o. P. C. &amp; Techniques, B. A rapid TLC autographic method for the detection of xanthine oxidase inhibitors and superoxide scavengers.  </w:t>
      </w:r>
      <w:r w:rsidRPr="00CA6451">
        <w:rPr>
          <w:b/>
        </w:rPr>
        <w:t>17</w:t>
      </w:r>
      <w:r w:rsidRPr="00CA6451">
        <w:t>, 15-19 (2006).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43</w:t>
      </w:r>
      <w:r w:rsidRPr="00CA6451">
        <w:tab/>
        <w:t xml:space="preserve">Oguz, N., Kirca, M., Cetin, A. &amp; Yesilkaya, A. Effect of uric acid on inflammatory COX-2 and ROS pathways in vascular smooth muscle cells. </w:t>
      </w:r>
      <w:r w:rsidRPr="00CA6451">
        <w:rPr>
          <w:i/>
        </w:rPr>
        <w:t>J Recept Signal Transduct Res</w:t>
      </w:r>
      <w:r w:rsidRPr="00CA6451">
        <w:t xml:space="preserve"> </w:t>
      </w:r>
      <w:r w:rsidRPr="00CA6451">
        <w:rPr>
          <w:b/>
        </w:rPr>
        <w:t>37</w:t>
      </w:r>
      <w:r w:rsidRPr="00CA6451">
        <w:t>, 500-505, doi:10.1080/10799893.2017.1360350 (2017).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44</w:t>
      </w:r>
      <w:r w:rsidRPr="00CA6451">
        <w:tab/>
        <w:t xml:space="preserve">Sabina, E. P. &amp; Rasool, M. An in vivo and in vitro potential of Indian ayurvedic herbal formulation Triphala on experimental gouty arthritis in mice. </w:t>
      </w:r>
      <w:r w:rsidRPr="00CA6451">
        <w:rPr>
          <w:i/>
        </w:rPr>
        <w:t>Vascul Pharmacol</w:t>
      </w:r>
      <w:r w:rsidRPr="00CA6451">
        <w:t xml:space="preserve"> </w:t>
      </w:r>
      <w:r w:rsidRPr="00CA6451">
        <w:rPr>
          <w:b/>
        </w:rPr>
        <w:t>48</w:t>
      </w:r>
      <w:r w:rsidRPr="00CA6451">
        <w:t>, 14-20, doi:10.1016/j.vph.2007.11.001 (2008).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lastRenderedPageBreak/>
        <w:t>45</w:t>
      </w:r>
      <w:r w:rsidRPr="00CA6451">
        <w:tab/>
        <w:t>Jeong, J. H.</w:t>
      </w:r>
      <w:r w:rsidRPr="00CA6451">
        <w:rPr>
          <w:i/>
        </w:rPr>
        <w:t xml:space="preserve"> et al.</w:t>
      </w:r>
      <w:r w:rsidRPr="00CA6451">
        <w:t xml:space="preserve"> CD14(+) Cells with the Phenotype of Infiltrated Monocytes Consist of Distinct Populations Characterized by Anti-inflammatory as well as Pro-inflammatory Activity in Gouty Arthritis. </w:t>
      </w:r>
      <w:r w:rsidRPr="00CA6451">
        <w:rPr>
          <w:i/>
        </w:rPr>
        <w:t>Front Immunol</w:t>
      </w:r>
      <w:r w:rsidRPr="00CA6451">
        <w:t xml:space="preserve"> </w:t>
      </w:r>
      <w:r w:rsidRPr="00CA6451">
        <w:rPr>
          <w:b/>
        </w:rPr>
        <w:t>8</w:t>
      </w:r>
      <w:r w:rsidRPr="00CA6451">
        <w:t>, 1260, doi:10.3389/fimmu.2017.01260 (2017).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46</w:t>
      </w:r>
      <w:r w:rsidRPr="00CA6451">
        <w:tab/>
        <w:t>Li, S.</w:t>
      </w:r>
      <w:r w:rsidRPr="00CA6451">
        <w:rPr>
          <w:i/>
        </w:rPr>
        <w:t xml:space="preserve"> et al.</w:t>
      </w:r>
      <w:r w:rsidRPr="00CA6451">
        <w:t xml:space="preserve"> Antigouty arthritis and antihyperuricemia properties of celery seed extracts in rodent models. </w:t>
      </w:r>
      <w:r w:rsidRPr="00CA6451">
        <w:rPr>
          <w:i/>
        </w:rPr>
        <w:t>Molecular medicine reports</w:t>
      </w:r>
      <w:r w:rsidRPr="00CA6451">
        <w:t xml:space="preserve"> </w:t>
      </w:r>
      <w:r w:rsidRPr="00CA6451">
        <w:rPr>
          <w:b/>
        </w:rPr>
        <w:t>20</w:t>
      </w:r>
      <w:r w:rsidRPr="00CA6451">
        <w:t>, 4623-4633, doi:10.3892/mmr.2019.10708 (2019).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47</w:t>
      </w:r>
      <w:r w:rsidRPr="00CA6451">
        <w:tab/>
        <w:t>Zeng, M.</w:t>
      </w:r>
      <w:r w:rsidRPr="00CA6451">
        <w:rPr>
          <w:i/>
        </w:rPr>
        <w:t xml:space="preserve"> et al.</w:t>
      </w:r>
      <w:r w:rsidRPr="00CA6451">
        <w:t xml:space="preserve"> IL-37 inhibits the production of pro-inflammatory cytokines in MSU crystal-induced inflammatory response. </w:t>
      </w:r>
      <w:r w:rsidRPr="00CA6451">
        <w:rPr>
          <w:i/>
        </w:rPr>
        <w:t>Clin Rheumatol</w:t>
      </w:r>
      <w:r w:rsidRPr="00CA6451">
        <w:t xml:space="preserve"> </w:t>
      </w:r>
      <w:r w:rsidRPr="00CA6451">
        <w:rPr>
          <w:b/>
        </w:rPr>
        <w:t>35</w:t>
      </w:r>
      <w:r w:rsidRPr="00CA6451">
        <w:t>, 2251-2258, doi:10.1007/s10067-015-3109-5 (2016).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48</w:t>
      </w:r>
      <w:r w:rsidRPr="00CA6451">
        <w:tab/>
        <w:t xml:space="preserve">Kooti, W., Daraei, N. J. J. o. e.-b. c. &amp; medicine, a. A review of the antioxidant activity of celery (Apium graveolens L).  </w:t>
      </w:r>
      <w:r w:rsidRPr="00CA6451">
        <w:rPr>
          <w:b/>
        </w:rPr>
        <w:t>22</w:t>
      </w:r>
      <w:r w:rsidRPr="00CA6451">
        <w:t>, 1029-1034 (2017).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49</w:t>
      </w:r>
      <w:r w:rsidRPr="00CA6451">
        <w:tab/>
        <w:t xml:space="preserve">Lin, C. M., Chen, C. S., Chen, C. T., Liang, Y. C. &amp; Lin, J. K. Molecular modeling of flavonoids that inhibits xanthine oxidase. </w:t>
      </w:r>
      <w:r w:rsidRPr="00CA6451">
        <w:rPr>
          <w:i/>
        </w:rPr>
        <w:t>Biochem Biophys Res Commun</w:t>
      </w:r>
      <w:r w:rsidRPr="00CA6451">
        <w:t xml:space="preserve"> </w:t>
      </w:r>
      <w:r w:rsidRPr="00CA6451">
        <w:rPr>
          <w:b/>
        </w:rPr>
        <w:t>294</w:t>
      </w:r>
      <w:r w:rsidRPr="00CA6451">
        <w:t>, 167-172, doi:10.1016/s0006-291x(02)00442-4 (2002).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50</w:t>
      </w:r>
      <w:r w:rsidRPr="00CA6451">
        <w:tab/>
        <w:t>Li, S.</w:t>
      </w:r>
      <w:r w:rsidRPr="00CA6451">
        <w:rPr>
          <w:i/>
        </w:rPr>
        <w:t xml:space="preserve"> et al.</w:t>
      </w:r>
      <w:r w:rsidRPr="00CA6451">
        <w:t xml:space="preserve"> Antigouty arthritis and antihyperuricemia properties of celery seed extracts in rodent models. </w:t>
      </w:r>
      <w:r w:rsidRPr="00CA6451">
        <w:rPr>
          <w:i/>
        </w:rPr>
        <w:t>Mol Med Rep</w:t>
      </w:r>
      <w:r w:rsidRPr="00CA6451">
        <w:t>, doi:10.3892/mmr.2019.10708 (2019).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51</w:t>
      </w:r>
      <w:r w:rsidRPr="00CA6451">
        <w:tab/>
        <w:t>Enomoto, A.</w:t>
      </w:r>
      <w:r w:rsidRPr="00CA6451">
        <w:rPr>
          <w:i/>
        </w:rPr>
        <w:t xml:space="preserve"> et al.</w:t>
      </w:r>
      <w:r w:rsidRPr="00CA6451">
        <w:t xml:space="preserve"> Molecular identification of a renal urate anion exchanger that regulates blood urate levels. </w:t>
      </w:r>
      <w:r w:rsidRPr="00CA6451">
        <w:rPr>
          <w:i/>
        </w:rPr>
        <w:t>Nature</w:t>
      </w:r>
      <w:r w:rsidRPr="00CA6451">
        <w:t xml:space="preserve"> </w:t>
      </w:r>
      <w:r w:rsidRPr="00CA6451">
        <w:rPr>
          <w:b/>
        </w:rPr>
        <w:t>417</w:t>
      </w:r>
      <w:r w:rsidRPr="00CA6451">
        <w:t>, 447-452, doi:10.1038/nature742 (2002).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52</w:t>
      </w:r>
      <w:r w:rsidRPr="00CA6451">
        <w:tab/>
        <w:t>Vitart, V.</w:t>
      </w:r>
      <w:r w:rsidRPr="00CA6451">
        <w:rPr>
          <w:i/>
        </w:rPr>
        <w:t xml:space="preserve"> et al.</w:t>
      </w:r>
      <w:r w:rsidRPr="00CA6451">
        <w:t xml:space="preserve"> SLC2A9 is a newly identified urate transporter influencing serum urate concentration, urate excretion and gout. </w:t>
      </w:r>
      <w:r w:rsidRPr="00CA6451">
        <w:rPr>
          <w:i/>
        </w:rPr>
        <w:t>Nat Genet</w:t>
      </w:r>
      <w:r w:rsidRPr="00CA6451">
        <w:t xml:space="preserve"> </w:t>
      </w:r>
      <w:r w:rsidRPr="00CA6451">
        <w:rPr>
          <w:b/>
        </w:rPr>
        <w:t>40</w:t>
      </w:r>
      <w:r w:rsidRPr="00CA6451">
        <w:t>, 437-442, doi:10.1038/ng.106 (2008).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53</w:t>
      </w:r>
      <w:r w:rsidRPr="00CA6451">
        <w:tab/>
        <w:t>Ichida, K.</w:t>
      </w:r>
      <w:r w:rsidRPr="00CA6451">
        <w:rPr>
          <w:i/>
        </w:rPr>
        <w:t xml:space="preserve"> et al.</w:t>
      </w:r>
      <w:r w:rsidRPr="00CA6451">
        <w:t xml:space="preserve"> Urate transport via human PAH transporter hOAT1 and its gene structure. </w:t>
      </w:r>
      <w:r w:rsidRPr="00CA6451">
        <w:rPr>
          <w:i/>
        </w:rPr>
        <w:t>Kidney Int</w:t>
      </w:r>
      <w:r w:rsidRPr="00CA6451">
        <w:t xml:space="preserve"> </w:t>
      </w:r>
      <w:r w:rsidRPr="00CA6451">
        <w:rPr>
          <w:b/>
        </w:rPr>
        <w:t>63</w:t>
      </w:r>
      <w:r w:rsidRPr="00CA6451">
        <w:t>, 143-155, doi:10.1046/j.1523-1755.2003.00710.x (2003).</w:t>
      </w:r>
    </w:p>
    <w:p w:rsidR="00381704" w:rsidRPr="00CA6451" w:rsidRDefault="00381704" w:rsidP="00381704">
      <w:pPr>
        <w:pStyle w:val="EndNoteBibliography"/>
        <w:ind w:left="720" w:hanging="720"/>
      </w:pPr>
      <w:r w:rsidRPr="00CA6451">
        <w:t>54</w:t>
      </w:r>
      <w:r w:rsidRPr="00CA6451">
        <w:tab/>
        <w:t xml:space="preserve">So, A. &amp; Thorens, B. Uric acid transport and disease. </w:t>
      </w:r>
      <w:r w:rsidRPr="00CA6451">
        <w:rPr>
          <w:i/>
        </w:rPr>
        <w:t>J Clin Invest</w:t>
      </w:r>
      <w:r w:rsidRPr="00CA6451">
        <w:t xml:space="preserve"> </w:t>
      </w:r>
      <w:r w:rsidRPr="00CA6451">
        <w:rPr>
          <w:b/>
        </w:rPr>
        <w:t>120</w:t>
      </w:r>
      <w:r w:rsidRPr="00CA6451">
        <w:t>, 1791-1799, doi:10.1172/jci42344 (2010).</w:t>
      </w:r>
    </w:p>
    <w:p w:rsidR="00381704" w:rsidRPr="007F7CBA" w:rsidRDefault="00381704" w:rsidP="00381704">
      <w:pPr>
        <w:spacing w:line="480" w:lineRule="auto"/>
        <w:rPr>
          <w:rFonts w:asciiTheme="majorBidi" w:hAnsiTheme="majorBidi" w:cstheme="majorBidi"/>
          <w:kern w:val="36"/>
          <w:szCs w:val="24"/>
        </w:rPr>
      </w:pPr>
      <w:r w:rsidRPr="007F7CBA">
        <w:rPr>
          <w:rFonts w:asciiTheme="majorBidi" w:hAnsiTheme="majorBidi" w:cstheme="majorBidi"/>
          <w:kern w:val="36"/>
          <w:szCs w:val="24"/>
        </w:rPr>
        <w:fldChar w:fldCharType="end"/>
      </w:r>
    </w:p>
    <w:p w:rsidR="00BF154A" w:rsidRDefault="00BF154A">
      <w:bookmarkStart w:id="0" w:name="_GoBack"/>
      <w:bookmarkEnd w:id="0"/>
    </w:p>
    <w:sectPr w:rsidR="00BF15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704"/>
    <w:rsid w:val="00381704"/>
    <w:rsid w:val="00B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704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81704"/>
    <w:pPr>
      <w:spacing w:line="240" w:lineRule="atLeast"/>
    </w:pPr>
    <w:rPr>
      <w:noProof/>
      <w:lang w:val="de-DE"/>
    </w:rPr>
  </w:style>
  <w:style w:type="character" w:customStyle="1" w:styleId="EndNoteBibliographyChar">
    <w:name w:val="EndNote Bibliography Char"/>
    <w:basedOn w:val="DefaultParagraphFont"/>
    <w:link w:val="EndNoteBibliography"/>
    <w:rsid w:val="00381704"/>
    <w:rPr>
      <w:rFonts w:ascii="Times New Roman" w:eastAsia="Times New Roman" w:hAnsi="Times New Roman" w:cs="Times New Roman"/>
      <w:noProof/>
      <w:color w:val="000000"/>
      <w:sz w:val="24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704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81704"/>
    <w:pPr>
      <w:spacing w:line="240" w:lineRule="atLeast"/>
    </w:pPr>
    <w:rPr>
      <w:noProof/>
      <w:lang w:val="de-DE"/>
    </w:rPr>
  </w:style>
  <w:style w:type="character" w:customStyle="1" w:styleId="EndNoteBibliographyChar">
    <w:name w:val="EndNote Bibliography Char"/>
    <w:basedOn w:val="DefaultParagraphFont"/>
    <w:link w:val="EndNoteBibliography"/>
    <w:rsid w:val="00381704"/>
    <w:rPr>
      <w:rFonts w:ascii="Times New Roman" w:eastAsia="Times New Roman" w:hAnsi="Times New Roman" w:cs="Times New Roman"/>
      <w:noProof/>
      <w:color w:val="000000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2020-03-28T10:08:00Z</dcterms:created>
  <dcterms:modified xsi:type="dcterms:W3CDTF">2020-03-28T10:10:00Z</dcterms:modified>
</cp:coreProperties>
</file>