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3F25BA" w14:textId="77777777" w:rsidR="00654124" w:rsidRPr="000D0191" w:rsidRDefault="00654124" w:rsidP="00654124">
      <w:pPr>
        <w:spacing w:after="0" w:line="240" w:lineRule="auto"/>
        <w:rPr>
          <w:rFonts w:ascii="Times New Roman" w:eastAsia="Times New Roman" w:hAnsi="Times New Roman" w:cs="Times New Roman"/>
          <w:sz w:val="36"/>
          <w:szCs w:val="36"/>
        </w:rPr>
      </w:pPr>
      <w:r w:rsidRPr="000D0191">
        <w:rPr>
          <w:rFonts w:ascii="Times New Roman" w:eastAsia="Times New Roman" w:hAnsi="Times New Roman" w:cs="Times New Roman"/>
          <w:sz w:val="36"/>
          <w:szCs w:val="36"/>
        </w:rPr>
        <w:t>Supplementary Information for</w:t>
      </w:r>
    </w:p>
    <w:p w14:paraId="08972E9C" w14:textId="77777777" w:rsidR="00654124" w:rsidRPr="000D0191" w:rsidRDefault="00654124" w:rsidP="00654124">
      <w:pPr>
        <w:spacing w:after="0" w:line="240" w:lineRule="auto"/>
        <w:rPr>
          <w:rFonts w:ascii="Times New Roman" w:eastAsia="Times New Roman" w:hAnsi="Times New Roman" w:cs="Times New Roman"/>
          <w:sz w:val="24"/>
          <w:szCs w:val="20"/>
        </w:rPr>
      </w:pPr>
    </w:p>
    <w:p w14:paraId="42C32E9F" w14:textId="77777777" w:rsidR="0035572C" w:rsidRPr="0062693B" w:rsidRDefault="0035572C" w:rsidP="0035572C">
      <w:pPr>
        <w:spacing w:after="0" w:line="276" w:lineRule="auto"/>
        <w:rPr>
          <w:rFonts w:ascii="Arial" w:eastAsia="Times New Roman" w:hAnsi="Arial" w:cs="Arial"/>
          <w:b/>
          <w:sz w:val="28"/>
          <w:szCs w:val="24"/>
        </w:rPr>
      </w:pPr>
      <w:bookmarkStart w:id="0" w:name="_Hlk33917649"/>
      <w:r w:rsidRPr="0062693B">
        <w:rPr>
          <w:rFonts w:ascii="Arial" w:eastAsia="Times New Roman" w:hAnsi="Arial" w:cs="Arial"/>
          <w:b/>
          <w:sz w:val="28"/>
          <w:szCs w:val="24"/>
        </w:rPr>
        <w:t>Simple Ae</w:t>
      </w:r>
      <w:bookmarkStart w:id="1" w:name="_GoBack"/>
      <w:bookmarkEnd w:id="1"/>
      <w:r w:rsidRPr="0062693B">
        <w:rPr>
          <w:rFonts w:ascii="Arial" w:eastAsia="Times New Roman" w:hAnsi="Arial" w:cs="Arial"/>
          <w:b/>
          <w:sz w:val="28"/>
          <w:szCs w:val="24"/>
        </w:rPr>
        <w:t xml:space="preserve">sthetic Sense and Addiction Emerge in Neural </w:t>
      </w:r>
    </w:p>
    <w:p w14:paraId="1382EEDE" w14:textId="54E06D0A" w:rsidR="00654124" w:rsidRPr="000D0191" w:rsidRDefault="0035572C" w:rsidP="0035572C">
      <w:pPr>
        <w:spacing w:after="0" w:line="240" w:lineRule="auto"/>
        <w:rPr>
          <w:rFonts w:ascii="Times New Roman" w:eastAsia="Times New Roman" w:hAnsi="Times New Roman" w:cs="Times New Roman"/>
          <w:b/>
          <w:sz w:val="28"/>
          <w:szCs w:val="28"/>
        </w:rPr>
      </w:pPr>
      <w:r w:rsidRPr="0062693B">
        <w:rPr>
          <w:rFonts w:ascii="Arial" w:eastAsia="Times New Roman" w:hAnsi="Arial" w:cs="Arial"/>
          <w:b/>
          <w:sz w:val="28"/>
          <w:szCs w:val="24"/>
        </w:rPr>
        <w:t>Relations of Cost-Benefit Decision in Foraging</w:t>
      </w:r>
      <w:bookmarkEnd w:id="0"/>
    </w:p>
    <w:p w14:paraId="7F928830" w14:textId="77777777" w:rsidR="00654124" w:rsidRPr="000D0191" w:rsidRDefault="00654124" w:rsidP="00654124">
      <w:pPr>
        <w:spacing w:after="0" w:line="240" w:lineRule="auto"/>
        <w:rPr>
          <w:rFonts w:ascii="Times New Roman" w:eastAsia="Times New Roman" w:hAnsi="Times New Roman" w:cs="Times New Roman"/>
          <w:sz w:val="28"/>
          <w:szCs w:val="28"/>
        </w:rPr>
      </w:pPr>
    </w:p>
    <w:p w14:paraId="337FA302" w14:textId="77777777" w:rsidR="00654124" w:rsidRPr="000D0191" w:rsidRDefault="00654124" w:rsidP="00654124">
      <w:pPr>
        <w:spacing w:after="0" w:line="240" w:lineRule="auto"/>
        <w:rPr>
          <w:rFonts w:ascii="Times New Roman" w:eastAsia="Times New Roman" w:hAnsi="Times New Roman" w:cs="Times New Roman"/>
          <w:sz w:val="24"/>
          <w:szCs w:val="24"/>
        </w:rPr>
      </w:pPr>
      <w:r w:rsidRPr="000D0191">
        <w:rPr>
          <w:rFonts w:ascii="Times New Roman" w:eastAsia="Times New Roman" w:hAnsi="Times New Roman" w:cs="Times New Roman"/>
          <w:sz w:val="24"/>
          <w:szCs w:val="24"/>
        </w:rPr>
        <w:t>Ekaterina D. Gribkova, Marianne Catanho, and Rhanor Gillette</w:t>
      </w:r>
    </w:p>
    <w:p w14:paraId="429D4A16" w14:textId="77777777" w:rsidR="00654124" w:rsidRPr="000D0191" w:rsidRDefault="00654124" w:rsidP="00654124">
      <w:pPr>
        <w:spacing w:after="0" w:line="240" w:lineRule="auto"/>
        <w:rPr>
          <w:rFonts w:ascii="Times New Roman" w:eastAsia="Times New Roman" w:hAnsi="Times New Roman" w:cs="Times New Roman"/>
          <w:sz w:val="24"/>
          <w:szCs w:val="24"/>
        </w:rPr>
      </w:pPr>
    </w:p>
    <w:p w14:paraId="272FF6F9" w14:textId="77777777" w:rsidR="00654124" w:rsidRDefault="00654124" w:rsidP="00654124">
      <w:pPr>
        <w:spacing w:after="0" w:line="240" w:lineRule="auto"/>
        <w:rPr>
          <w:rFonts w:ascii="Times New Roman" w:eastAsia="Times New Roman" w:hAnsi="Times New Roman" w:cs="Times New Roman"/>
          <w:sz w:val="24"/>
          <w:szCs w:val="24"/>
        </w:rPr>
      </w:pPr>
      <w:r w:rsidRPr="000D0191">
        <w:rPr>
          <w:rFonts w:ascii="Times New Roman" w:eastAsia="Times New Roman" w:hAnsi="Times New Roman" w:cs="Times New Roman"/>
          <w:sz w:val="24"/>
          <w:szCs w:val="24"/>
        </w:rPr>
        <w:t xml:space="preserve">Rhanor Gillette </w:t>
      </w:r>
    </w:p>
    <w:p w14:paraId="76228525" w14:textId="77777777" w:rsidR="00654124" w:rsidRPr="000D0191" w:rsidRDefault="00654124" w:rsidP="00654124">
      <w:pPr>
        <w:spacing w:after="0" w:line="240" w:lineRule="auto"/>
        <w:rPr>
          <w:rFonts w:ascii="Times New Roman" w:eastAsia="Times New Roman" w:hAnsi="Times New Roman" w:cs="Times New Roman"/>
          <w:sz w:val="24"/>
          <w:szCs w:val="24"/>
        </w:rPr>
      </w:pPr>
      <w:r w:rsidRPr="000D0191">
        <w:rPr>
          <w:rFonts w:ascii="Times New Roman" w:eastAsia="Times New Roman" w:hAnsi="Times New Roman" w:cs="Times New Roman"/>
          <w:sz w:val="24"/>
          <w:szCs w:val="24"/>
        </w:rPr>
        <w:t xml:space="preserve">Email:  </w:t>
      </w:r>
      <w:r>
        <w:rPr>
          <w:rFonts w:ascii="Times New Roman" w:eastAsia="Times New Roman" w:hAnsi="Times New Roman" w:cs="Times New Roman"/>
          <w:sz w:val="24"/>
          <w:szCs w:val="24"/>
        </w:rPr>
        <w:t>rhanor@illinois.edu</w:t>
      </w:r>
    </w:p>
    <w:p w14:paraId="255AE2B7" w14:textId="77777777" w:rsidR="00654124" w:rsidRPr="000D0191" w:rsidRDefault="00654124" w:rsidP="00654124">
      <w:pPr>
        <w:spacing w:after="0" w:line="240" w:lineRule="auto"/>
        <w:rPr>
          <w:rFonts w:ascii="Times New Roman" w:eastAsia="Times New Roman" w:hAnsi="Times New Roman" w:cs="Times New Roman"/>
          <w:sz w:val="24"/>
          <w:szCs w:val="20"/>
        </w:rPr>
      </w:pPr>
    </w:p>
    <w:p w14:paraId="2AB84D24" w14:textId="77777777" w:rsidR="00654124" w:rsidRPr="000D0191" w:rsidRDefault="00654124" w:rsidP="00654124">
      <w:pPr>
        <w:spacing w:after="0" w:line="240" w:lineRule="auto"/>
        <w:rPr>
          <w:rFonts w:ascii="Times New Roman" w:eastAsia="Times New Roman" w:hAnsi="Times New Roman" w:cs="Times New Roman"/>
          <w:b/>
          <w:sz w:val="24"/>
          <w:szCs w:val="20"/>
        </w:rPr>
      </w:pPr>
    </w:p>
    <w:p w14:paraId="7B741C91" w14:textId="2C292B43" w:rsidR="00654124" w:rsidRPr="000D0191" w:rsidRDefault="00654124" w:rsidP="00654124">
      <w:pPr>
        <w:spacing w:after="0" w:line="240" w:lineRule="auto"/>
        <w:rPr>
          <w:rFonts w:ascii="Times New Roman" w:eastAsia="Times New Roman" w:hAnsi="Times New Roman" w:cs="Times New Roman"/>
          <w:b/>
          <w:sz w:val="24"/>
          <w:szCs w:val="20"/>
        </w:rPr>
      </w:pPr>
      <w:r w:rsidRPr="000D0191">
        <w:rPr>
          <w:rFonts w:ascii="Times New Roman" w:eastAsia="Times New Roman" w:hAnsi="Times New Roman" w:cs="Times New Roman"/>
          <w:b/>
          <w:sz w:val="24"/>
          <w:szCs w:val="20"/>
        </w:rPr>
        <w:t>This file includes:</w:t>
      </w:r>
    </w:p>
    <w:p w14:paraId="3078D340" w14:textId="77777777" w:rsidR="00654124" w:rsidRPr="000D0191" w:rsidRDefault="00654124" w:rsidP="00654124">
      <w:pPr>
        <w:spacing w:after="0" w:line="240" w:lineRule="auto"/>
        <w:rPr>
          <w:rFonts w:ascii="Times New Roman" w:eastAsia="Times New Roman" w:hAnsi="Times New Roman" w:cs="Times New Roman"/>
          <w:sz w:val="24"/>
          <w:szCs w:val="20"/>
        </w:rPr>
      </w:pPr>
    </w:p>
    <w:p w14:paraId="264CF95F" w14:textId="2740AA1C" w:rsidR="00654124" w:rsidRPr="000D0191" w:rsidRDefault="00654124" w:rsidP="00654124">
      <w:pPr>
        <w:spacing w:after="0" w:line="240" w:lineRule="auto"/>
        <w:ind w:left="720"/>
        <w:rPr>
          <w:rFonts w:ascii="Times New Roman" w:eastAsia="Times New Roman" w:hAnsi="Times New Roman" w:cs="Times New Roman"/>
          <w:sz w:val="24"/>
          <w:szCs w:val="20"/>
        </w:rPr>
      </w:pPr>
      <w:r w:rsidRPr="000D0191">
        <w:rPr>
          <w:rFonts w:ascii="Times New Roman" w:eastAsia="Times New Roman" w:hAnsi="Times New Roman" w:cs="Times New Roman"/>
          <w:sz w:val="24"/>
          <w:szCs w:val="20"/>
        </w:rPr>
        <w:t xml:space="preserve">Supplementary </w:t>
      </w:r>
      <w:r>
        <w:rPr>
          <w:rFonts w:ascii="Times New Roman" w:eastAsia="Times New Roman" w:hAnsi="Times New Roman" w:cs="Times New Roman"/>
          <w:sz w:val="24"/>
          <w:szCs w:val="20"/>
        </w:rPr>
        <w:t>methods</w:t>
      </w:r>
    </w:p>
    <w:p w14:paraId="7207710C" w14:textId="77777777" w:rsidR="00654124" w:rsidRPr="000D0191" w:rsidRDefault="00654124" w:rsidP="00654124">
      <w:pPr>
        <w:spacing w:after="0" w:line="240" w:lineRule="auto"/>
        <w:ind w:left="720"/>
        <w:rPr>
          <w:rFonts w:ascii="Times New Roman" w:eastAsia="Times New Roman" w:hAnsi="Times New Roman" w:cs="Times New Roman"/>
          <w:sz w:val="24"/>
          <w:szCs w:val="20"/>
        </w:rPr>
      </w:pPr>
      <w:r w:rsidRPr="000D0191">
        <w:rPr>
          <w:rFonts w:ascii="Times New Roman" w:eastAsia="Times New Roman" w:hAnsi="Times New Roman" w:cs="Times New Roman"/>
          <w:sz w:val="24"/>
          <w:szCs w:val="20"/>
        </w:rPr>
        <w:t>Fig. S1</w:t>
      </w:r>
    </w:p>
    <w:p w14:paraId="2288DAC3" w14:textId="3F6C38D2" w:rsidR="00654124" w:rsidRPr="000D0191" w:rsidRDefault="00654124" w:rsidP="00654124">
      <w:pPr>
        <w:spacing w:after="0" w:line="240" w:lineRule="auto"/>
        <w:ind w:left="720"/>
        <w:rPr>
          <w:rFonts w:ascii="Times New Roman" w:eastAsia="Times New Roman" w:hAnsi="Times New Roman" w:cs="Times New Roman"/>
          <w:sz w:val="24"/>
          <w:szCs w:val="20"/>
        </w:rPr>
      </w:pPr>
      <w:r w:rsidRPr="000D0191">
        <w:rPr>
          <w:rFonts w:ascii="Times New Roman" w:eastAsia="Times New Roman" w:hAnsi="Times New Roman" w:cs="Times New Roman"/>
          <w:sz w:val="24"/>
          <w:szCs w:val="20"/>
        </w:rPr>
        <w:t xml:space="preserve">References for </w:t>
      </w:r>
      <w:r>
        <w:rPr>
          <w:rFonts w:ascii="Times New Roman" w:eastAsia="Times New Roman" w:hAnsi="Times New Roman" w:cs="Times New Roman"/>
          <w:sz w:val="24"/>
          <w:szCs w:val="20"/>
        </w:rPr>
        <w:t>supplementary information</w:t>
      </w:r>
      <w:r w:rsidRPr="000D0191">
        <w:rPr>
          <w:rFonts w:ascii="Times New Roman" w:eastAsia="Times New Roman" w:hAnsi="Times New Roman" w:cs="Times New Roman"/>
          <w:sz w:val="24"/>
          <w:szCs w:val="20"/>
        </w:rPr>
        <w:t xml:space="preserve"> reference citations</w:t>
      </w:r>
    </w:p>
    <w:p w14:paraId="773D38FD" w14:textId="77777777" w:rsidR="00654124" w:rsidRPr="000D0191" w:rsidRDefault="00654124" w:rsidP="00654124">
      <w:pPr>
        <w:spacing w:after="0" w:line="240" w:lineRule="auto"/>
        <w:rPr>
          <w:rFonts w:ascii="Times New Roman" w:eastAsia="Times New Roman" w:hAnsi="Times New Roman" w:cs="Times New Roman"/>
          <w:sz w:val="24"/>
          <w:szCs w:val="20"/>
        </w:rPr>
      </w:pPr>
    </w:p>
    <w:p w14:paraId="02C02D10" w14:textId="77777777" w:rsidR="00654124" w:rsidRDefault="00654124" w:rsidP="006541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b/>
          <w:sz w:val="24"/>
          <w:szCs w:val="24"/>
        </w:rPr>
      </w:pPr>
    </w:p>
    <w:p w14:paraId="7930E146" w14:textId="48F6631C" w:rsidR="00654124" w:rsidRDefault="00654124" w:rsidP="00C25FA8">
      <w:pPr>
        <w:rPr>
          <w:b/>
          <w:sz w:val="24"/>
          <w:szCs w:val="24"/>
        </w:rPr>
      </w:pPr>
      <w:r>
        <w:rPr>
          <w:b/>
          <w:sz w:val="24"/>
          <w:szCs w:val="24"/>
        </w:rPr>
        <w:br w:type="page"/>
      </w:r>
    </w:p>
    <w:p w14:paraId="1EA835BC" w14:textId="327CCF7E" w:rsidR="003610D0" w:rsidRPr="00654124" w:rsidRDefault="00A15FBD" w:rsidP="00967D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b/>
          <w:sz w:val="24"/>
          <w:szCs w:val="24"/>
        </w:rPr>
      </w:pPr>
      <w:r w:rsidRPr="00654124">
        <w:rPr>
          <w:rFonts w:ascii="Arial" w:hAnsi="Arial" w:cs="Arial"/>
          <w:b/>
          <w:sz w:val="24"/>
          <w:szCs w:val="24"/>
        </w:rPr>
        <w:lastRenderedPageBreak/>
        <w:t>Supplementary M</w:t>
      </w:r>
      <w:r w:rsidR="00306E1E" w:rsidRPr="00654124">
        <w:rPr>
          <w:rFonts w:ascii="Arial" w:hAnsi="Arial" w:cs="Arial"/>
          <w:b/>
          <w:sz w:val="24"/>
          <w:szCs w:val="24"/>
        </w:rPr>
        <w:t>ethods</w:t>
      </w:r>
    </w:p>
    <w:p w14:paraId="49D838F2" w14:textId="72E6453E" w:rsidR="00967D2F" w:rsidRPr="00654124" w:rsidRDefault="00967D2F" w:rsidP="00967D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sz w:val="24"/>
          <w:szCs w:val="24"/>
        </w:rPr>
      </w:pPr>
      <w:r w:rsidRPr="00654124">
        <w:rPr>
          <w:rFonts w:ascii="Arial" w:hAnsi="Arial" w:cs="Arial"/>
          <w:color w:val="000000" w:themeColor="text1"/>
          <w:sz w:val="24"/>
          <w:szCs w:val="24"/>
        </w:rPr>
        <w:t xml:space="preserve">The ASIMOV model is derived from the original Cyberslug™ foraging simulation </w:t>
      </w:r>
      <w:r w:rsidRPr="00654124">
        <w:rPr>
          <w:rFonts w:ascii="Arial" w:hAnsi="Arial" w:cs="Arial"/>
          <w:color w:val="000000" w:themeColor="text1"/>
          <w:sz w:val="24"/>
          <w:szCs w:val="24"/>
        </w:rPr>
        <w:fldChar w:fldCharType="begin"/>
      </w:r>
      <w:r w:rsidR="00654124">
        <w:rPr>
          <w:rFonts w:ascii="Arial" w:hAnsi="Arial" w:cs="Arial"/>
          <w:color w:val="000000" w:themeColor="text1"/>
          <w:sz w:val="24"/>
          <w:szCs w:val="24"/>
        </w:rPr>
        <w:instrText xml:space="preserve"> ADDIN EN.CITE &lt;EndNote&gt;&lt;Cite&gt;&lt;Author&gt;Brown&lt;/Author&gt;&lt;Year&gt;2018&lt;/Year&gt;&lt;RecNum&gt;278&lt;/RecNum&gt;&lt;DisplayText&gt;[1]&lt;/DisplayText&gt;&lt;record&gt;&lt;rec-number&gt;278&lt;/rec-number&gt;&lt;foreign-keys&gt;&lt;key app="EN" db-id="dzzdr2vfg0p90ceevvix0vryta0pf5v02atr" timestamp="1525374476"&gt;278&lt;/key&gt;&lt;/foreign-keys&gt;&lt;ref-type name="Journal Article"&gt;17&lt;/ref-type&gt;&lt;contributors&gt;&lt;authors&gt;&lt;author&gt;Brown, Jeffrey W&lt;/author&gt;&lt;author&gt;Caetano-Anollés, Derek&lt;/author&gt;&lt;author&gt;Catanho, Marianne&lt;/author&gt;&lt;author&gt;Gribkova, Ekaterina&lt;/author&gt;&lt;author&gt;Ryckman, Nathaniel&lt;/author&gt;&lt;author&gt;Tian, Kun&lt;/author&gt;&lt;author&gt;Voloshin, Mikhail&lt;/author&gt;&lt;author&gt;Gillette, Rhanor&lt;/author&gt;&lt;/authors&gt;&lt;/contributors&gt;&lt;titles&gt;&lt;title&gt;Implementing Goal-Directed Foraging Decisions of a Simpler Nervous System in Simulation&lt;/title&gt;&lt;secondary-title&gt;eNeuro&lt;/secondary-title&gt;&lt;/titles&gt;&lt;pages&gt;ENEURO. 0400-17.2018&lt;/pages&gt;&lt;volume&gt;5&lt;/volume&gt;&lt;number&gt;1&lt;/number&gt;&lt;dates&gt;&lt;year&gt;2018&lt;/year&gt;&lt;/dates&gt;&lt;isbn&gt;2373-2822&lt;/isbn&gt;&lt;urls&gt;&lt;/urls&gt;&lt;/record&gt;&lt;/Cite&gt;&lt;/EndNote&gt;</w:instrText>
      </w:r>
      <w:r w:rsidRPr="00654124">
        <w:rPr>
          <w:rFonts w:ascii="Arial" w:hAnsi="Arial" w:cs="Arial"/>
          <w:color w:val="000000" w:themeColor="text1"/>
          <w:sz w:val="24"/>
          <w:szCs w:val="24"/>
        </w:rPr>
        <w:fldChar w:fldCharType="separate"/>
      </w:r>
      <w:r w:rsidR="00654124">
        <w:rPr>
          <w:rFonts w:ascii="Arial" w:hAnsi="Arial" w:cs="Arial"/>
          <w:noProof/>
          <w:color w:val="000000" w:themeColor="text1"/>
          <w:sz w:val="24"/>
          <w:szCs w:val="24"/>
        </w:rPr>
        <w:t>[1]</w:t>
      </w:r>
      <w:r w:rsidRPr="00654124">
        <w:rPr>
          <w:rFonts w:ascii="Arial" w:hAnsi="Arial" w:cs="Arial"/>
          <w:color w:val="000000" w:themeColor="text1"/>
          <w:sz w:val="24"/>
          <w:szCs w:val="24"/>
        </w:rPr>
        <w:fldChar w:fldCharType="end"/>
      </w:r>
      <w:r w:rsidRPr="00654124">
        <w:rPr>
          <w:rFonts w:ascii="Arial" w:hAnsi="Arial" w:cs="Arial"/>
          <w:color w:val="000000" w:themeColor="text1"/>
          <w:sz w:val="24"/>
          <w:szCs w:val="24"/>
        </w:rPr>
        <w:t xml:space="preserve"> with essential modifications. Cyberslug presents the </w:t>
      </w:r>
      <w:r w:rsidRPr="00654124">
        <w:rPr>
          <w:rFonts w:ascii="Arial" w:hAnsi="Arial" w:cs="Arial"/>
          <w:sz w:val="24"/>
          <w:szCs w:val="24"/>
        </w:rPr>
        <w:t>logic of foraging decision based on reward learning and motivation, and</w:t>
      </w:r>
      <w:r w:rsidRPr="00654124">
        <w:rPr>
          <w:rFonts w:ascii="Arial" w:hAnsi="Arial" w:cs="Arial"/>
          <w:color w:val="000000" w:themeColor="text1"/>
          <w:sz w:val="24"/>
          <w:szCs w:val="24"/>
        </w:rPr>
        <w:t xml:space="preserve"> is available at </w:t>
      </w:r>
      <w:hyperlink r:id="rId4" w:history="1">
        <w:r w:rsidRPr="00654124">
          <w:rPr>
            <w:rStyle w:val="Hyperlink"/>
            <w:rFonts w:ascii="Arial" w:hAnsi="Arial" w:cs="Arial"/>
            <w:sz w:val="24"/>
            <w:szCs w:val="24"/>
          </w:rPr>
          <w:t>https://github.com/Entience/Cyberslug</w:t>
        </w:r>
      </w:hyperlink>
      <w:r w:rsidRPr="00654124">
        <w:rPr>
          <w:rFonts w:ascii="Arial" w:hAnsi="Arial" w:cs="Arial"/>
          <w:color w:val="000000" w:themeColor="text1"/>
          <w:sz w:val="24"/>
          <w:szCs w:val="24"/>
        </w:rPr>
        <w:t xml:space="preserve">. </w:t>
      </w:r>
      <w:r w:rsidRPr="00654124">
        <w:rPr>
          <w:rFonts w:ascii="Arial" w:hAnsi="Arial" w:cs="Arial"/>
          <w:sz w:val="24"/>
          <w:szCs w:val="24"/>
        </w:rPr>
        <w:t>ASIMOV is implemented in the same graphic, agent-based programming language, NetLogo</w:t>
      </w:r>
      <w:r w:rsidR="003F5093">
        <w:rPr>
          <w:rFonts w:ascii="Arial" w:hAnsi="Arial" w:cs="Arial"/>
          <w:sz w:val="24"/>
          <w:szCs w:val="24"/>
        </w:rPr>
        <w:t>,</w:t>
      </w:r>
      <w:r w:rsidRPr="00654124">
        <w:rPr>
          <w:rFonts w:ascii="Arial" w:hAnsi="Arial" w:cs="Arial"/>
          <w:sz w:val="24"/>
          <w:szCs w:val="24"/>
        </w:rPr>
        <w:t xml:space="preserve"> </w:t>
      </w:r>
      <w:r w:rsidR="003F5093" w:rsidRPr="003F5093">
        <w:rPr>
          <w:rFonts w:ascii="Arial" w:hAnsi="Arial" w:cs="Arial"/>
          <w:sz w:val="24"/>
          <w:szCs w:val="24"/>
        </w:rPr>
        <w:t>version 6.0.4</w:t>
      </w:r>
      <w:r w:rsidR="003F5093">
        <w:rPr>
          <w:rFonts w:ascii="Arial" w:hAnsi="Arial" w:cs="Arial"/>
          <w:sz w:val="24"/>
          <w:szCs w:val="24"/>
        </w:rPr>
        <w:t xml:space="preserve"> </w:t>
      </w:r>
      <w:r w:rsidRPr="00654124">
        <w:rPr>
          <w:rFonts w:ascii="Arial" w:hAnsi="Arial" w:cs="Arial"/>
          <w:sz w:val="24"/>
          <w:szCs w:val="24"/>
        </w:rPr>
        <w:fldChar w:fldCharType="begin"/>
      </w:r>
      <w:r w:rsidR="00654124">
        <w:rPr>
          <w:rFonts w:ascii="Arial" w:hAnsi="Arial" w:cs="Arial"/>
          <w:sz w:val="24"/>
          <w:szCs w:val="24"/>
        </w:rPr>
        <w:instrText xml:space="preserve"> ADDIN EN.CITE &lt;EndNote&gt;&lt;Cite&gt;&lt;Author&gt;Wilensky&lt;/Author&gt;&lt;Year&gt;1999&lt;/Year&gt;&lt;RecNum&gt;243&lt;/RecNum&gt;&lt;DisplayText&gt;[2]&lt;/DisplayText&gt;&lt;record&gt;&lt;rec-number&gt;243&lt;/rec-number&gt;&lt;foreign-keys&gt;&lt;key app="EN" db-id="dzzdr2vfg0p90ceevvix0vryta0pf5v02atr" timestamp="1510185626"&gt;243&lt;/key&gt;&lt;/foreign-keys&gt;&lt;ref-type name="Journal Article"&gt;17&lt;/ref-type&gt;&lt;contributors&gt;&lt;authors&gt;&lt;author&gt;Wilensky, Uri&lt;/author&gt;&lt;/authors&gt;&lt;/contributors&gt;&lt;titles&gt;&lt;title&gt;NetLogo: Center for connected learning and computer-based modeling&lt;/title&gt;&lt;secondary-title&gt;Northwestern University, Evanston, IL&lt;/secondary-title&gt;&lt;/titles&gt;&lt;volume&gt;4952&lt;/volume&gt;&lt;dates&gt;&lt;year&gt;1999&lt;/year&gt;&lt;/dates&gt;&lt;urls&gt;&lt;/urls&gt;&lt;/record&gt;&lt;/Cite&gt;&lt;/EndNote&gt;</w:instrText>
      </w:r>
      <w:r w:rsidRPr="00654124">
        <w:rPr>
          <w:rFonts w:ascii="Arial" w:hAnsi="Arial" w:cs="Arial"/>
          <w:sz w:val="24"/>
          <w:szCs w:val="24"/>
        </w:rPr>
        <w:fldChar w:fldCharType="separate"/>
      </w:r>
      <w:r w:rsidR="00654124">
        <w:rPr>
          <w:rFonts w:ascii="Arial" w:hAnsi="Arial" w:cs="Arial"/>
          <w:noProof/>
          <w:sz w:val="24"/>
          <w:szCs w:val="24"/>
        </w:rPr>
        <w:t>[2]</w:t>
      </w:r>
      <w:r w:rsidRPr="00654124">
        <w:rPr>
          <w:rFonts w:ascii="Arial" w:hAnsi="Arial" w:cs="Arial"/>
          <w:sz w:val="24"/>
          <w:szCs w:val="24"/>
        </w:rPr>
        <w:fldChar w:fldCharType="end"/>
      </w:r>
      <w:r w:rsidR="003F5093">
        <w:rPr>
          <w:rFonts w:ascii="Arial" w:hAnsi="Arial" w:cs="Arial"/>
          <w:sz w:val="24"/>
          <w:szCs w:val="24"/>
        </w:rPr>
        <w:t xml:space="preserve">, </w:t>
      </w:r>
      <w:r w:rsidRPr="00654124">
        <w:rPr>
          <w:rFonts w:ascii="Arial" w:hAnsi="Arial" w:cs="Arial"/>
          <w:sz w:val="24"/>
          <w:szCs w:val="24"/>
        </w:rPr>
        <w:t xml:space="preserve">and is available as extended data at </w:t>
      </w:r>
      <w:hyperlink r:id="rId5" w:history="1">
        <w:r w:rsidRPr="00654124">
          <w:rPr>
            <w:rStyle w:val="Hyperlink"/>
            <w:rFonts w:ascii="Arial" w:hAnsi="Arial" w:cs="Arial"/>
            <w:sz w:val="24"/>
            <w:szCs w:val="24"/>
          </w:rPr>
          <w:t>https://github.com/Entience/ASIMOV</w:t>
        </w:r>
      </w:hyperlink>
      <w:r w:rsidRPr="00654124">
        <w:rPr>
          <w:rFonts w:ascii="Arial" w:hAnsi="Arial" w:cs="Arial"/>
          <w:sz w:val="24"/>
          <w:szCs w:val="24"/>
        </w:rPr>
        <w:t xml:space="preserve">. NetLogo software is chosen for its simple availability and accessibility to a broad audience. </w:t>
      </w:r>
    </w:p>
    <w:p w14:paraId="589FFA72" w14:textId="6D462DCD" w:rsidR="00967D2F" w:rsidRPr="00654124" w:rsidRDefault="00967D2F" w:rsidP="00967D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sz w:val="24"/>
          <w:szCs w:val="24"/>
        </w:rPr>
      </w:pPr>
      <w:bookmarkStart w:id="2" w:name="_Hlk532347564"/>
      <w:r w:rsidRPr="00654124">
        <w:rPr>
          <w:rFonts w:ascii="Arial" w:hAnsi="Arial" w:cs="Arial"/>
          <w:sz w:val="24"/>
          <w:szCs w:val="24"/>
        </w:rPr>
        <w:t>The ASIMOV forager encounters two virtual prey</w:t>
      </w:r>
      <w:r w:rsidR="001548DC" w:rsidRPr="00654124">
        <w:rPr>
          <w:rFonts w:ascii="Arial" w:hAnsi="Arial" w:cs="Arial"/>
          <w:sz w:val="24"/>
          <w:szCs w:val="24"/>
        </w:rPr>
        <w:t xml:space="preserve"> in its environment</w:t>
      </w:r>
      <w:r w:rsidRPr="00654124">
        <w:rPr>
          <w:rFonts w:ascii="Arial" w:hAnsi="Arial" w:cs="Arial"/>
          <w:sz w:val="24"/>
          <w:szCs w:val="24"/>
        </w:rPr>
        <w:t xml:space="preserve">, </w:t>
      </w:r>
      <w:r w:rsidR="00F233F4" w:rsidRPr="00654124">
        <w:rPr>
          <w:rFonts w:ascii="Arial" w:hAnsi="Arial" w:cs="Arial"/>
          <w:sz w:val="24"/>
          <w:szCs w:val="24"/>
        </w:rPr>
        <w:t>the benign Hermi and noxious Flab</w:t>
      </w:r>
      <w:r w:rsidRPr="00654124">
        <w:rPr>
          <w:rFonts w:ascii="Arial" w:hAnsi="Arial" w:cs="Arial"/>
          <w:sz w:val="24"/>
          <w:szCs w:val="24"/>
        </w:rPr>
        <w:t>, named after prey sea-slugs</w:t>
      </w:r>
      <w:r w:rsidRPr="00654124">
        <w:rPr>
          <w:rFonts w:ascii="Arial" w:hAnsi="Arial" w:cs="Arial"/>
          <w:i/>
          <w:sz w:val="24"/>
          <w:szCs w:val="24"/>
        </w:rPr>
        <w:t xml:space="preserve"> Hermissenda crassicornis </w:t>
      </w:r>
      <w:r w:rsidRPr="00654124">
        <w:rPr>
          <w:rFonts w:ascii="Arial" w:hAnsi="Arial" w:cs="Arial"/>
          <w:sz w:val="24"/>
          <w:szCs w:val="24"/>
        </w:rPr>
        <w:t xml:space="preserve">and </w:t>
      </w:r>
      <w:r w:rsidRPr="00654124">
        <w:rPr>
          <w:rFonts w:ascii="Arial" w:hAnsi="Arial" w:cs="Arial"/>
          <w:i/>
          <w:sz w:val="24"/>
          <w:szCs w:val="24"/>
        </w:rPr>
        <w:t>Flabellina iodinea</w:t>
      </w:r>
      <w:r w:rsidRPr="00654124">
        <w:rPr>
          <w:rFonts w:ascii="Arial" w:hAnsi="Arial" w:cs="Arial"/>
          <w:sz w:val="24"/>
          <w:szCs w:val="24"/>
        </w:rPr>
        <w:t xml:space="preserve"> prey that </w:t>
      </w:r>
      <w:r w:rsidRPr="00654124">
        <w:rPr>
          <w:rFonts w:ascii="Arial" w:hAnsi="Arial" w:cs="Arial"/>
          <w:i/>
          <w:sz w:val="24"/>
          <w:szCs w:val="24"/>
        </w:rPr>
        <w:t>Pleurobranchaea</w:t>
      </w:r>
      <w:r w:rsidRPr="00654124">
        <w:rPr>
          <w:rFonts w:ascii="Arial" w:hAnsi="Arial" w:cs="Arial"/>
          <w:sz w:val="24"/>
          <w:szCs w:val="24"/>
        </w:rPr>
        <w:t xml:space="preserve"> encounters in the wild </w:t>
      </w:r>
      <w:r w:rsidRPr="00654124">
        <w:rPr>
          <w:rFonts w:ascii="Arial" w:hAnsi="Arial" w:cs="Arial"/>
          <w:sz w:val="24"/>
          <w:szCs w:val="24"/>
        </w:rPr>
        <w:fldChar w:fldCharType="begin"/>
      </w:r>
      <w:r w:rsidR="00654124">
        <w:rPr>
          <w:rFonts w:ascii="Arial" w:hAnsi="Arial" w:cs="Arial"/>
          <w:sz w:val="24"/>
          <w:szCs w:val="24"/>
        </w:rPr>
        <w:instrText xml:space="preserve"> ADDIN EN.CITE &lt;EndNote&gt;&lt;Cite&gt;&lt;Author&gt;Noboa&lt;/Author&gt;&lt;Year&gt;2013&lt;/Year&gt;&lt;RecNum&gt;234&lt;/RecNum&gt;&lt;DisplayText&gt;[3]&lt;/DisplayText&gt;&lt;record&gt;&lt;rec-number&gt;234&lt;/rec-number&gt;&lt;foreign-keys&gt;&lt;key app="EN" db-id="dzzdr2vfg0p90ceevvix0vryta0pf5v02atr" timestamp="1510184852"&gt;234&lt;/key&gt;&lt;/foreign-keys&gt;&lt;ref-type name="Journal Article"&gt;17&lt;/ref-type&gt;&lt;contributors&gt;&lt;authors&gt;&lt;author&gt;Noboa, Vanessa&lt;/author&gt;&lt;author&gt;Gillette, Rhanor&lt;/author&gt;&lt;/authors&gt;&lt;/contributors&gt;&lt;titles&gt;&lt;title&gt;&lt;style face="normal" font="default" size="100%"&gt;Selective prey avoidance learning in the predatory sea slug &lt;/style&gt;&lt;style face="italic" font="default" size="100%"&gt;Pleurobranchaea californica&lt;/style&gt;&lt;/title&gt;&lt;secondary-title&gt;Journal of Experimental Biology&lt;/secondary-title&gt;&lt;/titles&gt;&lt;periodical&gt;&lt;full-title&gt;Journal of Experimental Biology&lt;/full-title&gt;&lt;abbr-1&gt;J. Exp. Biol.&lt;/abbr-1&gt;&lt;abbr-2&gt;J Exp Biol&lt;/abbr-2&gt;&lt;/periodical&gt;&lt;pages&gt;3231-3236&lt;/pages&gt;&lt;volume&gt;216&lt;/volume&gt;&lt;number&gt;17&lt;/number&gt;&lt;dates&gt;&lt;year&gt;2013&lt;/year&gt;&lt;/dates&gt;&lt;isbn&gt;0022-0949&lt;/isbn&gt;&lt;urls&gt;&lt;/urls&gt;&lt;/record&gt;&lt;/Cite&gt;&lt;/EndNote&gt;</w:instrText>
      </w:r>
      <w:r w:rsidRPr="00654124">
        <w:rPr>
          <w:rFonts w:ascii="Arial" w:hAnsi="Arial" w:cs="Arial"/>
          <w:sz w:val="24"/>
          <w:szCs w:val="24"/>
        </w:rPr>
        <w:fldChar w:fldCharType="separate"/>
      </w:r>
      <w:r w:rsidR="00654124">
        <w:rPr>
          <w:rFonts w:ascii="Arial" w:hAnsi="Arial" w:cs="Arial"/>
          <w:noProof/>
          <w:sz w:val="24"/>
          <w:szCs w:val="24"/>
        </w:rPr>
        <w:t>[3]</w:t>
      </w:r>
      <w:r w:rsidRPr="00654124">
        <w:rPr>
          <w:rFonts w:ascii="Arial" w:hAnsi="Arial" w:cs="Arial"/>
          <w:sz w:val="24"/>
          <w:szCs w:val="24"/>
        </w:rPr>
        <w:fldChar w:fldCharType="end"/>
      </w:r>
      <w:r w:rsidRPr="00654124">
        <w:rPr>
          <w:rFonts w:ascii="Arial" w:hAnsi="Arial" w:cs="Arial"/>
          <w:sz w:val="24"/>
          <w:szCs w:val="24"/>
        </w:rPr>
        <w:t>.</w:t>
      </w:r>
      <w:bookmarkEnd w:id="2"/>
      <w:r w:rsidRPr="00654124">
        <w:rPr>
          <w:rFonts w:ascii="Arial" w:hAnsi="Arial" w:cs="Arial"/>
          <w:sz w:val="24"/>
          <w:szCs w:val="24"/>
        </w:rPr>
        <w:t xml:space="preserve"> Each prey secretes two odors: the resource signal </w:t>
      </w:r>
      <w:r w:rsidRPr="00654124">
        <w:rPr>
          <w:rFonts w:ascii="Arial" w:hAnsi="Arial" w:cs="Arial"/>
          <w:i/>
          <w:sz w:val="24"/>
          <w:szCs w:val="24"/>
        </w:rPr>
        <w:t>betaine</w:t>
      </w:r>
      <w:r w:rsidRPr="00654124">
        <w:rPr>
          <w:rFonts w:ascii="Arial" w:hAnsi="Arial" w:cs="Arial"/>
          <w:sz w:val="24"/>
          <w:szCs w:val="24"/>
        </w:rPr>
        <w:t xml:space="preserve">, a predictor of nutritional resource </w:t>
      </w:r>
      <w:r w:rsidRPr="00654124">
        <w:rPr>
          <w:rFonts w:ascii="Arial" w:hAnsi="Arial" w:cs="Arial"/>
          <w:sz w:val="24"/>
          <w:szCs w:val="24"/>
        </w:rPr>
        <w:fldChar w:fldCharType="begin"/>
      </w:r>
      <w:r w:rsidR="00654124">
        <w:rPr>
          <w:rFonts w:ascii="Arial" w:hAnsi="Arial" w:cs="Arial"/>
          <w:sz w:val="24"/>
          <w:szCs w:val="24"/>
        </w:rPr>
        <w:instrText xml:space="preserve"> ADDIN EN.CITE &lt;EndNote&gt;&lt;Cite&gt;&lt;Author&gt;Gillette&lt;/Author&gt;&lt;Year&gt;2000&lt;/Year&gt;&lt;RecNum&gt;233&lt;/RecNum&gt;&lt;DisplayText&gt;[4]&lt;/DisplayText&gt;&lt;record&gt;&lt;rec-number&gt;233&lt;/rec-number&gt;&lt;foreign-keys&gt;&lt;key app="EN" db-id="dzzdr2vfg0p90ceevvix0vryta0pf5v02atr" timestamp="1510184830"&gt;233&lt;/key&gt;&lt;/foreign-keys&gt;&lt;ref-type name="Journal Article"&gt;17&lt;/ref-type&gt;&lt;contributors&gt;&lt;authors&gt;&lt;author&gt;Gillette, Rhanor&lt;/author&gt;&lt;author&gt;Huang, Rong-Chi&lt;/author&gt;&lt;author&gt;Hatcher, Nathan&lt;/author&gt;&lt;author&gt;Moroz, Leonid L&lt;/author&gt;&lt;/authors&gt;&lt;/contributors&gt;&lt;titles&gt;&lt;title&gt;Cost-benefit analysis potential in feeding behavior of a predatory snail by integration of hunger, taste, and pain&lt;/title&gt;&lt;secondary-title&gt;Proceedings of the National Academy of Sciences&lt;/secondary-title&gt;&lt;/titles&gt;&lt;periodical&gt;&lt;full-title&gt;Proceedings of the National Academy of Sciences&lt;/full-title&gt;&lt;abbr-1&gt;Proc. Nat. Acad. Sci. USA&lt;/abbr-1&gt;&lt;/periodical&gt;&lt;pages&gt;3585-3590&lt;/pages&gt;&lt;volume&gt;97&lt;/volume&gt;&lt;number&gt;7&lt;/number&gt;&lt;dates&gt;&lt;year&gt;2000&lt;/year&gt;&lt;/dates&gt;&lt;isbn&gt;0027-8424&lt;/isbn&gt;&lt;urls&gt;&lt;/urls&gt;&lt;/record&gt;&lt;/Cite&gt;&lt;/EndNote&gt;</w:instrText>
      </w:r>
      <w:r w:rsidRPr="00654124">
        <w:rPr>
          <w:rFonts w:ascii="Arial" w:hAnsi="Arial" w:cs="Arial"/>
          <w:sz w:val="24"/>
          <w:szCs w:val="24"/>
        </w:rPr>
        <w:fldChar w:fldCharType="separate"/>
      </w:r>
      <w:r w:rsidR="00654124">
        <w:rPr>
          <w:rFonts w:ascii="Arial" w:hAnsi="Arial" w:cs="Arial"/>
          <w:noProof/>
          <w:sz w:val="24"/>
          <w:szCs w:val="24"/>
        </w:rPr>
        <w:t>[4]</w:t>
      </w:r>
      <w:r w:rsidRPr="00654124">
        <w:rPr>
          <w:rFonts w:ascii="Arial" w:hAnsi="Arial" w:cs="Arial"/>
          <w:sz w:val="24"/>
          <w:szCs w:val="24"/>
        </w:rPr>
        <w:fldChar w:fldCharType="end"/>
      </w:r>
      <w:r w:rsidRPr="00654124">
        <w:rPr>
          <w:rFonts w:ascii="Arial" w:hAnsi="Arial" w:cs="Arial"/>
          <w:sz w:val="24"/>
          <w:szCs w:val="24"/>
        </w:rPr>
        <w:t>, and either of “</w:t>
      </w:r>
      <w:r w:rsidRPr="00654124">
        <w:rPr>
          <w:rFonts w:ascii="Arial" w:hAnsi="Arial" w:cs="Arial"/>
          <w:i/>
          <w:sz w:val="24"/>
          <w:szCs w:val="24"/>
        </w:rPr>
        <w:t>odor_hermi</w:t>
      </w:r>
      <w:r w:rsidRPr="00654124">
        <w:rPr>
          <w:rFonts w:ascii="Arial" w:hAnsi="Arial" w:cs="Arial"/>
          <w:sz w:val="24"/>
          <w:szCs w:val="24"/>
        </w:rPr>
        <w:t>” or “</w:t>
      </w:r>
      <w:r w:rsidRPr="00654124">
        <w:rPr>
          <w:rFonts w:ascii="Arial" w:hAnsi="Arial" w:cs="Arial"/>
          <w:i/>
          <w:sz w:val="24"/>
          <w:szCs w:val="24"/>
        </w:rPr>
        <w:t>odor_flab</w:t>
      </w:r>
      <w:r w:rsidRPr="00654124">
        <w:rPr>
          <w:rFonts w:ascii="Arial" w:hAnsi="Arial" w:cs="Arial"/>
          <w:sz w:val="24"/>
          <w:szCs w:val="24"/>
        </w:rPr>
        <w:t xml:space="preserve">.” Odors diffuse realistically over time and space. Prey move in simple random walks. Prey numbers are constant; when consumed, replacements appear at random positions. The specific odors of the prey Hermi and Flab become associated with positive and negative expected rewards, respectively, resulting in learning preference for Hermi and avoidance of Flab. These positive and negative associations are established in reward learning via the Rescorla-Wagner algorithm for classical conditioning </w:t>
      </w:r>
      <w:r w:rsidRPr="00654124">
        <w:rPr>
          <w:rFonts w:ascii="Arial" w:hAnsi="Arial" w:cs="Arial"/>
          <w:sz w:val="24"/>
          <w:szCs w:val="24"/>
        </w:rPr>
        <w:fldChar w:fldCharType="begin"/>
      </w:r>
      <w:r w:rsidR="00654124">
        <w:rPr>
          <w:rFonts w:ascii="Arial" w:hAnsi="Arial" w:cs="Arial"/>
          <w:sz w:val="24"/>
          <w:szCs w:val="24"/>
        </w:rPr>
        <w:instrText xml:space="preserve"> ADDIN EN.CITE &lt;EndNote&gt;&lt;Cite&gt;&lt;Author&gt;Rescorla&lt;/Author&gt;&lt;Year&gt;1972&lt;/Year&gt;&lt;RecNum&gt;395&lt;/RecNum&gt;&lt;DisplayText&gt;[5]&lt;/DisplayText&gt;&lt;record&gt;&lt;rec-number&gt;395&lt;/rec-number&gt;&lt;foreign-keys&gt;&lt;key app="EN" db-id="dzzdr2vfg0p90ceevvix0vryta0pf5v02atr" timestamp="1540943913"&gt;395&lt;/key&gt;&lt;/foreign-keys&gt;&lt;ref-type name="Journal Article"&gt;17&lt;/ref-type&gt;&lt;contributors&gt;&lt;authors&gt;&lt;author&gt;Rescorla, Robert A&lt;/author&gt;&lt;author&gt;Wagner, Allan R&lt;/author&gt;&lt;/authors&gt;&lt;/contributors&gt;&lt;titles&gt;&lt;title&gt;A theory of Pavlovian conditioning: Variations in the effectiveness of reinforcement and nonreinforcement&lt;/title&gt;&lt;secondary-title&gt;Classical conditioning II: Current research and theory&lt;/secondary-title&gt;&lt;/titles&gt;&lt;pages&gt;64-99&lt;/pages&gt;&lt;volume&gt;2&lt;/volume&gt;&lt;dates&gt;&lt;year&gt;1972&lt;/year&gt;&lt;/dates&gt;&lt;urls&gt;&lt;/urls&gt;&lt;/record&gt;&lt;/Cite&gt;&lt;/EndNote&gt;</w:instrText>
      </w:r>
      <w:r w:rsidRPr="00654124">
        <w:rPr>
          <w:rFonts w:ascii="Arial" w:hAnsi="Arial" w:cs="Arial"/>
          <w:sz w:val="24"/>
          <w:szCs w:val="24"/>
        </w:rPr>
        <w:fldChar w:fldCharType="separate"/>
      </w:r>
      <w:r w:rsidR="00654124">
        <w:rPr>
          <w:rFonts w:ascii="Arial" w:hAnsi="Arial" w:cs="Arial"/>
          <w:noProof/>
          <w:sz w:val="24"/>
          <w:szCs w:val="24"/>
        </w:rPr>
        <w:t>[5]</w:t>
      </w:r>
      <w:r w:rsidRPr="00654124">
        <w:rPr>
          <w:rFonts w:ascii="Arial" w:hAnsi="Arial" w:cs="Arial"/>
          <w:sz w:val="24"/>
          <w:szCs w:val="24"/>
        </w:rPr>
        <w:fldChar w:fldCharType="end"/>
      </w:r>
      <w:r w:rsidR="00F233F4" w:rsidRPr="00654124">
        <w:rPr>
          <w:rFonts w:ascii="Arial" w:hAnsi="Arial" w:cs="Arial"/>
          <w:sz w:val="24"/>
          <w:szCs w:val="24"/>
        </w:rPr>
        <w:t>.</w:t>
      </w:r>
      <w:r w:rsidRPr="00654124">
        <w:rPr>
          <w:rFonts w:ascii="Arial" w:hAnsi="Arial" w:cs="Arial"/>
          <w:sz w:val="24"/>
          <w:szCs w:val="24"/>
        </w:rPr>
        <w:t xml:space="preserve"> These effects are analogous to the actual predator’s learned preferences for specific prey: ready consumption of the beneficial </w:t>
      </w:r>
      <w:r w:rsidRPr="00654124">
        <w:rPr>
          <w:rFonts w:ascii="Arial" w:hAnsi="Arial" w:cs="Arial"/>
          <w:i/>
          <w:sz w:val="24"/>
          <w:szCs w:val="24"/>
        </w:rPr>
        <w:t>Hermissenda</w:t>
      </w:r>
      <w:r w:rsidRPr="00654124">
        <w:rPr>
          <w:rFonts w:ascii="Arial" w:hAnsi="Arial" w:cs="Arial"/>
          <w:sz w:val="24"/>
          <w:szCs w:val="24"/>
        </w:rPr>
        <w:t xml:space="preserve">, and the rejection and aversive learning for the noxious Flab </w:t>
      </w:r>
      <w:r w:rsidRPr="00654124">
        <w:rPr>
          <w:rFonts w:ascii="Arial" w:hAnsi="Arial" w:cs="Arial"/>
          <w:sz w:val="24"/>
          <w:szCs w:val="24"/>
        </w:rPr>
        <w:fldChar w:fldCharType="begin"/>
      </w:r>
      <w:r w:rsidR="00654124">
        <w:rPr>
          <w:rFonts w:ascii="Arial" w:hAnsi="Arial" w:cs="Arial"/>
          <w:sz w:val="24"/>
          <w:szCs w:val="24"/>
        </w:rPr>
        <w:instrText xml:space="preserve"> ADDIN EN.CITE &lt;EndNote&gt;&lt;Cite&gt;&lt;Author&gt;Noboa&lt;/Author&gt;&lt;Year&gt;2013&lt;/Year&gt;&lt;RecNum&gt;234&lt;/RecNum&gt;&lt;DisplayText&gt;[3]&lt;/DisplayText&gt;&lt;record&gt;&lt;rec-number&gt;234&lt;/rec-number&gt;&lt;foreign-keys&gt;&lt;key app="EN" db-id="dzzdr2vfg0p90ceevvix0vryta0pf5v02atr" timestamp="1510184852"&gt;234&lt;/key&gt;&lt;/foreign-keys&gt;&lt;ref-type name="Journal Article"&gt;17&lt;/ref-type&gt;&lt;contributors&gt;&lt;authors&gt;&lt;author&gt;Noboa, Vanessa&lt;/author&gt;&lt;author&gt;Gillette, Rhanor&lt;/author&gt;&lt;/authors&gt;&lt;/contributors&gt;&lt;titles&gt;&lt;title&gt;&lt;style face="normal" font="default" size="100%"&gt;Selective prey avoidance learning in the predatory sea slug &lt;/style&gt;&lt;style face="italic" font="default" size="100%"&gt;Pleurobranchaea californica&lt;/style&gt;&lt;/title&gt;&lt;secondary-title&gt;Journal of Experimental Biology&lt;/secondary-title&gt;&lt;/titles&gt;&lt;periodical&gt;&lt;full-title&gt;Journal of Experimental Biology&lt;/full-title&gt;&lt;abbr-1&gt;J. Exp. Biol.&lt;/abbr-1&gt;&lt;abbr-2&gt;J Exp Biol&lt;/abbr-2&gt;&lt;/periodical&gt;&lt;pages&gt;3231-3236&lt;/pages&gt;&lt;volume&gt;216&lt;/volume&gt;&lt;number&gt;17&lt;/number&gt;&lt;dates&gt;&lt;year&gt;2013&lt;/year&gt;&lt;/dates&gt;&lt;isbn&gt;0022-0949&lt;/isbn&gt;&lt;urls&gt;&lt;/urls&gt;&lt;/record&gt;&lt;/Cite&gt;&lt;/EndNote&gt;</w:instrText>
      </w:r>
      <w:r w:rsidRPr="00654124">
        <w:rPr>
          <w:rFonts w:ascii="Arial" w:hAnsi="Arial" w:cs="Arial"/>
          <w:sz w:val="24"/>
          <w:szCs w:val="24"/>
        </w:rPr>
        <w:fldChar w:fldCharType="separate"/>
      </w:r>
      <w:r w:rsidR="00654124">
        <w:rPr>
          <w:rFonts w:ascii="Arial" w:hAnsi="Arial" w:cs="Arial"/>
          <w:noProof/>
          <w:sz w:val="24"/>
          <w:szCs w:val="24"/>
        </w:rPr>
        <w:t>[3]</w:t>
      </w:r>
      <w:r w:rsidRPr="00654124">
        <w:rPr>
          <w:rFonts w:ascii="Arial" w:hAnsi="Arial" w:cs="Arial"/>
          <w:sz w:val="24"/>
          <w:szCs w:val="24"/>
        </w:rPr>
        <w:fldChar w:fldCharType="end"/>
      </w:r>
      <w:r w:rsidRPr="00654124">
        <w:rPr>
          <w:rFonts w:ascii="Arial" w:hAnsi="Arial" w:cs="Arial"/>
          <w:sz w:val="24"/>
          <w:szCs w:val="24"/>
        </w:rPr>
        <w:t xml:space="preserve">. Also present is </w:t>
      </w:r>
      <w:r w:rsidR="00F233F4" w:rsidRPr="00654124">
        <w:rPr>
          <w:rFonts w:ascii="Arial" w:hAnsi="Arial" w:cs="Arial"/>
          <w:sz w:val="24"/>
          <w:szCs w:val="24"/>
        </w:rPr>
        <w:t xml:space="preserve">the analog of an addictive Drug, </w:t>
      </w:r>
      <w:r w:rsidR="003610D0" w:rsidRPr="00654124">
        <w:rPr>
          <w:rFonts w:ascii="Arial" w:hAnsi="Arial" w:cs="Arial"/>
          <w:sz w:val="24"/>
          <w:szCs w:val="24"/>
        </w:rPr>
        <w:t xml:space="preserve">a high-reward item </w:t>
      </w:r>
      <w:r w:rsidR="00F233F4" w:rsidRPr="00654124">
        <w:rPr>
          <w:rFonts w:ascii="Arial" w:hAnsi="Arial" w:cs="Arial"/>
          <w:sz w:val="24"/>
          <w:szCs w:val="24"/>
        </w:rPr>
        <w:t xml:space="preserve">with its own sensory signature, which </w:t>
      </w:r>
      <w:r w:rsidR="003610D0" w:rsidRPr="00654124">
        <w:rPr>
          <w:rFonts w:ascii="Arial" w:hAnsi="Arial" w:cs="Arial"/>
          <w:sz w:val="24"/>
          <w:szCs w:val="24"/>
        </w:rPr>
        <w:t>provides no nutrition</w:t>
      </w:r>
      <w:r w:rsidRPr="00654124">
        <w:rPr>
          <w:rFonts w:ascii="Arial" w:hAnsi="Arial" w:cs="Arial"/>
          <w:sz w:val="24"/>
          <w:szCs w:val="24"/>
        </w:rPr>
        <w:t xml:space="preserve">. </w:t>
      </w:r>
      <w:r w:rsidR="00F233F4" w:rsidRPr="00654124">
        <w:rPr>
          <w:rFonts w:ascii="Arial" w:hAnsi="Arial" w:cs="Arial"/>
          <w:sz w:val="24"/>
          <w:szCs w:val="24"/>
        </w:rPr>
        <w:t>If</w:t>
      </w:r>
      <w:r w:rsidRPr="00654124">
        <w:rPr>
          <w:rFonts w:ascii="Arial" w:hAnsi="Arial" w:cs="Arial"/>
          <w:sz w:val="24"/>
          <w:szCs w:val="24"/>
        </w:rPr>
        <w:t xml:space="preserve"> prey nor Drug </w:t>
      </w:r>
      <w:r w:rsidR="00F233F4" w:rsidRPr="00654124">
        <w:rPr>
          <w:rFonts w:ascii="Arial" w:hAnsi="Arial" w:cs="Arial"/>
          <w:sz w:val="24"/>
          <w:szCs w:val="24"/>
        </w:rPr>
        <w:t xml:space="preserve">no longer </w:t>
      </w:r>
      <w:r w:rsidRPr="00654124">
        <w:rPr>
          <w:rFonts w:ascii="Arial" w:hAnsi="Arial" w:cs="Arial"/>
          <w:sz w:val="24"/>
          <w:szCs w:val="24"/>
        </w:rPr>
        <w:t>provide reward upon consumption, the corresponding learned association decreases in strength via an extinction mechanism of the Rescorla-Wagner algorithm, in which the received reward is set to zero.</w:t>
      </w:r>
    </w:p>
    <w:p w14:paraId="6CA931EA" w14:textId="77777777" w:rsidR="00E32B8E" w:rsidRPr="00654124" w:rsidRDefault="00E32B8E" w:rsidP="00967D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sz w:val="24"/>
          <w:szCs w:val="24"/>
        </w:rPr>
      </w:pPr>
    </w:p>
    <w:p w14:paraId="10D1ABD2" w14:textId="45C6BCC0" w:rsidR="00E32B8E" w:rsidRPr="00654124" w:rsidRDefault="00E32B8E" w:rsidP="00967D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b/>
          <w:sz w:val="24"/>
          <w:szCs w:val="24"/>
        </w:rPr>
      </w:pPr>
      <w:r w:rsidRPr="00654124">
        <w:rPr>
          <w:rFonts w:ascii="Arial" w:hAnsi="Arial" w:cs="Arial"/>
          <w:b/>
          <w:sz w:val="24"/>
          <w:szCs w:val="24"/>
        </w:rPr>
        <w:t>Appetitive State</w:t>
      </w:r>
    </w:p>
    <w:p w14:paraId="6D88898C" w14:textId="77A4FED1" w:rsidR="00992CD2" w:rsidRPr="00654124" w:rsidRDefault="00992CD2" w:rsidP="00E32B8E">
      <w:pPr>
        <w:rPr>
          <w:rFonts w:ascii="Arial" w:hAnsi="Arial" w:cs="Arial"/>
          <w:color w:val="000000" w:themeColor="text1"/>
          <w:sz w:val="24"/>
          <w:szCs w:val="24"/>
        </w:rPr>
      </w:pPr>
      <w:r w:rsidRPr="00654124">
        <w:rPr>
          <w:rFonts w:ascii="Arial" w:hAnsi="Arial" w:cs="Arial"/>
          <w:color w:val="000000" w:themeColor="text1"/>
          <w:sz w:val="24"/>
          <w:szCs w:val="24"/>
        </w:rPr>
        <w:t xml:space="preserve">The core of the AIMOV forager model, appetitive state, controls the choice of an approach or avoidance turn, </w:t>
      </w:r>
      <w:r w:rsidR="001548DC" w:rsidRPr="00654124">
        <w:rPr>
          <w:rFonts w:ascii="Arial" w:hAnsi="Arial" w:cs="Arial"/>
          <w:color w:val="000000" w:themeColor="text1"/>
          <w:sz w:val="24"/>
          <w:szCs w:val="24"/>
        </w:rPr>
        <w:t>and</w:t>
      </w:r>
      <w:r w:rsidRPr="00654124">
        <w:rPr>
          <w:rFonts w:ascii="Arial" w:hAnsi="Arial" w:cs="Arial"/>
          <w:color w:val="000000" w:themeColor="text1"/>
          <w:sz w:val="24"/>
          <w:szCs w:val="24"/>
        </w:rPr>
        <w:t xml:space="preserve"> is a final integration of an animal’s motivational state with stimulus incentive and pain. Motivational state itself is taken as a composite of satiation, a function of nutrition, and feedback from reward experience. </w:t>
      </w:r>
      <w:r w:rsidR="00E32B8E" w:rsidRPr="00654124">
        <w:rPr>
          <w:rFonts w:ascii="Arial" w:hAnsi="Arial" w:cs="Arial"/>
          <w:color w:val="000000" w:themeColor="text1"/>
          <w:sz w:val="24"/>
          <w:szCs w:val="24"/>
        </w:rPr>
        <w:t xml:space="preserve">By default, when appetitive state is low, the response to stimuli is avoidance, as in actual </w:t>
      </w:r>
      <w:r w:rsidR="00E32B8E" w:rsidRPr="00654124">
        <w:rPr>
          <w:rFonts w:ascii="Arial" w:hAnsi="Arial" w:cs="Arial"/>
          <w:i/>
          <w:color w:val="000000" w:themeColor="text1"/>
          <w:sz w:val="24"/>
          <w:szCs w:val="24"/>
        </w:rPr>
        <w:t>Pleurobranchaea</w:t>
      </w:r>
      <w:r w:rsidR="00E32B8E" w:rsidRPr="00654124">
        <w:rPr>
          <w:rFonts w:ascii="Arial" w:hAnsi="Arial" w:cs="Arial"/>
          <w:color w:val="000000" w:themeColor="text1"/>
          <w:sz w:val="24"/>
          <w:szCs w:val="24"/>
        </w:rPr>
        <w:t xml:space="preserve"> </w:t>
      </w:r>
      <w:r w:rsidR="00E32B8E" w:rsidRPr="00654124">
        <w:rPr>
          <w:rFonts w:ascii="Arial" w:hAnsi="Arial" w:cs="Arial"/>
          <w:color w:val="000000" w:themeColor="text1"/>
          <w:sz w:val="24"/>
          <w:szCs w:val="24"/>
        </w:rPr>
        <w:fldChar w:fldCharType="begin"/>
      </w:r>
      <w:r w:rsidR="00654124">
        <w:rPr>
          <w:rFonts w:ascii="Arial" w:hAnsi="Arial" w:cs="Arial"/>
          <w:color w:val="000000" w:themeColor="text1"/>
          <w:sz w:val="24"/>
          <w:szCs w:val="24"/>
        </w:rPr>
        <w:instrText xml:space="preserve"> ADDIN EN.CITE &lt;EndNote&gt;&lt;Cite&gt;&lt;Author&gt;Gillette&lt;/Author&gt;&lt;Year&gt;2000&lt;/Year&gt;&lt;RecNum&gt;233&lt;/RecNum&gt;&lt;DisplayText&gt;[4]&lt;/DisplayText&gt;&lt;record&gt;&lt;rec-number&gt;233&lt;/rec-number&gt;&lt;foreign-keys&gt;&lt;key app="EN" db-id="dzzdr2vfg0p90ceevvix0vryta0pf5v02atr" timestamp="1510184830"&gt;233&lt;/key&gt;&lt;/foreign-keys&gt;&lt;ref-type name="Journal Article"&gt;17&lt;/ref-type&gt;&lt;contributors&gt;&lt;authors&gt;&lt;author&gt;Gillette, Rhanor&lt;/author&gt;&lt;author&gt;Huang, Rong-Chi&lt;/author&gt;&lt;author&gt;Hatcher, Nathan&lt;/author&gt;&lt;author&gt;Moroz, Leonid L&lt;/author&gt;&lt;/authors&gt;&lt;/contributors&gt;&lt;titles&gt;&lt;title&gt;Cost-benefit analysis potential in feeding behavior of a predatory snail by integration of hunger, taste, and pain&lt;/title&gt;&lt;secondary-title&gt;Proceedings of the National Academy of Sciences&lt;/secondary-title&gt;&lt;/titles&gt;&lt;periodical&gt;&lt;full-title&gt;Proceedings of the National Academy of Sciences&lt;/full-title&gt;&lt;abbr-1&gt;Proc. Nat. Acad. Sci. USA&lt;/abbr-1&gt;&lt;/periodical&gt;&lt;pages&gt;3585-3590&lt;/pages&gt;&lt;volume&gt;97&lt;/volume&gt;&lt;number&gt;7&lt;/number&gt;&lt;dates&gt;&lt;year&gt;2000&lt;/year&gt;&lt;/dates&gt;&lt;isbn&gt;0027-8424&lt;/isbn&gt;&lt;urls&gt;&lt;/urls&gt;&lt;/record&gt;&lt;/Cite&gt;&lt;/EndNote&gt;</w:instrText>
      </w:r>
      <w:r w:rsidR="00E32B8E" w:rsidRPr="00654124">
        <w:rPr>
          <w:rFonts w:ascii="Arial" w:hAnsi="Arial" w:cs="Arial"/>
          <w:color w:val="000000" w:themeColor="text1"/>
          <w:sz w:val="24"/>
          <w:szCs w:val="24"/>
        </w:rPr>
        <w:fldChar w:fldCharType="separate"/>
      </w:r>
      <w:r w:rsidR="00654124">
        <w:rPr>
          <w:rFonts w:ascii="Arial" w:hAnsi="Arial" w:cs="Arial"/>
          <w:noProof/>
          <w:color w:val="000000" w:themeColor="text1"/>
          <w:sz w:val="24"/>
          <w:szCs w:val="24"/>
        </w:rPr>
        <w:t>[4]</w:t>
      </w:r>
      <w:r w:rsidR="00E32B8E" w:rsidRPr="00654124">
        <w:rPr>
          <w:rFonts w:ascii="Arial" w:hAnsi="Arial" w:cs="Arial"/>
          <w:color w:val="000000" w:themeColor="text1"/>
          <w:sz w:val="24"/>
          <w:szCs w:val="24"/>
        </w:rPr>
        <w:fldChar w:fldCharType="end"/>
      </w:r>
      <w:r w:rsidR="00E32B8E" w:rsidRPr="00654124">
        <w:rPr>
          <w:rFonts w:ascii="Arial" w:hAnsi="Arial" w:cs="Arial"/>
          <w:color w:val="000000" w:themeColor="text1"/>
          <w:sz w:val="24"/>
          <w:szCs w:val="24"/>
        </w:rPr>
        <w:t xml:space="preserve">. Increasing appetitive state inverts the turn response direction to one of approach. Thus, appetitive state determines sensory thresholds for the approach turn toward prey and subsequent feeding responses. When high enough, corollary outputs from the feeding network switch the excitatory sensory input of the stimulus from one side of the turn network to the other, resulting in a turn towards the stimulus. </w:t>
      </w:r>
      <w:r w:rsidRPr="00654124">
        <w:rPr>
          <w:rFonts w:ascii="Arial" w:hAnsi="Arial" w:cs="Arial"/>
          <w:color w:val="000000" w:themeColor="text1"/>
          <w:sz w:val="24"/>
          <w:szCs w:val="24"/>
        </w:rPr>
        <w:t>Appetitive State is expressed as:</w:t>
      </w:r>
    </w:p>
    <w:p w14:paraId="6D6D9A58" w14:textId="7ECFF478" w:rsidR="00967D2F" w:rsidRPr="00654124" w:rsidRDefault="00967D2F" w:rsidP="00967D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color w:val="000000" w:themeColor="text1"/>
          <w:sz w:val="24"/>
          <w:szCs w:val="24"/>
        </w:rPr>
      </w:pPr>
      <w:r w:rsidRPr="00654124">
        <w:rPr>
          <w:rFonts w:ascii="Arial" w:hAnsi="Arial" w:cs="Arial"/>
          <w:color w:val="000000" w:themeColor="text1"/>
          <w:position w:val="-26"/>
          <w:sz w:val="28"/>
          <w:szCs w:val="24"/>
        </w:rPr>
        <w:object w:dxaOrig="4900" w:dyaOrig="639" w14:anchorId="3AC0A9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4pt;height:36pt" o:ole="">
            <v:imagedata r:id="rId6" o:title=""/>
          </v:shape>
          <o:OLEObject Type="Embed" ProgID="Equation.DSMT4" ShapeID="_x0000_i1025" DrawAspect="Content" ObjectID="_1649229550" r:id="rId7"/>
        </w:object>
      </w:r>
      <w:proofErr w:type="gramStart"/>
      <w:r w:rsidRPr="00654124">
        <w:rPr>
          <w:rFonts w:ascii="Arial" w:hAnsi="Arial" w:cs="Arial"/>
          <w:color w:val="000000" w:themeColor="text1"/>
          <w:sz w:val="28"/>
          <w:szCs w:val="24"/>
        </w:rPr>
        <w:t>,</w:t>
      </w:r>
      <w:r w:rsidRPr="00654124">
        <w:rPr>
          <w:rFonts w:ascii="Arial" w:hAnsi="Arial" w:cs="Arial"/>
        </w:rPr>
        <w:t xml:space="preserve">   </w:t>
      </w:r>
      <w:proofErr w:type="gramEnd"/>
      <w:r w:rsidRPr="00654124">
        <w:rPr>
          <w:rFonts w:ascii="Arial" w:hAnsi="Arial" w:cs="Arial"/>
        </w:rPr>
        <w:t xml:space="preserve">      </w:t>
      </w:r>
      <w:r w:rsidRPr="00654124">
        <w:rPr>
          <w:rFonts w:ascii="Arial" w:hAnsi="Arial" w:cs="Arial"/>
        </w:rPr>
        <w:tab/>
      </w:r>
      <w:r w:rsidRPr="00654124">
        <w:rPr>
          <w:rFonts w:ascii="Arial" w:hAnsi="Arial" w:cs="Arial"/>
        </w:rPr>
        <w:tab/>
      </w:r>
      <w:r w:rsidRPr="00654124">
        <w:rPr>
          <w:rFonts w:ascii="Arial" w:hAnsi="Arial" w:cs="Arial"/>
        </w:rPr>
        <w:tab/>
      </w:r>
      <w:r w:rsidRPr="00654124">
        <w:rPr>
          <w:rFonts w:ascii="Arial" w:hAnsi="Arial" w:cs="Arial"/>
        </w:rPr>
        <w:tab/>
        <w:t xml:space="preserve">       </w:t>
      </w:r>
      <w:r w:rsidRPr="00654124">
        <w:rPr>
          <w:rFonts w:ascii="Arial" w:hAnsi="Arial" w:cs="Arial"/>
          <w:color w:val="000000" w:themeColor="text1"/>
          <w:sz w:val="24"/>
          <w:szCs w:val="24"/>
        </w:rPr>
        <w:t>(1.1)</w:t>
      </w:r>
    </w:p>
    <w:p w14:paraId="0276B8D9" w14:textId="77777777" w:rsidR="00130F39" w:rsidRPr="00654124" w:rsidRDefault="00130F39" w:rsidP="00967D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color w:val="000000" w:themeColor="text1"/>
          <w:sz w:val="28"/>
          <w:szCs w:val="24"/>
        </w:rPr>
      </w:pPr>
      <w:bookmarkStart w:id="3" w:name="MTBlankEqn"/>
    </w:p>
    <w:p w14:paraId="0EB3CEFC" w14:textId="343E59AA" w:rsidR="00967D2F" w:rsidRPr="00654124" w:rsidRDefault="00130F39" w:rsidP="00967D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color w:val="000000" w:themeColor="text1"/>
          <w:sz w:val="24"/>
          <w:szCs w:val="24"/>
        </w:rPr>
      </w:pPr>
      <w:r w:rsidRPr="00654124">
        <w:rPr>
          <w:rFonts w:ascii="Arial" w:hAnsi="Arial" w:cs="Arial"/>
          <w:position w:val="-12"/>
        </w:rPr>
        <w:object w:dxaOrig="8120" w:dyaOrig="360" w14:anchorId="0C281040">
          <v:shape id="_x0000_i1026" type="#_x0000_t75" style="width:424.8pt;height:17.4pt" o:ole="">
            <v:imagedata r:id="rId8" o:title=""/>
          </v:shape>
          <o:OLEObject Type="Embed" ProgID="Equation.DSMT4" ShapeID="_x0000_i1026" DrawAspect="Content" ObjectID="_1649229551" r:id="rId9"/>
        </w:object>
      </w:r>
      <w:bookmarkEnd w:id="3"/>
      <w:proofErr w:type="gramStart"/>
      <w:r w:rsidR="00967D2F" w:rsidRPr="00654124">
        <w:rPr>
          <w:rFonts w:ascii="Arial" w:hAnsi="Arial" w:cs="Arial"/>
        </w:rPr>
        <w:t xml:space="preserve">,   </w:t>
      </w:r>
      <w:proofErr w:type="gramEnd"/>
      <w:r w:rsidR="00967D2F" w:rsidRPr="00654124">
        <w:rPr>
          <w:rFonts w:ascii="Arial" w:hAnsi="Arial" w:cs="Arial"/>
        </w:rPr>
        <w:t xml:space="preserve">  (</w:t>
      </w:r>
      <w:r w:rsidR="00967D2F" w:rsidRPr="00654124">
        <w:rPr>
          <w:rFonts w:ascii="Arial" w:hAnsi="Arial" w:cs="Arial"/>
          <w:color w:val="000000" w:themeColor="text1"/>
          <w:sz w:val="24"/>
          <w:szCs w:val="24"/>
        </w:rPr>
        <w:t>1.2)</w:t>
      </w:r>
    </w:p>
    <w:p w14:paraId="762A5288" w14:textId="04AF055D" w:rsidR="00967D2F" w:rsidRPr="00654124" w:rsidRDefault="00967D2F" w:rsidP="00967D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color w:val="000000" w:themeColor="text1"/>
          <w:sz w:val="24"/>
          <w:szCs w:val="24"/>
        </w:rPr>
      </w:pPr>
      <w:r w:rsidRPr="00654124">
        <w:rPr>
          <w:rFonts w:ascii="Arial" w:hAnsi="Arial" w:cs="Arial"/>
          <w:color w:val="000000" w:themeColor="text1"/>
          <w:sz w:val="24"/>
          <w:szCs w:val="24"/>
        </w:rPr>
        <w:t xml:space="preserve"> </w:t>
      </w:r>
      <w:r w:rsidRPr="00654124">
        <w:rPr>
          <w:rFonts w:ascii="Arial" w:hAnsi="Arial" w:cs="Arial"/>
          <w:color w:val="000000" w:themeColor="text1"/>
          <w:position w:val="-28"/>
          <w:sz w:val="28"/>
          <w:szCs w:val="24"/>
        </w:rPr>
        <w:object w:dxaOrig="3820" w:dyaOrig="660" w14:anchorId="7804315A">
          <v:shape id="_x0000_i1027" type="#_x0000_t75" style="width:222.6pt;height:36.6pt" o:ole="">
            <v:imagedata r:id="rId10" o:title=""/>
          </v:shape>
          <o:OLEObject Type="Embed" ProgID="Equation.DSMT4" ShapeID="_x0000_i1027" DrawAspect="Content" ObjectID="_1649229552" r:id="rId11"/>
        </w:object>
      </w:r>
      <w:r w:rsidRPr="00654124">
        <w:rPr>
          <w:rFonts w:ascii="Arial" w:hAnsi="Arial" w:cs="Arial"/>
          <w:color w:val="000000" w:themeColor="text1"/>
          <w:sz w:val="24"/>
          <w:szCs w:val="24"/>
        </w:rPr>
        <w:t xml:space="preserve"> ,</w:t>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t xml:space="preserve">   </w:t>
      </w:r>
      <w:proofErr w:type="gramStart"/>
      <w:r w:rsidRPr="00654124">
        <w:rPr>
          <w:rFonts w:ascii="Arial" w:hAnsi="Arial" w:cs="Arial"/>
          <w:color w:val="000000" w:themeColor="text1"/>
          <w:sz w:val="24"/>
          <w:szCs w:val="24"/>
        </w:rPr>
        <w:t xml:space="preserve">   (</w:t>
      </w:r>
      <w:proofErr w:type="gramEnd"/>
      <w:r w:rsidRPr="00654124">
        <w:rPr>
          <w:rFonts w:ascii="Arial" w:hAnsi="Arial" w:cs="Arial"/>
          <w:color w:val="000000" w:themeColor="text1"/>
          <w:sz w:val="24"/>
          <w:szCs w:val="24"/>
        </w:rPr>
        <w:t xml:space="preserve">1.3)      </w:t>
      </w:r>
    </w:p>
    <w:p w14:paraId="723546F1" w14:textId="77777777" w:rsidR="00E32B8E" w:rsidRPr="00654124" w:rsidRDefault="00967D2F" w:rsidP="00E32B8E">
      <w:pPr>
        <w:rPr>
          <w:rFonts w:ascii="Arial" w:hAnsi="Arial" w:cs="Arial"/>
          <w:color w:val="000000" w:themeColor="text1"/>
          <w:sz w:val="24"/>
          <w:szCs w:val="24"/>
        </w:rPr>
      </w:pPr>
      <w:r w:rsidRPr="00654124">
        <w:rPr>
          <w:rFonts w:ascii="Arial" w:hAnsi="Arial" w:cs="Arial"/>
          <w:color w:val="000000" w:themeColor="text1"/>
          <w:sz w:val="24"/>
          <w:szCs w:val="24"/>
        </w:rPr>
        <w:t>where c</w:t>
      </w:r>
      <w:r w:rsidRPr="00654124">
        <w:rPr>
          <w:rFonts w:ascii="Arial" w:hAnsi="Arial" w:cs="Arial"/>
          <w:color w:val="000000" w:themeColor="text1"/>
          <w:sz w:val="24"/>
          <w:szCs w:val="24"/>
          <w:vertAlign w:val="subscript"/>
        </w:rPr>
        <w:t>1</w:t>
      </w:r>
      <w:r w:rsidRPr="00654124">
        <w:rPr>
          <w:rFonts w:ascii="Arial" w:hAnsi="Arial" w:cs="Arial"/>
          <w:color w:val="000000" w:themeColor="text1"/>
          <w:sz w:val="24"/>
          <w:szCs w:val="24"/>
        </w:rPr>
        <w:t>, c</w:t>
      </w:r>
      <w:r w:rsidRPr="00654124">
        <w:rPr>
          <w:rFonts w:ascii="Arial" w:hAnsi="Arial" w:cs="Arial"/>
          <w:color w:val="000000" w:themeColor="text1"/>
          <w:sz w:val="24"/>
          <w:szCs w:val="24"/>
          <w:vertAlign w:val="subscript"/>
        </w:rPr>
        <w:t>2</w:t>
      </w:r>
      <w:r w:rsidRPr="00654124">
        <w:rPr>
          <w:rFonts w:ascii="Arial" w:hAnsi="Arial" w:cs="Arial"/>
          <w:color w:val="000000" w:themeColor="text1"/>
          <w:sz w:val="24"/>
          <w:szCs w:val="24"/>
        </w:rPr>
        <w:t>, …, c</w:t>
      </w:r>
      <w:r w:rsidRPr="00654124">
        <w:rPr>
          <w:rFonts w:ascii="Arial" w:hAnsi="Arial" w:cs="Arial"/>
          <w:color w:val="000000" w:themeColor="text1"/>
          <w:sz w:val="24"/>
          <w:szCs w:val="24"/>
          <w:vertAlign w:val="subscript"/>
        </w:rPr>
        <w:t>6</w:t>
      </w:r>
      <w:r w:rsidRPr="00654124">
        <w:rPr>
          <w:rFonts w:ascii="Arial" w:hAnsi="Arial" w:cs="Arial"/>
          <w:color w:val="000000" w:themeColor="text1"/>
          <w:sz w:val="24"/>
          <w:szCs w:val="24"/>
        </w:rPr>
        <w:t xml:space="preserve"> are constants available in the code. AppStateSwitch acts as a threshold-based switch between avoidance and approach turning behavior, with (AppStateSwitch - 1) causing a transient suppression of AppState during avoidance turns. </w:t>
      </w:r>
      <w:bookmarkStart w:id="4" w:name="_Hlk529823845"/>
    </w:p>
    <w:p w14:paraId="00DCBC59" w14:textId="7A99C91F" w:rsidR="00E32B8E" w:rsidRPr="00654124" w:rsidRDefault="00E32B8E" w:rsidP="00E32B8E">
      <w:pPr>
        <w:rPr>
          <w:rFonts w:ascii="Arial" w:hAnsi="Arial" w:cs="Arial"/>
          <w:color w:val="000000" w:themeColor="text1"/>
          <w:sz w:val="24"/>
          <w:szCs w:val="24"/>
        </w:rPr>
      </w:pPr>
      <w:r w:rsidRPr="00654124">
        <w:rPr>
          <w:rFonts w:ascii="Arial" w:hAnsi="Arial" w:cs="Arial"/>
          <w:color w:val="000000" w:themeColor="text1"/>
          <w:sz w:val="24"/>
          <w:szCs w:val="24"/>
        </w:rPr>
        <w:t xml:space="preserve">Incentive mixes intrinsic positive and negative properties of stimuli to integrate with memories of previous reward. In absence of incentivized sensory input or pain input, appetitive state is simply the basal motivational state, which in feeding behavior is based on integrating satiation, pain, and reward experience feedback. With addition of incentive, appetitive state becomes equivalent to “incentive salience” as defined in mammals </w:t>
      </w:r>
      <w:r w:rsidRPr="00654124">
        <w:rPr>
          <w:rFonts w:ascii="Arial" w:hAnsi="Arial" w:cs="Arial"/>
          <w:color w:val="000000" w:themeColor="text1"/>
          <w:sz w:val="24"/>
          <w:szCs w:val="24"/>
        </w:rPr>
        <w:fldChar w:fldCharType="begin"/>
      </w:r>
      <w:r w:rsidR="00654124">
        <w:rPr>
          <w:rFonts w:ascii="Arial" w:hAnsi="Arial" w:cs="Arial"/>
          <w:color w:val="000000" w:themeColor="text1"/>
          <w:sz w:val="24"/>
          <w:szCs w:val="24"/>
        </w:rPr>
        <w:instrText xml:space="preserve"> ADDIN EN.CITE &lt;EndNote&gt;&lt;Cite&gt;&lt;Author&gt;Berridge&lt;/Author&gt;&lt;Year&gt;2016&lt;/Year&gt;&lt;RecNum&gt;280&lt;/RecNum&gt;&lt;DisplayText&gt;[6]&lt;/DisplayText&gt;&lt;record&gt;&lt;rec-number&gt;280&lt;/rec-number&gt;&lt;foreign-keys&gt;&lt;key app="EN" db-id="dzzdr2vfg0p90ceevvix0vryta0pf5v02atr" timestamp="1528654609"&gt;280&lt;/key&gt;&lt;/foreign-keys&gt;&lt;ref-type name="Journal Article"&gt;17&lt;/ref-type&gt;&lt;contributors&gt;&lt;authors&gt;&lt;author&gt;Berridge, Kent C&lt;/author&gt;&lt;author&gt;Robinson, Terry E&lt;/author&gt;&lt;/authors&gt;&lt;/contributors&gt;&lt;titles&gt;&lt;title&gt;Liking, wanting, and the incentive-sensitization theory of addiction&lt;/title&gt;&lt;secondary-title&gt;American Psychologist&lt;/secondary-title&gt;&lt;/titles&gt;&lt;periodical&gt;&lt;full-title&gt;American Psychologist&lt;/full-title&gt;&lt;abbr-1&gt;Am. Psychol.&lt;/abbr-1&gt;&lt;abbr-2&gt;Am Psychol&lt;/abbr-2&gt;&lt;/periodical&gt;&lt;pages&gt;670&lt;/pages&gt;&lt;volume&gt;71&lt;/volume&gt;&lt;number&gt;8&lt;/number&gt;&lt;dates&gt;&lt;year&gt;2016&lt;/year&gt;&lt;/dates&gt;&lt;isbn&gt;1935-990X&lt;/isbn&gt;&lt;urls&gt;&lt;/urls&gt;&lt;/record&gt;&lt;/Cite&gt;&lt;/EndNote&gt;</w:instrText>
      </w:r>
      <w:r w:rsidRPr="00654124">
        <w:rPr>
          <w:rFonts w:ascii="Arial" w:hAnsi="Arial" w:cs="Arial"/>
          <w:color w:val="000000" w:themeColor="text1"/>
          <w:sz w:val="24"/>
          <w:szCs w:val="24"/>
        </w:rPr>
        <w:fldChar w:fldCharType="separate"/>
      </w:r>
      <w:r w:rsidR="00654124">
        <w:rPr>
          <w:rFonts w:ascii="Arial" w:hAnsi="Arial" w:cs="Arial"/>
          <w:noProof/>
          <w:color w:val="000000" w:themeColor="text1"/>
          <w:sz w:val="24"/>
          <w:szCs w:val="24"/>
        </w:rPr>
        <w:t>[6]</w:t>
      </w:r>
      <w:r w:rsidRPr="00654124">
        <w:rPr>
          <w:rFonts w:ascii="Arial" w:hAnsi="Arial" w:cs="Arial"/>
          <w:color w:val="000000" w:themeColor="text1"/>
          <w:sz w:val="24"/>
          <w:szCs w:val="24"/>
        </w:rPr>
        <w:fldChar w:fldCharType="end"/>
      </w:r>
      <w:r w:rsidRPr="00654124">
        <w:rPr>
          <w:rFonts w:ascii="Arial" w:hAnsi="Arial" w:cs="Arial"/>
          <w:color w:val="000000" w:themeColor="text1"/>
          <w:sz w:val="24"/>
          <w:szCs w:val="24"/>
        </w:rPr>
        <w:t xml:space="preserve">. </w:t>
      </w:r>
    </w:p>
    <w:p w14:paraId="1EE966F2" w14:textId="00EF8C0F" w:rsidR="00E32B8E" w:rsidRPr="00654124" w:rsidRDefault="00E32B8E" w:rsidP="00E32B8E">
      <w:pPr>
        <w:rPr>
          <w:rFonts w:ascii="Arial" w:hAnsi="Arial" w:cs="Arial"/>
          <w:color w:val="000000" w:themeColor="text1"/>
          <w:sz w:val="24"/>
          <w:szCs w:val="24"/>
        </w:rPr>
      </w:pPr>
      <w:r w:rsidRPr="00654124">
        <w:rPr>
          <w:rFonts w:ascii="Arial" w:hAnsi="Arial" w:cs="Arial"/>
          <w:color w:val="000000" w:themeColor="text1"/>
          <w:sz w:val="24"/>
          <w:szCs w:val="24"/>
        </w:rPr>
        <w:t xml:space="preserve">Satiation determines the baseline excitation state of the feeding network. At very low satiation, appetitive state is high, resulting in an approach turn towards any odor, even if novel. Sensory inputs integrate with memory into incentive. Incentive sums with satiation in the feeding network to either increase or decrease appetitive state. </w:t>
      </w:r>
    </w:p>
    <w:p w14:paraId="7389DC1C" w14:textId="447B7824" w:rsidR="00DF0C19" w:rsidRPr="00654124" w:rsidRDefault="00130F39" w:rsidP="00130F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color w:val="000000" w:themeColor="text1"/>
          <w:sz w:val="24"/>
          <w:szCs w:val="24"/>
        </w:rPr>
      </w:pPr>
      <w:r w:rsidRPr="00654124">
        <w:rPr>
          <w:rFonts w:ascii="Arial" w:hAnsi="Arial" w:cs="Arial"/>
          <w:color w:val="000000" w:themeColor="text1"/>
          <w:sz w:val="24"/>
          <w:szCs w:val="24"/>
        </w:rPr>
        <w:t xml:space="preserve">ASIMOV extends the original model of approach-avoidance decision </w:t>
      </w:r>
      <w:r w:rsidRPr="00654124">
        <w:rPr>
          <w:rFonts w:ascii="Arial" w:hAnsi="Arial" w:cs="Arial"/>
          <w:color w:val="000000" w:themeColor="text1"/>
          <w:sz w:val="24"/>
          <w:szCs w:val="24"/>
        </w:rPr>
        <w:fldChar w:fldCharType="begin"/>
      </w:r>
      <w:r w:rsidR="00654124">
        <w:rPr>
          <w:rFonts w:ascii="Arial" w:hAnsi="Arial" w:cs="Arial"/>
          <w:color w:val="000000" w:themeColor="text1"/>
          <w:sz w:val="24"/>
          <w:szCs w:val="24"/>
        </w:rPr>
        <w:instrText xml:space="preserve"> ADDIN EN.CITE &lt;EndNote&gt;&lt;Cite&gt;&lt;Author&gt;Brown&lt;/Author&gt;&lt;Year&gt;2018&lt;/Year&gt;&lt;RecNum&gt;281&lt;/RecNum&gt;&lt;DisplayText&gt;[1]&lt;/DisplayText&gt;&lt;record&gt;&lt;rec-number&gt;281&lt;/rec-number&gt;&lt;foreign-keys&gt;&lt;key app="EN" db-id="dzzdr2vfg0p90ceevvix0vryta0pf5v02atr" timestamp="1528654633"&gt;281&lt;/key&gt;&lt;/foreign-keys&gt;&lt;ref-type name="Journal Article"&gt;17&lt;/ref-type&gt;&lt;contributors&gt;&lt;authors&gt;&lt;author&gt;Brown, Jeffrey W&lt;/author&gt;&lt;author&gt;Caetano-Anollés, Derek&lt;/author&gt;&lt;author&gt;Catanho, Marianne&lt;/author&gt;&lt;author&gt;Gribkova, Ekaterina&lt;/author&gt;&lt;author&gt;Ryckman, Nathaniel&lt;/author&gt;&lt;author&gt;Tian, Kun&lt;/author&gt;&lt;author&gt;Voloshin, Mikhail&lt;/author&gt;&lt;author&gt;Gillette, Rhanor&lt;/author&gt;&lt;/authors&gt;&lt;/contributors&gt;&lt;titles&gt;&lt;title&gt;Implementing Goal-Directed Foraging Decisions of a Simpler Nervous System in Simulation&lt;/title&gt;&lt;secondary-title&gt;eNeuro&lt;/secondary-title&gt;&lt;/titles&gt;&lt;pages&gt;ENEURO. 0400-17.2018&lt;/pages&gt;&lt;volume&gt;5&lt;/volume&gt;&lt;number&gt;1&lt;/number&gt;&lt;dates&gt;&lt;year&gt;2018&lt;/year&gt;&lt;/dates&gt;&lt;isbn&gt;2373-2822&lt;/isbn&gt;&lt;urls&gt;&lt;/urls&gt;&lt;/record&gt;&lt;/Cite&gt;&lt;/EndNote&gt;</w:instrText>
      </w:r>
      <w:r w:rsidRPr="00654124">
        <w:rPr>
          <w:rFonts w:ascii="Arial" w:hAnsi="Arial" w:cs="Arial"/>
          <w:color w:val="000000" w:themeColor="text1"/>
          <w:sz w:val="24"/>
          <w:szCs w:val="24"/>
        </w:rPr>
        <w:fldChar w:fldCharType="separate"/>
      </w:r>
      <w:r w:rsidR="00654124">
        <w:rPr>
          <w:rFonts w:ascii="Arial" w:hAnsi="Arial" w:cs="Arial"/>
          <w:noProof/>
          <w:color w:val="000000" w:themeColor="text1"/>
          <w:sz w:val="24"/>
          <w:szCs w:val="24"/>
        </w:rPr>
        <w:t>[1]</w:t>
      </w:r>
      <w:r w:rsidRPr="00654124">
        <w:rPr>
          <w:rFonts w:ascii="Arial" w:hAnsi="Arial" w:cs="Arial"/>
          <w:color w:val="000000" w:themeColor="text1"/>
          <w:sz w:val="24"/>
          <w:szCs w:val="24"/>
        </w:rPr>
        <w:fldChar w:fldCharType="end"/>
      </w:r>
      <w:r w:rsidRPr="00654124" w:rsidDel="00D12C54">
        <w:rPr>
          <w:rFonts w:ascii="Arial" w:hAnsi="Arial" w:cs="Arial"/>
          <w:color w:val="000000" w:themeColor="text1"/>
          <w:sz w:val="24"/>
          <w:szCs w:val="24"/>
        </w:rPr>
        <w:t xml:space="preserve"> </w:t>
      </w:r>
      <w:r w:rsidRPr="00654124">
        <w:rPr>
          <w:rFonts w:ascii="Arial" w:hAnsi="Arial" w:cs="Arial"/>
          <w:color w:val="000000" w:themeColor="text1"/>
          <w:sz w:val="24"/>
          <w:szCs w:val="24"/>
        </w:rPr>
        <w:t xml:space="preserve">by adding reward experience (Eq. 2.1), </w:t>
      </w:r>
      <w:r w:rsidR="00E32B8E" w:rsidRPr="00654124">
        <w:rPr>
          <w:rFonts w:ascii="Arial" w:hAnsi="Arial" w:cs="Arial"/>
          <w:color w:val="000000" w:themeColor="text1"/>
          <w:sz w:val="24"/>
          <w:szCs w:val="24"/>
        </w:rPr>
        <w:t xml:space="preserve">explicit pain sensation, </w:t>
      </w:r>
      <w:r w:rsidRPr="00654124">
        <w:rPr>
          <w:rFonts w:ascii="Arial" w:hAnsi="Arial" w:cs="Arial"/>
          <w:color w:val="000000" w:themeColor="text1"/>
          <w:sz w:val="24"/>
          <w:szCs w:val="24"/>
        </w:rPr>
        <w:t xml:space="preserve">and reciprocal inhibition between them via the PainSwitch variable. </w:t>
      </w:r>
    </w:p>
    <w:p w14:paraId="0066615B" w14:textId="77777777" w:rsidR="00862390" w:rsidRPr="00654124" w:rsidRDefault="00862390" w:rsidP="00130F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color w:val="000000" w:themeColor="text1"/>
          <w:sz w:val="24"/>
          <w:szCs w:val="24"/>
        </w:rPr>
      </w:pPr>
    </w:p>
    <w:p w14:paraId="6321BCE3" w14:textId="1D0A5845" w:rsidR="00E32B8E" w:rsidRPr="00654124" w:rsidRDefault="00E32B8E" w:rsidP="00130F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b/>
          <w:color w:val="000000" w:themeColor="text1"/>
          <w:sz w:val="24"/>
          <w:szCs w:val="24"/>
        </w:rPr>
      </w:pPr>
      <w:r w:rsidRPr="00654124">
        <w:rPr>
          <w:rFonts w:ascii="Arial" w:hAnsi="Arial" w:cs="Arial"/>
          <w:b/>
          <w:color w:val="000000" w:themeColor="text1"/>
          <w:sz w:val="24"/>
          <w:szCs w:val="24"/>
        </w:rPr>
        <w:t>Reward Experience</w:t>
      </w:r>
    </w:p>
    <w:p w14:paraId="049FFE0C" w14:textId="36220039" w:rsidR="00130F39" w:rsidRPr="00654124" w:rsidRDefault="00130F39" w:rsidP="00130F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color w:val="000000" w:themeColor="text1"/>
          <w:sz w:val="24"/>
          <w:szCs w:val="24"/>
        </w:rPr>
      </w:pPr>
      <w:r w:rsidRPr="00654124">
        <w:rPr>
          <w:rFonts w:ascii="Arial" w:hAnsi="Arial" w:cs="Arial"/>
          <w:color w:val="000000" w:themeColor="text1"/>
          <w:sz w:val="24"/>
          <w:szCs w:val="24"/>
        </w:rPr>
        <w:t>Reward experience, an animal’s activation of reward circuitry under the influence of homeostatic mechanisms, is expressed as a function of the output of the HRC module (Fig. 1, left</w:t>
      </w:r>
      <w:r w:rsidR="00DF0C19" w:rsidRPr="00654124">
        <w:rPr>
          <w:rFonts w:ascii="Arial" w:hAnsi="Arial" w:cs="Arial"/>
          <w:color w:val="000000" w:themeColor="text1"/>
          <w:sz w:val="24"/>
          <w:szCs w:val="24"/>
        </w:rPr>
        <w:t>, and Eqs. 2.1-2.3</w:t>
      </w:r>
      <w:r w:rsidRPr="00654124">
        <w:rPr>
          <w:rFonts w:ascii="Arial" w:hAnsi="Arial" w:cs="Arial"/>
          <w:color w:val="000000" w:themeColor="text1"/>
          <w:sz w:val="24"/>
          <w:szCs w:val="24"/>
        </w:rPr>
        <w:t>):</w:t>
      </w:r>
    </w:p>
    <w:p w14:paraId="640AFC9F" w14:textId="232AE374" w:rsidR="00130F39" w:rsidRPr="00654124" w:rsidRDefault="00130F39" w:rsidP="00130F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color w:val="000000" w:themeColor="text1"/>
          <w:sz w:val="24"/>
          <w:szCs w:val="24"/>
        </w:rPr>
      </w:pPr>
      <w:r w:rsidRPr="00654124">
        <w:rPr>
          <w:rFonts w:ascii="Arial" w:hAnsi="Arial" w:cs="Arial"/>
          <w:color w:val="000000" w:themeColor="text1"/>
          <w:position w:val="-26"/>
          <w:sz w:val="24"/>
          <w:szCs w:val="24"/>
        </w:rPr>
        <w:object w:dxaOrig="3820" w:dyaOrig="639" w14:anchorId="7A50F807">
          <v:shape id="_x0000_i1028" type="#_x0000_t75" style="width:222.6pt;height:36pt" o:ole="">
            <v:imagedata r:id="rId12" o:title=""/>
          </v:shape>
          <o:OLEObject Type="Embed" ProgID="Equation.DSMT4" ShapeID="_x0000_i1028" DrawAspect="Content" ObjectID="_1649229553" r:id="rId13"/>
        </w:object>
      </w:r>
      <w:r w:rsidRPr="00654124">
        <w:rPr>
          <w:rFonts w:ascii="Arial" w:hAnsi="Arial" w:cs="Arial"/>
          <w:color w:val="000000" w:themeColor="text1"/>
          <w:sz w:val="24"/>
          <w:szCs w:val="24"/>
        </w:rPr>
        <w:t>,</w:t>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t xml:space="preserve">   </w:t>
      </w:r>
      <w:proofErr w:type="gramStart"/>
      <w:r w:rsidRPr="00654124">
        <w:rPr>
          <w:rFonts w:ascii="Arial" w:hAnsi="Arial" w:cs="Arial"/>
          <w:color w:val="000000" w:themeColor="text1"/>
          <w:sz w:val="24"/>
          <w:szCs w:val="24"/>
        </w:rPr>
        <w:t xml:space="preserve">   (</w:t>
      </w:r>
      <w:proofErr w:type="gramEnd"/>
      <w:r w:rsidRPr="00654124">
        <w:rPr>
          <w:rFonts w:ascii="Arial" w:hAnsi="Arial" w:cs="Arial"/>
          <w:color w:val="000000" w:themeColor="text1"/>
          <w:sz w:val="24"/>
          <w:szCs w:val="24"/>
        </w:rPr>
        <w:t>2.1)</w:t>
      </w:r>
    </w:p>
    <w:p w14:paraId="148A4D3C" w14:textId="68B6BC9C" w:rsidR="00130F39" w:rsidRPr="00654124" w:rsidRDefault="00130F39" w:rsidP="00130F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color w:val="000000" w:themeColor="text1"/>
          <w:sz w:val="24"/>
          <w:szCs w:val="24"/>
        </w:rPr>
      </w:pPr>
      <w:r w:rsidRPr="00654124">
        <w:rPr>
          <w:rFonts w:ascii="Arial" w:hAnsi="Arial" w:cs="Arial"/>
          <w:color w:val="000000" w:themeColor="text1"/>
          <w:position w:val="-6"/>
          <w:sz w:val="24"/>
          <w:szCs w:val="24"/>
        </w:rPr>
        <w:object w:dxaOrig="1120" w:dyaOrig="279" w14:anchorId="0F481217">
          <v:shape id="_x0000_i1029" type="#_x0000_t75" style="width:66pt;height:15.6pt" o:ole="">
            <v:imagedata r:id="rId14" o:title=""/>
          </v:shape>
          <o:OLEObject Type="Embed" ProgID="Equation.DSMT4" ShapeID="_x0000_i1029" DrawAspect="Content" ObjectID="_1649229554" r:id="rId15"/>
        </w:object>
      </w:r>
      <w:r w:rsidRPr="00654124">
        <w:rPr>
          <w:rFonts w:ascii="Arial" w:hAnsi="Arial" w:cs="Arial"/>
          <w:color w:val="000000" w:themeColor="text1"/>
          <w:sz w:val="24"/>
          <w:szCs w:val="24"/>
        </w:rPr>
        <w:t xml:space="preserve"> ,</w:t>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t xml:space="preserve">   </w:t>
      </w:r>
      <w:proofErr w:type="gramStart"/>
      <w:r w:rsidRPr="00654124">
        <w:rPr>
          <w:rFonts w:ascii="Arial" w:hAnsi="Arial" w:cs="Arial"/>
          <w:color w:val="000000" w:themeColor="text1"/>
          <w:sz w:val="24"/>
          <w:szCs w:val="24"/>
        </w:rPr>
        <w:t xml:space="preserve">   (</w:t>
      </w:r>
      <w:proofErr w:type="gramEnd"/>
      <w:r w:rsidRPr="00654124">
        <w:rPr>
          <w:rFonts w:ascii="Arial" w:hAnsi="Arial" w:cs="Arial"/>
          <w:color w:val="000000" w:themeColor="text1"/>
          <w:sz w:val="24"/>
          <w:szCs w:val="24"/>
        </w:rPr>
        <w:t xml:space="preserve">2.2)       </w:t>
      </w:r>
    </w:p>
    <w:p w14:paraId="5AD8D824" w14:textId="671DFE3B" w:rsidR="00130F39" w:rsidRPr="00654124" w:rsidRDefault="00130F39" w:rsidP="00130F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color w:val="000000" w:themeColor="text1"/>
          <w:sz w:val="24"/>
          <w:szCs w:val="24"/>
        </w:rPr>
      </w:pPr>
      <w:r w:rsidRPr="00654124">
        <w:rPr>
          <w:rFonts w:ascii="Arial" w:hAnsi="Arial" w:cs="Arial"/>
          <w:color w:val="000000" w:themeColor="text1"/>
          <w:position w:val="-24"/>
          <w:sz w:val="24"/>
          <w:szCs w:val="24"/>
        </w:rPr>
        <w:object w:dxaOrig="1640" w:dyaOrig="620" w14:anchorId="5AEAC569">
          <v:shape id="_x0000_i1030" type="#_x0000_t75" style="width:94.8pt;height:34.2pt" o:ole="">
            <v:imagedata r:id="rId16" o:title=""/>
          </v:shape>
          <o:OLEObject Type="Embed" ProgID="Equation.DSMT4" ShapeID="_x0000_i1030" DrawAspect="Content" ObjectID="_1649229555" r:id="rId17"/>
        </w:object>
      </w:r>
      <w:r w:rsidRPr="00654124">
        <w:rPr>
          <w:rFonts w:ascii="Arial" w:hAnsi="Arial" w:cs="Arial"/>
          <w:color w:val="000000" w:themeColor="text1"/>
          <w:sz w:val="24"/>
          <w:szCs w:val="24"/>
        </w:rPr>
        <w:t xml:space="preserve">  ,</w:t>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r>
      <w:r w:rsidRPr="00654124">
        <w:rPr>
          <w:rFonts w:ascii="Arial" w:hAnsi="Arial" w:cs="Arial"/>
          <w:color w:val="000000" w:themeColor="text1"/>
          <w:sz w:val="24"/>
          <w:szCs w:val="24"/>
        </w:rPr>
        <w:tab/>
        <w:t xml:space="preserve">   </w:t>
      </w:r>
      <w:proofErr w:type="gramStart"/>
      <w:r w:rsidRPr="00654124">
        <w:rPr>
          <w:rFonts w:ascii="Arial" w:hAnsi="Arial" w:cs="Arial"/>
          <w:color w:val="000000" w:themeColor="text1"/>
          <w:sz w:val="24"/>
          <w:szCs w:val="24"/>
        </w:rPr>
        <w:t xml:space="preserve">   (</w:t>
      </w:r>
      <w:proofErr w:type="gramEnd"/>
      <w:r w:rsidRPr="00654124">
        <w:rPr>
          <w:rFonts w:ascii="Arial" w:hAnsi="Arial" w:cs="Arial"/>
          <w:color w:val="000000" w:themeColor="text1"/>
          <w:sz w:val="24"/>
          <w:szCs w:val="24"/>
        </w:rPr>
        <w:t xml:space="preserve">2.3)           </w:t>
      </w:r>
    </w:p>
    <w:p w14:paraId="4BE8C0BB" w14:textId="21434F00" w:rsidR="00130F39" w:rsidRPr="00654124" w:rsidRDefault="00130F39" w:rsidP="00130F39">
      <w:pPr>
        <w:rPr>
          <w:rFonts w:ascii="Arial" w:hAnsi="Arial" w:cs="Arial"/>
          <w:color w:val="000000" w:themeColor="text1"/>
          <w:sz w:val="24"/>
          <w:szCs w:val="24"/>
        </w:rPr>
      </w:pPr>
      <w:r w:rsidRPr="00654124">
        <w:rPr>
          <w:rFonts w:ascii="Arial" w:hAnsi="Arial" w:cs="Arial"/>
          <w:color w:val="000000" w:themeColor="text1"/>
          <w:sz w:val="24"/>
          <w:szCs w:val="24"/>
        </w:rPr>
        <w:lastRenderedPageBreak/>
        <w:t>where c</w:t>
      </w:r>
      <w:r w:rsidRPr="00654124">
        <w:rPr>
          <w:rFonts w:ascii="Arial" w:hAnsi="Arial" w:cs="Arial"/>
          <w:color w:val="000000" w:themeColor="text1"/>
          <w:sz w:val="24"/>
          <w:szCs w:val="24"/>
          <w:vertAlign w:val="subscript"/>
        </w:rPr>
        <w:t>7</w:t>
      </w:r>
      <w:r w:rsidRPr="00654124">
        <w:rPr>
          <w:rFonts w:ascii="Arial" w:hAnsi="Arial" w:cs="Arial"/>
          <w:color w:val="000000" w:themeColor="text1"/>
          <w:sz w:val="24"/>
          <w:szCs w:val="24"/>
        </w:rPr>
        <w:t xml:space="preserve"> and τ are constants available in the code. In the model (Fig. 1, left), a high reward input, as from a recreational drug, is amplified by neuron R. The amplified reward then feeds to a postsynaptic neuron M, whose capacity for homeostatic plasticity is analogous to habituation </w:t>
      </w:r>
      <w:r w:rsidRPr="00654124">
        <w:rPr>
          <w:rFonts w:ascii="Arial" w:hAnsi="Arial" w:cs="Arial"/>
          <w:color w:val="000000" w:themeColor="text1"/>
          <w:sz w:val="24"/>
          <w:szCs w:val="24"/>
        </w:rPr>
        <w:fldChar w:fldCharType="begin"/>
      </w:r>
      <w:r w:rsidR="00654124">
        <w:rPr>
          <w:rFonts w:ascii="Arial" w:hAnsi="Arial" w:cs="Arial"/>
          <w:color w:val="000000" w:themeColor="text1"/>
          <w:sz w:val="24"/>
          <w:szCs w:val="24"/>
        </w:rPr>
        <w:instrText xml:space="preserve"> ADDIN EN.CITE &lt;EndNote&gt;&lt;Cite&gt;&lt;Author&gt;McSweeney&lt;/Author&gt;&lt;Year&gt;2009&lt;/Year&gt;&lt;RecNum&gt;291&lt;/RecNum&gt;&lt;DisplayText&gt;[7]&lt;/DisplayText&gt;&lt;record&gt;&lt;rec-number&gt;291&lt;/rec-number&gt;&lt;foreign-keys&gt;&lt;key app="EN" db-id="dzzdr2vfg0p90ceevvix0vryta0pf5v02atr" timestamp="1528654966"&gt;291&lt;/key&gt;&lt;/foreign-keys&gt;&lt;ref-type name="Journal Article"&gt;17&lt;/ref-type&gt;&lt;contributors&gt;&lt;authors&gt;&lt;author&gt;McSweeney, Frances K&lt;/author&gt;&lt;author&gt;Murphy, Eric S&lt;/author&gt;&lt;/authors&gt;&lt;/contributors&gt;&lt;titles&gt;&lt;title&gt;Sensitization and habituation regulate reinforcer effectiveness&lt;/title&gt;&lt;secondary-title&gt;Neurobiology of learning and memory&lt;/secondary-title&gt;&lt;/titles&gt;&lt;periodical&gt;&lt;full-title&gt;Neurobiology of Learning and Memory&lt;/full-title&gt;&lt;abbr-1&gt;Neurobiol. Learn. Mem.&lt;/abbr-1&gt;&lt;abbr-2&gt;Neurobiol Learn Mem&lt;/abbr-2&gt;&lt;/periodical&gt;&lt;pages&gt;189-198&lt;/pages&gt;&lt;volume&gt;92&lt;/volume&gt;&lt;number&gt;2&lt;/number&gt;&lt;dates&gt;&lt;year&gt;2009&lt;/year&gt;&lt;/dates&gt;&lt;isbn&gt;1074-7427&lt;/isbn&gt;&lt;urls&gt;&lt;/urls&gt;&lt;/record&gt;&lt;/Cite&gt;&lt;/EndNote&gt;</w:instrText>
      </w:r>
      <w:r w:rsidRPr="00654124">
        <w:rPr>
          <w:rFonts w:ascii="Arial" w:hAnsi="Arial" w:cs="Arial"/>
          <w:color w:val="000000" w:themeColor="text1"/>
          <w:sz w:val="24"/>
          <w:szCs w:val="24"/>
        </w:rPr>
        <w:fldChar w:fldCharType="separate"/>
      </w:r>
      <w:r w:rsidR="00654124">
        <w:rPr>
          <w:rFonts w:ascii="Arial" w:hAnsi="Arial" w:cs="Arial"/>
          <w:noProof/>
          <w:color w:val="000000" w:themeColor="text1"/>
          <w:sz w:val="24"/>
          <w:szCs w:val="24"/>
        </w:rPr>
        <w:t>[7]</w:t>
      </w:r>
      <w:r w:rsidRPr="00654124">
        <w:rPr>
          <w:rFonts w:ascii="Arial" w:hAnsi="Arial" w:cs="Arial"/>
          <w:color w:val="000000" w:themeColor="text1"/>
          <w:sz w:val="24"/>
          <w:szCs w:val="24"/>
        </w:rPr>
        <w:fldChar w:fldCharType="end"/>
      </w:r>
      <w:r w:rsidRPr="00654124">
        <w:rPr>
          <w:rFonts w:ascii="Arial" w:hAnsi="Arial" w:cs="Arial"/>
          <w:color w:val="000000" w:themeColor="text1"/>
          <w:sz w:val="24"/>
          <w:szCs w:val="24"/>
        </w:rPr>
        <w:t>. Specifically, the synaptic weight W between presynaptic neuron R and postsynaptic neuron M changes dynamically based on both presynaptic and postsynaptic activity, as well as on baseline activity, M</w:t>
      </w:r>
      <w:r w:rsidRPr="00654124">
        <w:rPr>
          <w:rFonts w:ascii="Arial" w:hAnsi="Arial" w:cs="Arial"/>
          <w:color w:val="000000" w:themeColor="text1"/>
          <w:sz w:val="24"/>
          <w:szCs w:val="24"/>
          <w:vertAlign w:val="subscript"/>
        </w:rPr>
        <w:t>0</w:t>
      </w:r>
      <w:r w:rsidRPr="00654124">
        <w:rPr>
          <w:rFonts w:ascii="Arial" w:hAnsi="Arial" w:cs="Arial"/>
          <w:color w:val="000000" w:themeColor="text1"/>
          <w:sz w:val="24"/>
          <w:szCs w:val="24"/>
        </w:rPr>
        <w:t xml:space="preserve">, of neuron M (Eq. 2.3). Neuron M activity is computed as the product of its synaptic weight W and the activity of neuron R (Eq. 2.2), and fed to the Feeding Network. </w:t>
      </w:r>
    </w:p>
    <w:p w14:paraId="54398CF1" w14:textId="62EE87F2" w:rsidR="005658A7" w:rsidRPr="00654124" w:rsidRDefault="00130F39" w:rsidP="00E32B8E">
      <w:pPr>
        <w:rPr>
          <w:rFonts w:ascii="Arial" w:hAnsi="Arial" w:cs="Arial"/>
          <w:color w:val="000000" w:themeColor="text1"/>
          <w:sz w:val="24"/>
          <w:szCs w:val="24"/>
        </w:rPr>
      </w:pPr>
      <w:r w:rsidRPr="00654124">
        <w:rPr>
          <w:rFonts w:ascii="Arial" w:hAnsi="Arial" w:cs="Arial"/>
          <w:color w:val="000000" w:themeColor="text1"/>
          <w:sz w:val="24"/>
          <w:szCs w:val="24"/>
        </w:rPr>
        <w:t>With repetition of a large rewarding stimulus or a long enduring Drug reward, the reward response of neuron M desensitizes by homeostatic plasticity. Notably, desensitization reduces positive reward effects (such as Drug reward), which also decay faster. Cessation of strong reward causes severe withdrawal. The magnitude of repeated rewards is proportionate to the rate of desensitization and magnitude of withdrawal.</w:t>
      </w:r>
    </w:p>
    <w:p w14:paraId="75ED7BCF" w14:textId="08252E09" w:rsidR="00C27766" w:rsidRDefault="005658A7" w:rsidP="00E32B8E">
      <w:pPr>
        <w:rPr>
          <w:rFonts w:ascii="Arial" w:hAnsi="Arial" w:cs="Arial"/>
          <w:color w:val="000000" w:themeColor="text1"/>
          <w:sz w:val="24"/>
          <w:szCs w:val="24"/>
        </w:rPr>
      </w:pPr>
      <w:r w:rsidRPr="005658A7">
        <w:rPr>
          <w:rFonts w:ascii="Arial" w:hAnsi="Arial" w:cs="Arial"/>
          <w:color w:val="000000" w:themeColor="text1"/>
          <w:sz w:val="24"/>
          <w:szCs w:val="24"/>
        </w:rPr>
        <w:t>ASIMOV captures the notion of “alliesthesia”</w:t>
      </w:r>
      <w:r>
        <w:rPr>
          <w:rFonts w:ascii="Arial" w:hAnsi="Arial" w:cs="Arial"/>
          <w:color w:val="000000" w:themeColor="text1"/>
          <w:sz w:val="24"/>
          <w:szCs w:val="24"/>
        </w:rPr>
        <w:t xml:space="preserve">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EN.CITE &lt;EndNote&gt;&lt;Cite&gt;&lt;Author&gt;Cabanac&lt;/Author&gt;&lt;Year&gt;1979&lt;/Year&gt;&lt;RecNum&gt;494&lt;/RecNum&gt;&lt;DisplayText&gt;[8]&lt;/DisplayText&gt;&lt;record&gt;&lt;rec-number&gt;494&lt;/rec-number&gt;&lt;foreign-keys&gt;&lt;key app="EN" db-id="dzzdr2vfg0p90ceevvix0vryta0pf5v02atr" timestamp="1583291573"&gt;494&lt;/key&gt;&lt;/foreign-keys&gt;&lt;ref-type name="Journal Article"&gt;17&lt;/ref-type&gt;&lt;contributors&gt;&lt;authors&gt;&lt;author&gt;Cabanac, Michel&lt;/author&gt;&lt;/authors&gt;&lt;/contributors&gt;&lt;titles&gt;&lt;title&gt;Sensory pleasure&lt;/title&gt;&lt;secondary-title&gt;The quarterly review of biology&lt;/secondary-title&gt;&lt;/titles&gt;&lt;pages&gt;1-29&lt;/pages&gt;&lt;volume&gt;54&lt;/volume&gt;&lt;number&gt;1&lt;/number&gt;&lt;dates&gt;&lt;year&gt;1979&lt;/year&gt;&lt;/dates&gt;&lt;isbn&gt;0033-5770&lt;/isbn&gt;&lt;urls&gt;&lt;/urls&gt;&lt;/record&gt;&lt;/Cite&gt;&lt;/EndNote&gt;</w:instrText>
      </w:r>
      <w:r>
        <w:rPr>
          <w:rFonts w:ascii="Arial" w:hAnsi="Arial" w:cs="Arial"/>
          <w:color w:val="000000" w:themeColor="text1"/>
          <w:sz w:val="24"/>
          <w:szCs w:val="24"/>
        </w:rPr>
        <w:fldChar w:fldCharType="separate"/>
      </w:r>
      <w:r>
        <w:rPr>
          <w:rFonts w:ascii="Arial" w:hAnsi="Arial" w:cs="Arial"/>
          <w:noProof/>
          <w:color w:val="000000" w:themeColor="text1"/>
          <w:sz w:val="24"/>
          <w:szCs w:val="24"/>
        </w:rPr>
        <w:t>[8]</w:t>
      </w:r>
      <w:r>
        <w:rPr>
          <w:rFonts w:ascii="Arial" w:hAnsi="Arial" w:cs="Arial"/>
          <w:color w:val="000000" w:themeColor="text1"/>
          <w:sz w:val="24"/>
          <w:szCs w:val="24"/>
        </w:rPr>
        <w:fldChar w:fldCharType="end"/>
      </w:r>
      <w:r w:rsidRPr="005658A7">
        <w:rPr>
          <w:rFonts w:ascii="Arial" w:hAnsi="Arial" w:cs="Arial"/>
          <w:color w:val="000000" w:themeColor="text1"/>
          <w:sz w:val="24"/>
          <w:szCs w:val="24"/>
        </w:rPr>
        <w:t xml:space="preserve">, the dependence between the internal state of an organism and the perceived pleasure or displeasure of stimuli, in terms of the influence of motivational state on the bare-bones reward experience. We implicitly take the reward experience as an evolutionary precursor of pleasure/displeasure. In humans the aesthetic is involved with “pleasure”. We derive “reward experience” as a </w:t>
      </w:r>
      <w:r w:rsidR="003E060E">
        <w:rPr>
          <w:rFonts w:ascii="Arial" w:hAnsi="Arial" w:cs="Arial"/>
          <w:color w:val="000000" w:themeColor="text1"/>
          <w:sz w:val="24"/>
          <w:szCs w:val="24"/>
        </w:rPr>
        <w:t xml:space="preserve">dynamic </w:t>
      </w:r>
      <w:r w:rsidRPr="005658A7">
        <w:rPr>
          <w:rFonts w:ascii="Arial" w:hAnsi="Arial" w:cs="Arial"/>
          <w:color w:val="000000" w:themeColor="text1"/>
          <w:sz w:val="24"/>
          <w:szCs w:val="24"/>
        </w:rPr>
        <w:t xml:space="preserve">measure of hedonic tone. But the sea slug lacks the cognitive embellishments of declarative and episodic memory. Thus, we use “reward experience” instead of “pleasure”, which is fraught with anthropomorphism. The appropriateness of using “reward experience” also derives from its relation to reward learning, and its potentially better communication with </w:t>
      </w:r>
      <w:r w:rsidR="003E060E">
        <w:rPr>
          <w:rFonts w:ascii="Arial" w:hAnsi="Arial" w:cs="Arial"/>
          <w:color w:val="000000" w:themeColor="text1"/>
          <w:sz w:val="24"/>
          <w:szCs w:val="24"/>
        </w:rPr>
        <w:t>a</w:t>
      </w:r>
      <w:r w:rsidRPr="005658A7">
        <w:rPr>
          <w:rFonts w:ascii="Arial" w:hAnsi="Arial" w:cs="Arial"/>
          <w:color w:val="000000" w:themeColor="text1"/>
          <w:sz w:val="24"/>
          <w:szCs w:val="24"/>
        </w:rPr>
        <w:t xml:space="preserve"> broader readership.</w:t>
      </w:r>
    </w:p>
    <w:p w14:paraId="1563D136" w14:textId="77777777" w:rsidR="00820542" w:rsidRDefault="00820542" w:rsidP="00E32B8E">
      <w:pPr>
        <w:rPr>
          <w:rFonts w:ascii="Arial" w:hAnsi="Arial" w:cs="Arial"/>
          <w:color w:val="000000" w:themeColor="text1"/>
          <w:sz w:val="24"/>
          <w:szCs w:val="24"/>
        </w:rPr>
      </w:pPr>
    </w:p>
    <w:p w14:paraId="774F91F0" w14:textId="1350681C" w:rsidR="00E32B8E" w:rsidRPr="00654124" w:rsidRDefault="00E32B8E" w:rsidP="00E32B8E">
      <w:pPr>
        <w:rPr>
          <w:rFonts w:ascii="Arial" w:hAnsi="Arial" w:cs="Arial"/>
          <w:b/>
          <w:color w:val="000000" w:themeColor="text1"/>
          <w:sz w:val="24"/>
          <w:szCs w:val="24"/>
        </w:rPr>
      </w:pPr>
      <w:r w:rsidRPr="00654124">
        <w:rPr>
          <w:rFonts w:ascii="Arial" w:hAnsi="Arial" w:cs="Arial"/>
          <w:b/>
          <w:color w:val="000000" w:themeColor="text1"/>
          <w:sz w:val="24"/>
          <w:szCs w:val="24"/>
        </w:rPr>
        <w:t>Pain</w:t>
      </w:r>
    </w:p>
    <w:p w14:paraId="58832566" w14:textId="77777777" w:rsidR="00130F39" w:rsidRPr="00654124" w:rsidRDefault="00130F39" w:rsidP="00130F39">
      <w:pPr>
        <w:tabs>
          <w:tab w:val="left" w:pos="990"/>
        </w:tabs>
        <w:rPr>
          <w:rFonts w:ascii="Arial" w:hAnsi="Arial" w:cs="Arial"/>
          <w:sz w:val="24"/>
          <w:szCs w:val="24"/>
        </w:rPr>
      </w:pPr>
      <w:r w:rsidRPr="00654124">
        <w:rPr>
          <w:rFonts w:ascii="Arial" w:hAnsi="Arial" w:cs="Arial"/>
          <w:sz w:val="24"/>
          <w:szCs w:val="24"/>
        </w:rPr>
        <w:t xml:space="preserve">Pain modifies the effect that reward </w:t>
      </w:r>
      <w:r w:rsidRPr="00654124">
        <w:rPr>
          <w:rFonts w:ascii="Arial" w:hAnsi="Arial" w:cs="Arial"/>
          <w:color w:val="000000" w:themeColor="text1"/>
          <w:sz w:val="24"/>
          <w:szCs w:val="24"/>
        </w:rPr>
        <w:t>experience</w:t>
      </w:r>
      <w:r w:rsidRPr="00654124">
        <w:rPr>
          <w:rFonts w:ascii="Arial" w:hAnsi="Arial" w:cs="Arial"/>
          <w:sz w:val="24"/>
          <w:szCs w:val="24"/>
        </w:rPr>
        <w:t xml:space="preserve"> has on appetitive state (Eq. 1.2). Since pain and reward </w:t>
      </w:r>
      <w:r w:rsidRPr="00654124">
        <w:rPr>
          <w:rFonts w:ascii="Arial" w:hAnsi="Arial" w:cs="Arial"/>
          <w:color w:val="000000" w:themeColor="text1"/>
          <w:sz w:val="24"/>
          <w:szCs w:val="24"/>
        </w:rPr>
        <w:t>experience</w:t>
      </w:r>
      <w:r w:rsidRPr="00654124">
        <w:rPr>
          <w:rFonts w:ascii="Arial" w:hAnsi="Arial" w:cs="Arial"/>
          <w:sz w:val="24"/>
          <w:szCs w:val="24"/>
        </w:rPr>
        <w:t xml:space="preserve"> are reciprocally inhibitory processes (Fig. 1, left), strong pain stimuli override the general aversive effect of high reward </w:t>
      </w:r>
      <w:r w:rsidRPr="00654124">
        <w:rPr>
          <w:rFonts w:ascii="Arial" w:hAnsi="Arial" w:cs="Arial"/>
          <w:color w:val="000000" w:themeColor="text1"/>
          <w:sz w:val="24"/>
          <w:szCs w:val="24"/>
        </w:rPr>
        <w:t>experience</w:t>
      </w:r>
      <w:r w:rsidRPr="00654124">
        <w:rPr>
          <w:rFonts w:ascii="Arial" w:hAnsi="Arial" w:cs="Arial"/>
          <w:sz w:val="24"/>
          <w:szCs w:val="24"/>
        </w:rPr>
        <w:t xml:space="preserve"> to become the primary aversive influence. This reciprocal inhibition is performed via the Pain Switch variable defined in Eq. 1.3, which produces a sign change from +1 to -1, when pain is high. This effectively alters the effect of reward </w:t>
      </w:r>
      <w:r w:rsidRPr="00654124">
        <w:rPr>
          <w:rFonts w:ascii="Arial" w:hAnsi="Arial" w:cs="Arial"/>
          <w:color w:val="000000" w:themeColor="text1"/>
          <w:sz w:val="24"/>
          <w:szCs w:val="24"/>
        </w:rPr>
        <w:t>experience</w:t>
      </w:r>
      <w:r w:rsidRPr="00654124">
        <w:rPr>
          <w:rFonts w:ascii="Arial" w:hAnsi="Arial" w:cs="Arial"/>
          <w:sz w:val="24"/>
          <w:szCs w:val="24"/>
        </w:rPr>
        <w:t xml:space="preserve"> on appetitive state. A positive reward </w:t>
      </w:r>
      <w:r w:rsidRPr="00654124">
        <w:rPr>
          <w:rFonts w:ascii="Arial" w:hAnsi="Arial" w:cs="Arial"/>
          <w:color w:val="000000" w:themeColor="text1"/>
          <w:sz w:val="24"/>
          <w:szCs w:val="24"/>
        </w:rPr>
        <w:t>experience</w:t>
      </w:r>
      <w:r w:rsidRPr="00654124">
        <w:rPr>
          <w:rFonts w:ascii="Arial" w:hAnsi="Arial" w:cs="Arial"/>
          <w:sz w:val="24"/>
          <w:szCs w:val="24"/>
        </w:rPr>
        <w:t xml:space="preserve"> can actually reduce the effect of pain and thus promote appetitive state, instead of inhibiting it as it does normally. In contrast, a negative reward </w:t>
      </w:r>
      <w:r w:rsidRPr="00654124">
        <w:rPr>
          <w:rFonts w:ascii="Arial" w:hAnsi="Arial" w:cs="Arial"/>
          <w:color w:val="000000" w:themeColor="text1"/>
          <w:sz w:val="24"/>
          <w:szCs w:val="24"/>
        </w:rPr>
        <w:t>experience</w:t>
      </w:r>
      <w:r w:rsidRPr="00654124">
        <w:rPr>
          <w:rFonts w:ascii="Arial" w:hAnsi="Arial" w:cs="Arial"/>
          <w:sz w:val="24"/>
          <w:szCs w:val="24"/>
        </w:rPr>
        <w:t xml:space="preserve"> aggravates the effect of pain. </w:t>
      </w:r>
    </w:p>
    <w:p w14:paraId="0BD2B972" w14:textId="7A90DAED" w:rsidR="00130F39" w:rsidRPr="00654124" w:rsidRDefault="00130F39" w:rsidP="00992C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color w:val="000000" w:themeColor="text1"/>
          <w:sz w:val="24"/>
          <w:szCs w:val="24"/>
        </w:rPr>
      </w:pPr>
    </w:p>
    <w:p w14:paraId="222BB5ED" w14:textId="72A2DC4F" w:rsidR="00E32B8E" w:rsidRPr="00654124" w:rsidRDefault="00E32B8E" w:rsidP="00992C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Fonts w:ascii="Arial" w:hAnsi="Arial" w:cs="Arial"/>
          <w:b/>
          <w:color w:val="000000" w:themeColor="text1"/>
          <w:sz w:val="24"/>
          <w:szCs w:val="24"/>
        </w:rPr>
      </w:pPr>
      <w:r w:rsidRPr="00654124">
        <w:rPr>
          <w:rFonts w:ascii="Arial" w:hAnsi="Arial" w:cs="Arial"/>
          <w:b/>
          <w:color w:val="000000" w:themeColor="text1"/>
          <w:sz w:val="24"/>
          <w:szCs w:val="24"/>
        </w:rPr>
        <w:t>ASIMOV Interface</w:t>
      </w:r>
    </w:p>
    <w:bookmarkEnd w:id="4"/>
    <w:p w14:paraId="345FF864" w14:textId="558B621E" w:rsidR="00A244B6" w:rsidRPr="00654124" w:rsidRDefault="00A244B6" w:rsidP="00A244B6">
      <w:pPr>
        <w:rPr>
          <w:rFonts w:ascii="Arial" w:hAnsi="Arial" w:cs="Arial"/>
          <w:color w:val="000000" w:themeColor="text1"/>
          <w:sz w:val="24"/>
          <w:szCs w:val="24"/>
        </w:rPr>
      </w:pPr>
      <w:r w:rsidRPr="00654124">
        <w:rPr>
          <w:rFonts w:ascii="Arial" w:hAnsi="Arial" w:cs="Arial"/>
          <w:color w:val="000000" w:themeColor="text1"/>
          <w:sz w:val="24"/>
          <w:szCs w:val="24"/>
        </w:rPr>
        <w:t xml:space="preserve">Quantitative results from ASIMOV are obtained by the controls on the interface console (Fig. </w:t>
      </w:r>
      <w:r w:rsidR="00992CD2" w:rsidRPr="00654124">
        <w:rPr>
          <w:rFonts w:ascii="Arial" w:hAnsi="Arial" w:cs="Arial"/>
          <w:color w:val="000000" w:themeColor="text1"/>
          <w:sz w:val="24"/>
          <w:szCs w:val="24"/>
        </w:rPr>
        <w:t>S1</w:t>
      </w:r>
      <w:r w:rsidRPr="00654124">
        <w:rPr>
          <w:rFonts w:ascii="Arial" w:hAnsi="Arial" w:cs="Arial"/>
          <w:color w:val="000000" w:themeColor="text1"/>
          <w:sz w:val="24"/>
          <w:szCs w:val="24"/>
        </w:rPr>
        <w:t xml:space="preserve">). Important controls on the left side are Prey and Drug Population Controls, Fixation of Variables, Pain Application Controls, and Presentation Mode, and on the </w:t>
      </w:r>
      <w:r w:rsidRPr="00654124">
        <w:rPr>
          <w:rFonts w:ascii="Arial" w:hAnsi="Arial" w:cs="Arial"/>
          <w:color w:val="000000" w:themeColor="text1"/>
          <w:sz w:val="24"/>
          <w:szCs w:val="24"/>
        </w:rPr>
        <w:lastRenderedPageBreak/>
        <w:t xml:space="preserve">right are Addiction Cycle Mode. Prey and Drug Population Controls let the user control the amount of Hermis, Flabs, and Drug present in the environment. Fixation of Variables lets the user fix values for satiation, reward experience, and incentive. Satiation can range from 0.01 to 1.0, reward experience to -20 to 20, and incentive to -10 to 10. The default ranges are adjustable by editing the interface in NetLogo. Pain Application Controls allow the application of a painful stimulus to ASIMOV’s forager. The strength of the applied painful stimulus can be adjusted by the Apply_Pain slider, ranging from 0 to 30 arbitrary units. The Poke-Left and Poke-Right buttons apply pain to the anterior left or right side part of the forager, respectively. </w:t>
      </w:r>
    </w:p>
    <w:p w14:paraId="60C8E985" w14:textId="530C15C7" w:rsidR="00A244B6" w:rsidRPr="00654124" w:rsidRDefault="00A244B6" w:rsidP="00A244B6">
      <w:pPr>
        <w:rPr>
          <w:rFonts w:ascii="Arial" w:hAnsi="Arial" w:cs="Arial"/>
          <w:color w:val="000000" w:themeColor="text1"/>
          <w:sz w:val="24"/>
          <w:szCs w:val="24"/>
        </w:rPr>
      </w:pPr>
      <w:r w:rsidRPr="00654124">
        <w:rPr>
          <w:rFonts w:ascii="Arial" w:hAnsi="Arial" w:cs="Arial"/>
          <w:i/>
          <w:color w:val="000000" w:themeColor="text1"/>
          <w:sz w:val="24"/>
          <w:szCs w:val="24"/>
        </w:rPr>
        <w:t>Presentation Mode</w:t>
      </w:r>
      <w:r w:rsidRPr="00654124">
        <w:rPr>
          <w:rFonts w:ascii="Arial" w:hAnsi="Arial" w:cs="Arial"/>
          <w:color w:val="000000" w:themeColor="text1"/>
          <w:sz w:val="24"/>
          <w:szCs w:val="24"/>
        </w:rPr>
        <w:t xml:space="preserve"> controls the forager’s prey and Drug intake, and tests approach and avoidance responses to specific prey or Drug. The forager can be immobilized except for approach-avoidance turns, and can be force-fed or presented with Hermi, Flab, or Drug to adjust the corresponding associative strengths, or to monitor the effects on reward experience. Presentation with a stationary Hermi, Flab, or Drug near its left side tests its turning response in terms of approach or avoidance towards the prey or Drug.</w:t>
      </w:r>
    </w:p>
    <w:p w14:paraId="16B38150" w14:textId="31796719" w:rsidR="00A244B6" w:rsidRPr="00654124" w:rsidRDefault="00A244B6" w:rsidP="00A244B6">
      <w:pPr>
        <w:rPr>
          <w:rFonts w:ascii="Arial" w:hAnsi="Arial" w:cs="Arial"/>
          <w:color w:val="000000" w:themeColor="text1"/>
          <w:sz w:val="24"/>
          <w:szCs w:val="24"/>
        </w:rPr>
      </w:pPr>
      <w:r w:rsidRPr="00654124">
        <w:rPr>
          <w:rFonts w:ascii="Arial" w:hAnsi="Arial" w:cs="Arial"/>
          <w:i/>
          <w:color w:val="000000" w:themeColor="text1"/>
          <w:sz w:val="24"/>
          <w:szCs w:val="24"/>
        </w:rPr>
        <w:t>Addiction Cycle Mode</w:t>
      </w:r>
      <w:r w:rsidRPr="00654124">
        <w:rPr>
          <w:rFonts w:ascii="Arial" w:hAnsi="Arial" w:cs="Arial"/>
          <w:color w:val="000000" w:themeColor="text1"/>
          <w:sz w:val="24"/>
          <w:szCs w:val="24"/>
        </w:rPr>
        <w:t>, when enabled, allows the user to observe ASIMOV’s forager as it freely forages and experiences different phases of the addiction processes of desensitization, withdrawal, and cravings. In this mode the availability of Drug changes over time, starting with an environment with only prey and no Drug, and then adding and removing the Drug, causing the forager to go through desensitization, withdrawal, and cravings. In the last phase, the Drug is present with the Drug odor signature, but does not provide any reward on consumption. In this phase, Drug consumption decreases significantly (see Fig. 6 for results from the Addiction Cycle Mode). The Addiction Cycle Mode lasts 60000 software cycles (ticks), in which each phase lasts 15000 ticks. During an initial “No Drug” phase, the environment contains only the prey Hermi and/or Flab, letting ASIMOV’s forager learn the corresponding associations. In the second “Drug Introduced” phase, the Drug is introduced for the first time with a high reward on consumption. The third phase is “Drug Removed” and the fourth and last phase is “Drug without Reward”, where the Drug is reintroduced with the same odor signature, but provides no reward on consumption, causing ASIMOV’s forager to decrease its associative strength for the Drug via a Rescorla-Wagner algorithm for extinction.</w:t>
      </w:r>
    </w:p>
    <w:p w14:paraId="1974EBB9" w14:textId="655A6791" w:rsidR="00862390" w:rsidRPr="00654124" w:rsidRDefault="00862390" w:rsidP="00A244B6">
      <w:pPr>
        <w:rPr>
          <w:rFonts w:ascii="Arial" w:hAnsi="Arial" w:cs="Arial"/>
          <w:color w:val="000000" w:themeColor="text1"/>
          <w:sz w:val="24"/>
          <w:szCs w:val="24"/>
        </w:rPr>
      </w:pPr>
    </w:p>
    <w:p w14:paraId="58440489" w14:textId="77777777" w:rsidR="00306E1E" w:rsidRPr="00654124" w:rsidRDefault="00306E1E" w:rsidP="00A244B6">
      <w:pPr>
        <w:rPr>
          <w:rFonts w:ascii="Arial" w:hAnsi="Arial" w:cs="Arial"/>
          <w:color w:val="000000" w:themeColor="text1"/>
          <w:sz w:val="24"/>
          <w:szCs w:val="24"/>
        </w:rPr>
      </w:pPr>
    </w:p>
    <w:p w14:paraId="0B1F219C" w14:textId="75B9CE7E" w:rsidR="00C27766" w:rsidRPr="00654124" w:rsidRDefault="005658A7">
      <w:pPr>
        <w:rPr>
          <w:rFonts w:ascii="Arial" w:hAnsi="Arial" w:cs="Arial"/>
          <w:b/>
          <w:sz w:val="24"/>
          <w:szCs w:val="24"/>
        </w:rPr>
      </w:pPr>
      <w:r>
        <w:rPr>
          <w:rFonts w:ascii="Arial" w:hAnsi="Arial" w:cs="Arial"/>
          <w:b/>
          <w:noProof/>
          <w:sz w:val="24"/>
          <w:szCs w:val="24"/>
        </w:rPr>
        <w:lastRenderedPageBreak/>
        <w:drawing>
          <wp:inline distT="0" distB="0" distL="0" distR="0" wp14:anchorId="7433B281" wp14:editId="3A059B76">
            <wp:extent cx="6027420" cy="8870543"/>
            <wp:effectExtent l="0" t="0" r="0" b="6985"/>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57319" cy="8914545"/>
                    </a:xfrm>
                    <a:prstGeom prst="rect">
                      <a:avLst/>
                    </a:prstGeom>
                  </pic:spPr>
                </pic:pic>
              </a:graphicData>
            </a:graphic>
          </wp:inline>
        </w:drawing>
      </w:r>
    </w:p>
    <w:p w14:paraId="080AD8B9" w14:textId="4E020829" w:rsidR="00C27766" w:rsidRPr="00654124" w:rsidRDefault="00C27766" w:rsidP="00C27766">
      <w:pPr>
        <w:rPr>
          <w:rFonts w:ascii="Arial" w:hAnsi="Arial" w:cs="Arial"/>
          <w:color w:val="000000" w:themeColor="text1"/>
          <w:sz w:val="24"/>
          <w:szCs w:val="24"/>
        </w:rPr>
      </w:pPr>
      <w:r w:rsidRPr="00654124">
        <w:rPr>
          <w:rFonts w:ascii="Arial" w:hAnsi="Arial" w:cs="Arial"/>
          <w:b/>
          <w:color w:val="000000" w:themeColor="text1"/>
          <w:sz w:val="24"/>
          <w:szCs w:val="24"/>
        </w:rPr>
        <w:lastRenderedPageBreak/>
        <w:t>Figure S1</w:t>
      </w:r>
      <w:r w:rsidRPr="00654124">
        <w:rPr>
          <w:rFonts w:ascii="Arial" w:hAnsi="Arial" w:cs="Arial"/>
          <w:color w:val="000000" w:themeColor="text1"/>
          <w:sz w:val="24"/>
          <w:szCs w:val="24"/>
        </w:rPr>
        <w:t>. Screenshots of the ASIMOV environment and interface</w:t>
      </w:r>
      <w:r w:rsidR="00D64F31">
        <w:rPr>
          <w:rFonts w:ascii="Arial" w:hAnsi="Arial" w:cs="Arial"/>
          <w:color w:val="000000" w:themeColor="text1"/>
          <w:sz w:val="24"/>
          <w:szCs w:val="24"/>
        </w:rPr>
        <w:t xml:space="preserve"> (NetLogo </w:t>
      </w:r>
      <w:r w:rsidR="00D64F31" w:rsidRPr="003F5093">
        <w:rPr>
          <w:rFonts w:ascii="Arial" w:hAnsi="Arial" w:cs="Arial"/>
          <w:sz w:val="24"/>
          <w:szCs w:val="24"/>
        </w:rPr>
        <w:t>version 6.0.4</w:t>
      </w:r>
      <w:r w:rsidR="00D64F31">
        <w:rPr>
          <w:rFonts w:ascii="Arial" w:hAnsi="Arial" w:cs="Arial"/>
          <w:sz w:val="24"/>
          <w:szCs w:val="24"/>
        </w:rPr>
        <w:t xml:space="preserve">; </w:t>
      </w:r>
      <w:r w:rsidR="00D64F31" w:rsidRPr="00D64F31">
        <w:rPr>
          <w:rFonts w:ascii="Arial" w:hAnsi="Arial" w:cs="Arial"/>
          <w:sz w:val="24"/>
          <w:szCs w:val="24"/>
        </w:rPr>
        <w:t>http://ccl.northwestern.edu/netlogo/</w:t>
      </w:r>
      <w:r w:rsidR="00D64F31">
        <w:rPr>
          <w:rFonts w:ascii="Arial" w:hAnsi="Arial" w:cs="Arial"/>
          <w:sz w:val="24"/>
          <w:szCs w:val="24"/>
        </w:rPr>
        <w:t>)</w:t>
      </w:r>
      <w:r w:rsidRPr="00654124">
        <w:rPr>
          <w:rFonts w:ascii="Arial" w:hAnsi="Arial" w:cs="Arial"/>
          <w:color w:val="000000" w:themeColor="text1"/>
          <w:sz w:val="24"/>
          <w:szCs w:val="24"/>
        </w:rPr>
        <w:t>. There are three user modes. In the default foraging mode, the forager (orange) encounters Hermi (</w:t>
      </w:r>
      <w:r w:rsidR="006F35E0" w:rsidRPr="00654124">
        <w:rPr>
          <w:rFonts w:ascii="Arial" w:hAnsi="Arial" w:cs="Arial"/>
          <w:color w:val="000000" w:themeColor="text1"/>
          <w:sz w:val="24"/>
          <w:szCs w:val="24"/>
        </w:rPr>
        <w:t xml:space="preserve">blue </w:t>
      </w:r>
      <w:r w:rsidRPr="00654124">
        <w:rPr>
          <w:rFonts w:ascii="Arial" w:hAnsi="Arial" w:cs="Arial"/>
          <w:color w:val="000000" w:themeColor="text1"/>
          <w:sz w:val="24"/>
          <w:szCs w:val="24"/>
        </w:rPr>
        <w:t>orbs), Flab (</w:t>
      </w:r>
      <w:r w:rsidR="006F35E0" w:rsidRPr="00654124">
        <w:rPr>
          <w:rFonts w:ascii="Arial" w:hAnsi="Arial" w:cs="Arial"/>
          <w:color w:val="000000" w:themeColor="text1"/>
          <w:sz w:val="24"/>
          <w:szCs w:val="24"/>
        </w:rPr>
        <w:t xml:space="preserve">pink </w:t>
      </w:r>
      <w:r w:rsidRPr="00654124">
        <w:rPr>
          <w:rFonts w:ascii="Arial" w:hAnsi="Arial" w:cs="Arial"/>
          <w:color w:val="000000" w:themeColor="text1"/>
          <w:sz w:val="24"/>
          <w:szCs w:val="24"/>
        </w:rPr>
        <w:t xml:space="preserve">orbs), and Drug (yellow orbs) and traces its path (orange contours). The user can select numbers of prey and Drug items in the environment and fix values of Satiation, Reward Experience, and Incentive. In Presentation Mode, the forager is immobilized and its prey and Drug intake are controlled to monitor approach and avoidance responses. Pain stimuli of adjustable magnitude can be applied to the left or right side of the ASIMOV agent’s head to test the turn response. On the right of the interface, Addiction Cycle Mode, when enabled, allows the forager to forage freely and experience different phases of addiction in a dynamic environment. Drug availability changes over time, causing the forager to experience addiction, desensitization, withdrawal, and cravings (see text). A) </w:t>
      </w:r>
      <w:bookmarkStart w:id="5" w:name="OLE_LINK1"/>
      <w:r w:rsidRPr="00654124">
        <w:rPr>
          <w:rFonts w:ascii="Arial" w:hAnsi="Arial" w:cs="Arial"/>
          <w:color w:val="000000" w:themeColor="text1"/>
          <w:sz w:val="24"/>
          <w:szCs w:val="24"/>
        </w:rPr>
        <w:t>ASIMOV’s agent</w:t>
      </w:r>
      <w:bookmarkEnd w:id="5"/>
      <w:r w:rsidRPr="00654124">
        <w:rPr>
          <w:rFonts w:ascii="Arial" w:hAnsi="Arial" w:cs="Arial"/>
          <w:color w:val="000000" w:themeColor="text1"/>
          <w:sz w:val="24"/>
          <w:szCs w:val="24"/>
        </w:rPr>
        <w:t xml:space="preserve"> forages in the </w:t>
      </w:r>
      <w:r w:rsidR="00677A68" w:rsidRPr="00654124">
        <w:rPr>
          <w:rFonts w:ascii="Arial" w:hAnsi="Arial" w:cs="Arial"/>
          <w:color w:val="000000" w:themeColor="text1"/>
          <w:sz w:val="24"/>
          <w:szCs w:val="24"/>
        </w:rPr>
        <w:t xml:space="preserve">No Drug </w:t>
      </w:r>
      <w:r w:rsidRPr="00654124">
        <w:rPr>
          <w:rFonts w:ascii="Arial" w:hAnsi="Arial" w:cs="Arial"/>
          <w:color w:val="000000" w:themeColor="text1"/>
          <w:sz w:val="24"/>
          <w:szCs w:val="24"/>
        </w:rPr>
        <w:t>phase of the Addiction Cycle. Note that it initially performed several avoidance turns, and at the moment of the screenshot it is making an approach turn towards a prey. B) ASIMOV’s agent forages in the Drug Introduced phase of the Addiction Cycle. Drug consumption significantly increases the forager’s reward experience. As ASIMOV’s agent continues Drug consumption, there is desensitization to the reward received from the Drug, and thus more fluctuation in reward experience, as seen in C. C) In the Drug Removed phase of the Addiction Cycle, without Drug access ASIMOV’s forager undergoes withdrawal, represented in negative reward experience.</w:t>
      </w:r>
    </w:p>
    <w:p w14:paraId="269D9FDE" w14:textId="32B3A352" w:rsidR="00C27766" w:rsidRPr="00654124" w:rsidRDefault="00C27766">
      <w:pPr>
        <w:rPr>
          <w:rFonts w:ascii="Arial" w:hAnsi="Arial" w:cs="Arial"/>
          <w:b/>
          <w:sz w:val="24"/>
          <w:szCs w:val="24"/>
        </w:rPr>
      </w:pPr>
    </w:p>
    <w:p w14:paraId="308D42A7" w14:textId="77777777" w:rsidR="00C27766" w:rsidRPr="00654124" w:rsidRDefault="00C27766">
      <w:pPr>
        <w:rPr>
          <w:rFonts w:ascii="Arial" w:hAnsi="Arial" w:cs="Arial"/>
          <w:b/>
          <w:sz w:val="24"/>
          <w:szCs w:val="24"/>
        </w:rPr>
      </w:pPr>
    </w:p>
    <w:p w14:paraId="350CF2EE" w14:textId="4459083B" w:rsidR="00D53456" w:rsidRPr="00662F0D" w:rsidRDefault="00D53456">
      <w:pPr>
        <w:rPr>
          <w:rFonts w:ascii="Arial" w:hAnsi="Arial" w:cs="Arial"/>
          <w:color w:val="000000" w:themeColor="text1"/>
          <w:sz w:val="24"/>
          <w:szCs w:val="24"/>
        </w:rPr>
      </w:pPr>
      <w:r w:rsidRPr="00662F0D">
        <w:rPr>
          <w:rFonts w:ascii="Arial" w:hAnsi="Arial" w:cs="Arial"/>
          <w:b/>
          <w:sz w:val="24"/>
          <w:szCs w:val="24"/>
        </w:rPr>
        <w:t>Supplementary References</w:t>
      </w:r>
    </w:p>
    <w:p w14:paraId="1721AE5F" w14:textId="77777777" w:rsidR="005658A7" w:rsidRPr="00662F0D" w:rsidRDefault="00D53456" w:rsidP="00662F0D">
      <w:pPr>
        <w:pStyle w:val="EndNoteBibliography"/>
        <w:spacing w:after="0"/>
        <w:ind w:left="720" w:hanging="720"/>
        <w:rPr>
          <w:rFonts w:ascii="Arial" w:hAnsi="Arial" w:cs="Arial"/>
          <w:sz w:val="24"/>
          <w:szCs w:val="24"/>
        </w:rPr>
      </w:pPr>
      <w:r w:rsidRPr="00662F0D">
        <w:rPr>
          <w:rFonts w:ascii="Arial" w:hAnsi="Arial" w:cs="Arial"/>
          <w:sz w:val="24"/>
          <w:szCs w:val="24"/>
        </w:rPr>
        <w:fldChar w:fldCharType="begin"/>
      </w:r>
      <w:r w:rsidRPr="00662F0D">
        <w:rPr>
          <w:rFonts w:ascii="Arial" w:hAnsi="Arial" w:cs="Arial"/>
          <w:sz w:val="24"/>
          <w:szCs w:val="24"/>
        </w:rPr>
        <w:instrText xml:space="preserve"> ADDIN EN.REFLIST </w:instrText>
      </w:r>
      <w:r w:rsidRPr="00662F0D">
        <w:rPr>
          <w:rFonts w:ascii="Arial" w:hAnsi="Arial" w:cs="Arial"/>
          <w:sz w:val="24"/>
          <w:szCs w:val="24"/>
        </w:rPr>
        <w:fldChar w:fldCharType="separate"/>
      </w:r>
      <w:r w:rsidR="005658A7" w:rsidRPr="00662F0D">
        <w:rPr>
          <w:rFonts w:ascii="Arial" w:hAnsi="Arial" w:cs="Arial"/>
          <w:sz w:val="24"/>
          <w:szCs w:val="24"/>
        </w:rPr>
        <w:t>1</w:t>
      </w:r>
      <w:r w:rsidR="005658A7" w:rsidRPr="00662F0D">
        <w:rPr>
          <w:rFonts w:ascii="Arial" w:hAnsi="Arial" w:cs="Arial"/>
          <w:sz w:val="24"/>
          <w:szCs w:val="24"/>
        </w:rPr>
        <w:tab/>
        <w:t>Brown, J. W.</w:t>
      </w:r>
      <w:r w:rsidR="005658A7" w:rsidRPr="00662F0D">
        <w:rPr>
          <w:rFonts w:ascii="Arial" w:hAnsi="Arial" w:cs="Arial"/>
          <w:i/>
          <w:sz w:val="24"/>
          <w:szCs w:val="24"/>
        </w:rPr>
        <w:t xml:space="preserve"> et al.</w:t>
      </w:r>
      <w:r w:rsidR="005658A7" w:rsidRPr="00662F0D">
        <w:rPr>
          <w:rFonts w:ascii="Arial" w:hAnsi="Arial" w:cs="Arial"/>
          <w:sz w:val="24"/>
          <w:szCs w:val="24"/>
        </w:rPr>
        <w:t xml:space="preserve"> Implementing Goal-Directed Foraging Decisions of a Simpler Nervous System in Simulation. </w:t>
      </w:r>
      <w:r w:rsidR="005658A7" w:rsidRPr="00662F0D">
        <w:rPr>
          <w:rFonts w:ascii="Arial" w:hAnsi="Arial" w:cs="Arial"/>
          <w:i/>
          <w:sz w:val="24"/>
          <w:szCs w:val="24"/>
        </w:rPr>
        <w:t>eNeuro</w:t>
      </w:r>
      <w:r w:rsidR="005658A7" w:rsidRPr="00662F0D">
        <w:rPr>
          <w:rFonts w:ascii="Arial" w:hAnsi="Arial" w:cs="Arial"/>
          <w:sz w:val="24"/>
          <w:szCs w:val="24"/>
        </w:rPr>
        <w:t xml:space="preserve"> </w:t>
      </w:r>
      <w:r w:rsidR="005658A7" w:rsidRPr="00662F0D">
        <w:rPr>
          <w:rFonts w:ascii="Arial" w:hAnsi="Arial" w:cs="Arial"/>
          <w:b/>
          <w:sz w:val="24"/>
          <w:szCs w:val="24"/>
        </w:rPr>
        <w:t>5</w:t>
      </w:r>
      <w:r w:rsidR="005658A7" w:rsidRPr="00662F0D">
        <w:rPr>
          <w:rFonts w:ascii="Arial" w:hAnsi="Arial" w:cs="Arial"/>
          <w:sz w:val="24"/>
          <w:szCs w:val="24"/>
        </w:rPr>
        <w:t>, ENEURO. 0400-0417.2018 (2018).</w:t>
      </w:r>
    </w:p>
    <w:p w14:paraId="36C863A1" w14:textId="3EFFEEE7" w:rsidR="005658A7" w:rsidRPr="00662F0D" w:rsidRDefault="005658A7" w:rsidP="00662F0D">
      <w:pPr>
        <w:pStyle w:val="EndNoteBibliography"/>
        <w:spacing w:after="0"/>
        <w:ind w:left="720" w:hanging="720"/>
        <w:rPr>
          <w:rFonts w:ascii="Arial" w:hAnsi="Arial" w:cs="Arial"/>
          <w:sz w:val="24"/>
          <w:szCs w:val="24"/>
        </w:rPr>
      </w:pPr>
      <w:r w:rsidRPr="00662F0D">
        <w:rPr>
          <w:rFonts w:ascii="Arial" w:hAnsi="Arial" w:cs="Arial"/>
          <w:sz w:val="24"/>
          <w:szCs w:val="24"/>
        </w:rPr>
        <w:t>2</w:t>
      </w:r>
      <w:r w:rsidRPr="00662F0D">
        <w:rPr>
          <w:rFonts w:ascii="Arial" w:hAnsi="Arial" w:cs="Arial"/>
          <w:sz w:val="24"/>
          <w:szCs w:val="24"/>
        </w:rPr>
        <w:tab/>
        <w:t xml:space="preserve">Wilensky, U. NetLogo: Center for connected learning and computer-based modeling. </w:t>
      </w:r>
      <w:r w:rsidRPr="00662F0D">
        <w:rPr>
          <w:rFonts w:ascii="Arial" w:hAnsi="Arial" w:cs="Arial"/>
          <w:i/>
          <w:sz w:val="24"/>
          <w:szCs w:val="24"/>
        </w:rPr>
        <w:t>Northwestern University, Evanston, IL</w:t>
      </w:r>
      <w:r w:rsidRPr="00662F0D">
        <w:rPr>
          <w:rFonts w:ascii="Arial" w:hAnsi="Arial" w:cs="Arial"/>
          <w:sz w:val="24"/>
          <w:szCs w:val="24"/>
        </w:rPr>
        <w:t xml:space="preserve"> </w:t>
      </w:r>
      <w:r w:rsidRPr="00662F0D">
        <w:rPr>
          <w:rFonts w:ascii="Arial" w:hAnsi="Arial" w:cs="Arial"/>
          <w:b/>
          <w:sz w:val="24"/>
          <w:szCs w:val="24"/>
        </w:rPr>
        <w:t>4952</w:t>
      </w:r>
      <w:r w:rsidRPr="00662F0D">
        <w:rPr>
          <w:rFonts w:ascii="Arial" w:hAnsi="Arial" w:cs="Arial"/>
          <w:sz w:val="24"/>
          <w:szCs w:val="24"/>
        </w:rPr>
        <w:t xml:space="preserve"> (1999).</w:t>
      </w:r>
      <w:r w:rsidR="00D64F31" w:rsidRPr="00662F0D">
        <w:rPr>
          <w:rFonts w:ascii="Arial" w:hAnsi="Arial" w:cs="Arial"/>
          <w:sz w:val="24"/>
          <w:szCs w:val="24"/>
        </w:rPr>
        <w:t xml:space="preserve"> </w:t>
      </w:r>
    </w:p>
    <w:p w14:paraId="422E61EF" w14:textId="77777777" w:rsidR="005658A7" w:rsidRPr="00662F0D" w:rsidRDefault="005658A7" w:rsidP="00662F0D">
      <w:pPr>
        <w:pStyle w:val="EndNoteBibliography"/>
        <w:spacing w:after="0"/>
        <w:ind w:left="720" w:hanging="720"/>
        <w:rPr>
          <w:rFonts w:ascii="Arial" w:hAnsi="Arial" w:cs="Arial"/>
          <w:sz w:val="24"/>
          <w:szCs w:val="24"/>
        </w:rPr>
      </w:pPr>
      <w:r w:rsidRPr="00662F0D">
        <w:rPr>
          <w:rFonts w:ascii="Arial" w:hAnsi="Arial" w:cs="Arial"/>
          <w:sz w:val="24"/>
          <w:szCs w:val="24"/>
        </w:rPr>
        <w:t>3</w:t>
      </w:r>
      <w:r w:rsidRPr="00662F0D">
        <w:rPr>
          <w:rFonts w:ascii="Arial" w:hAnsi="Arial" w:cs="Arial"/>
          <w:sz w:val="24"/>
          <w:szCs w:val="24"/>
        </w:rPr>
        <w:tab/>
        <w:t xml:space="preserve">Noboa, V. &amp; Gillette, R. Selective prey avoidance learning in the predatory sea slug </w:t>
      </w:r>
      <w:r w:rsidRPr="00662F0D">
        <w:rPr>
          <w:rFonts w:ascii="Arial" w:hAnsi="Arial" w:cs="Arial"/>
          <w:i/>
          <w:sz w:val="24"/>
          <w:szCs w:val="24"/>
        </w:rPr>
        <w:t>Pleurobranchaea californica</w:t>
      </w:r>
      <w:r w:rsidRPr="00662F0D">
        <w:rPr>
          <w:rFonts w:ascii="Arial" w:hAnsi="Arial" w:cs="Arial"/>
          <w:sz w:val="24"/>
          <w:szCs w:val="24"/>
        </w:rPr>
        <w:t xml:space="preserve">. </w:t>
      </w:r>
      <w:r w:rsidRPr="00662F0D">
        <w:rPr>
          <w:rFonts w:ascii="Arial" w:hAnsi="Arial" w:cs="Arial"/>
          <w:i/>
          <w:sz w:val="24"/>
          <w:szCs w:val="24"/>
        </w:rPr>
        <w:t>J. Exp. Biol.</w:t>
      </w:r>
      <w:r w:rsidRPr="00662F0D">
        <w:rPr>
          <w:rFonts w:ascii="Arial" w:hAnsi="Arial" w:cs="Arial"/>
          <w:sz w:val="24"/>
          <w:szCs w:val="24"/>
        </w:rPr>
        <w:t xml:space="preserve"> </w:t>
      </w:r>
      <w:r w:rsidRPr="00662F0D">
        <w:rPr>
          <w:rFonts w:ascii="Arial" w:hAnsi="Arial" w:cs="Arial"/>
          <w:b/>
          <w:sz w:val="24"/>
          <w:szCs w:val="24"/>
        </w:rPr>
        <w:t>216</w:t>
      </w:r>
      <w:r w:rsidRPr="00662F0D">
        <w:rPr>
          <w:rFonts w:ascii="Arial" w:hAnsi="Arial" w:cs="Arial"/>
          <w:sz w:val="24"/>
          <w:szCs w:val="24"/>
        </w:rPr>
        <w:t>, 3231-3236 (2013).</w:t>
      </w:r>
    </w:p>
    <w:p w14:paraId="33910A9B" w14:textId="77777777" w:rsidR="005658A7" w:rsidRPr="00662F0D" w:rsidRDefault="005658A7" w:rsidP="00662F0D">
      <w:pPr>
        <w:pStyle w:val="EndNoteBibliography"/>
        <w:spacing w:after="0"/>
        <w:ind w:left="720" w:hanging="720"/>
        <w:rPr>
          <w:rFonts w:ascii="Arial" w:hAnsi="Arial" w:cs="Arial"/>
          <w:sz w:val="24"/>
          <w:szCs w:val="24"/>
        </w:rPr>
      </w:pPr>
      <w:r w:rsidRPr="00662F0D">
        <w:rPr>
          <w:rFonts w:ascii="Arial" w:hAnsi="Arial" w:cs="Arial"/>
          <w:sz w:val="24"/>
          <w:szCs w:val="24"/>
        </w:rPr>
        <w:t>4</w:t>
      </w:r>
      <w:r w:rsidRPr="00662F0D">
        <w:rPr>
          <w:rFonts w:ascii="Arial" w:hAnsi="Arial" w:cs="Arial"/>
          <w:sz w:val="24"/>
          <w:szCs w:val="24"/>
        </w:rPr>
        <w:tab/>
        <w:t xml:space="preserve">Gillette, R., Huang, R.-C., Hatcher, N. &amp; Moroz, L. L. Cost-benefit analysis potential in feeding behavior of a predatory snail by integration of hunger, taste, and pain. </w:t>
      </w:r>
      <w:r w:rsidRPr="00662F0D">
        <w:rPr>
          <w:rFonts w:ascii="Arial" w:hAnsi="Arial" w:cs="Arial"/>
          <w:i/>
          <w:sz w:val="24"/>
          <w:szCs w:val="24"/>
        </w:rPr>
        <w:t>Proc. Nat. Acad. Sci. USA</w:t>
      </w:r>
      <w:r w:rsidRPr="00662F0D">
        <w:rPr>
          <w:rFonts w:ascii="Arial" w:hAnsi="Arial" w:cs="Arial"/>
          <w:sz w:val="24"/>
          <w:szCs w:val="24"/>
        </w:rPr>
        <w:t xml:space="preserve"> </w:t>
      </w:r>
      <w:r w:rsidRPr="00662F0D">
        <w:rPr>
          <w:rFonts w:ascii="Arial" w:hAnsi="Arial" w:cs="Arial"/>
          <w:b/>
          <w:sz w:val="24"/>
          <w:szCs w:val="24"/>
        </w:rPr>
        <w:t>97</w:t>
      </w:r>
      <w:r w:rsidRPr="00662F0D">
        <w:rPr>
          <w:rFonts w:ascii="Arial" w:hAnsi="Arial" w:cs="Arial"/>
          <w:sz w:val="24"/>
          <w:szCs w:val="24"/>
        </w:rPr>
        <w:t>, 3585-3590 (2000).</w:t>
      </w:r>
    </w:p>
    <w:p w14:paraId="1A972DE8" w14:textId="77777777" w:rsidR="005658A7" w:rsidRPr="00662F0D" w:rsidRDefault="005658A7" w:rsidP="00662F0D">
      <w:pPr>
        <w:pStyle w:val="EndNoteBibliography"/>
        <w:spacing w:after="0"/>
        <w:ind w:left="720" w:hanging="720"/>
        <w:rPr>
          <w:rFonts w:ascii="Arial" w:hAnsi="Arial" w:cs="Arial"/>
          <w:sz w:val="24"/>
          <w:szCs w:val="24"/>
        </w:rPr>
      </w:pPr>
      <w:r w:rsidRPr="00662F0D">
        <w:rPr>
          <w:rFonts w:ascii="Arial" w:hAnsi="Arial" w:cs="Arial"/>
          <w:sz w:val="24"/>
          <w:szCs w:val="24"/>
        </w:rPr>
        <w:t>5</w:t>
      </w:r>
      <w:r w:rsidRPr="00662F0D">
        <w:rPr>
          <w:rFonts w:ascii="Arial" w:hAnsi="Arial" w:cs="Arial"/>
          <w:sz w:val="24"/>
          <w:szCs w:val="24"/>
        </w:rPr>
        <w:tab/>
        <w:t xml:space="preserve">Rescorla, R. A. &amp; Wagner, A. R. A theory of Pavlovian conditioning: Variations in the effectiveness of reinforcement and nonreinforcement. </w:t>
      </w:r>
      <w:r w:rsidRPr="00662F0D">
        <w:rPr>
          <w:rFonts w:ascii="Arial" w:hAnsi="Arial" w:cs="Arial"/>
          <w:i/>
          <w:sz w:val="24"/>
          <w:szCs w:val="24"/>
        </w:rPr>
        <w:t>Classical conditioning II: Current research and theory</w:t>
      </w:r>
      <w:r w:rsidRPr="00662F0D">
        <w:rPr>
          <w:rFonts w:ascii="Arial" w:hAnsi="Arial" w:cs="Arial"/>
          <w:sz w:val="24"/>
          <w:szCs w:val="24"/>
        </w:rPr>
        <w:t xml:space="preserve"> </w:t>
      </w:r>
      <w:r w:rsidRPr="00662F0D">
        <w:rPr>
          <w:rFonts w:ascii="Arial" w:hAnsi="Arial" w:cs="Arial"/>
          <w:b/>
          <w:sz w:val="24"/>
          <w:szCs w:val="24"/>
        </w:rPr>
        <w:t>2</w:t>
      </w:r>
      <w:r w:rsidRPr="00662F0D">
        <w:rPr>
          <w:rFonts w:ascii="Arial" w:hAnsi="Arial" w:cs="Arial"/>
          <w:sz w:val="24"/>
          <w:szCs w:val="24"/>
        </w:rPr>
        <w:t>, 64-99 (1972).</w:t>
      </w:r>
    </w:p>
    <w:p w14:paraId="1781AE34" w14:textId="77777777" w:rsidR="005658A7" w:rsidRPr="00662F0D" w:rsidRDefault="005658A7" w:rsidP="00662F0D">
      <w:pPr>
        <w:pStyle w:val="EndNoteBibliography"/>
        <w:spacing w:after="0"/>
        <w:ind w:left="720" w:hanging="720"/>
        <w:rPr>
          <w:rFonts w:ascii="Arial" w:hAnsi="Arial" w:cs="Arial"/>
          <w:sz w:val="24"/>
          <w:szCs w:val="24"/>
        </w:rPr>
      </w:pPr>
      <w:r w:rsidRPr="00662F0D">
        <w:rPr>
          <w:rFonts w:ascii="Arial" w:hAnsi="Arial" w:cs="Arial"/>
          <w:sz w:val="24"/>
          <w:szCs w:val="24"/>
        </w:rPr>
        <w:t>6</w:t>
      </w:r>
      <w:r w:rsidRPr="00662F0D">
        <w:rPr>
          <w:rFonts w:ascii="Arial" w:hAnsi="Arial" w:cs="Arial"/>
          <w:sz w:val="24"/>
          <w:szCs w:val="24"/>
        </w:rPr>
        <w:tab/>
        <w:t xml:space="preserve">Berridge, K. C. &amp; Robinson, T. E. Liking, wanting, and the incentive-sensitization theory of addiction. </w:t>
      </w:r>
      <w:r w:rsidRPr="00662F0D">
        <w:rPr>
          <w:rFonts w:ascii="Arial" w:hAnsi="Arial" w:cs="Arial"/>
          <w:i/>
          <w:sz w:val="24"/>
          <w:szCs w:val="24"/>
        </w:rPr>
        <w:t>Am. Psychol.</w:t>
      </w:r>
      <w:r w:rsidRPr="00662F0D">
        <w:rPr>
          <w:rFonts w:ascii="Arial" w:hAnsi="Arial" w:cs="Arial"/>
          <w:sz w:val="24"/>
          <w:szCs w:val="24"/>
        </w:rPr>
        <w:t xml:space="preserve"> </w:t>
      </w:r>
      <w:r w:rsidRPr="00662F0D">
        <w:rPr>
          <w:rFonts w:ascii="Arial" w:hAnsi="Arial" w:cs="Arial"/>
          <w:b/>
          <w:sz w:val="24"/>
          <w:szCs w:val="24"/>
        </w:rPr>
        <w:t>71</w:t>
      </w:r>
      <w:r w:rsidRPr="00662F0D">
        <w:rPr>
          <w:rFonts w:ascii="Arial" w:hAnsi="Arial" w:cs="Arial"/>
          <w:sz w:val="24"/>
          <w:szCs w:val="24"/>
        </w:rPr>
        <w:t>, 670 (2016).</w:t>
      </w:r>
    </w:p>
    <w:p w14:paraId="5E6B7E0E" w14:textId="77777777" w:rsidR="005658A7" w:rsidRPr="00662F0D" w:rsidRDefault="005658A7" w:rsidP="00662F0D">
      <w:pPr>
        <w:pStyle w:val="EndNoteBibliography"/>
        <w:spacing w:after="0"/>
        <w:ind w:left="720" w:hanging="720"/>
        <w:rPr>
          <w:rFonts w:ascii="Arial" w:hAnsi="Arial" w:cs="Arial"/>
          <w:sz w:val="24"/>
          <w:szCs w:val="24"/>
        </w:rPr>
      </w:pPr>
      <w:r w:rsidRPr="00662F0D">
        <w:rPr>
          <w:rFonts w:ascii="Arial" w:hAnsi="Arial" w:cs="Arial"/>
          <w:sz w:val="24"/>
          <w:szCs w:val="24"/>
        </w:rPr>
        <w:t>7</w:t>
      </w:r>
      <w:r w:rsidRPr="00662F0D">
        <w:rPr>
          <w:rFonts w:ascii="Arial" w:hAnsi="Arial" w:cs="Arial"/>
          <w:sz w:val="24"/>
          <w:szCs w:val="24"/>
        </w:rPr>
        <w:tab/>
        <w:t xml:space="preserve">McSweeney, F. K. &amp; Murphy, E. S. Sensitization and habituation regulate reinforcer effectiveness. </w:t>
      </w:r>
      <w:r w:rsidRPr="00662F0D">
        <w:rPr>
          <w:rFonts w:ascii="Arial" w:hAnsi="Arial" w:cs="Arial"/>
          <w:i/>
          <w:sz w:val="24"/>
          <w:szCs w:val="24"/>
        </w:rPr>
        <w:t>Neurobiol. Learn. Mem.</w:t>
      </w:r>
      <w:r w:rsidRPr="00662F0D">
        <w:rPr>
          <w:rFonts w:ascii="Arial" w:hAnsi="Arial" w:cs="Arial"/>
          <w:sz w:val="24"/>
          <w:szCs w:val="24"/>
        </w:rPr>
        <w:t xml:space="preserve"> </w:t>
      </w:r>
      <w:r w:rsidRPr="00662F0D">
        <w:rPr>
          <w:rFonts w:ascii="Arial" w:hAnsi="Arial" w:cs="Arial"/>
          <w:b/>
          <w:sz w:val="24"/>
          <w:szCs w:val="24"/>
        </w:rPr>
        <w:t>92</w:t>
      </w:r>
      <w:r w:rsidRPr="00662F0D">
        <w:rPr>
          <w:rFonts w:ascii="Arial" w:hAnsi="Arial" w:cs="Arial"/>
          <w:sz w:val="24"/>
          <w:szCs w:val="24"/>
        </w:rPr>
        <w:t>, 189-198 (2009).</w:t>
      </w:r>
    </w:p>
    <w:p w14:paraId="27919DC3" w14:textId="77777777" w:rsidR="005658A7" w:rsidRPr="00662F0D" w:rsidRDefault="005658A7" w:rsidP="00662F0D">
      <w:pPr>
        <w:pStyle w:val="EndNoteBibliography"/>
        <w:ind w:left="720" w:hanging="720"/>
        <w:rPr>
          <w:rFonts w:ascii="Arial" w:hAnsi="Arial" w:cs="Arial"/>
          <w:sz w:val="24"/>
          <w:szCs w:val="24"/>
        </w:rPr>
      </w:pPr>
      <w:r w:rsidRPr="00662F0D">
        <w:rPr>
          <w:rFonts w:ascii="Arial" w:hAnsi="Arial" w:cs="Arial"/>
          <w:sz w:val="24"/>
          <w:szCs w:val="24"/>
        </w:rPr>
        <w:t>8</w:t>
      </w:r>
      <w:r w:rsidRPr="00662F0D">
        <w:rPr>
          <w:rFonts w:ascii="Arial" w:hAnsi="Arial" w:cs="Arial"/>
          <w:sz w:val="24"/>
          <w:szCs w:val="24"/>
        </w:rPr>
        <w:tab/>
        <w:t xml:space="preserve">Cabanac, M. Sensory pleasure. </w:t>
      </w:r>
      <w:r w:rsidRPr="00662F0D">
        <w:rPr>
          <w:rFonts w:ascii="Arial" w:hAnsi="Arial" w:cs="Arial"/>
          <w:i/>
          <w:sz w:val="24"/>
          <w:szCs w:val="24"/>
        </w:rPr>
        <w:t>The quarterly review of biology</w:t>
      </w:r>
      <w:r w:rsidRPr="00662F0D">
        <w:rPr>
          <w:rFonts w:ascii="Arial" w:hAnsi="Arial" w:cs="Arial"/>
          <w:sz w:val="24"/>
          <w:szCs w:val="24"/>
        </w:rPr>
        <w:t xml:space="preserve"> </w:t>
      </w:r>
      <w:r w:rsidRPr="00662F0D">
        <w:rPr>
          <w:rFonts w:ascii="Arial" w:hAnsi="Arial" w:cs="Arial"/>
          <w:b/>
          <w:sz w:val="24"/>
          <w:szCs w:val="24"/>
        </w:rPr>
        <w:t>54</w:t>
      </w:r>
      <w:r w:rsidRPr="00662F0D">
        <w:rPr>
          <w:rFonts w:ascii="Arial" w:hAnsi="Arial" w:cs="Arial"/>
          <w:sz w:val="24"/>
          <w:szCs w:val="24"/>
        </w:rPr>
        <w:t>, 1-29 (1979).</w:t>
      </w:r>
    </w:p>
    <w:p w14:paraId="1FCF8CF0" w14:textId="5CCFB64D" w:rsidR="00C42B41" w:rsidRPr="00654124" w:rsidRDefault="00D53456" w:rsidP="00662F0D">
      <w:pPr>
        <w:ind w:left="720" w:hanging="720"/>
        <w:rPr>
          <w:rFonts w:ascii="Arial" w:hAnsi="Arial" w:cs="Arial"/>
        </w:rPr>
      </w:pPr>
      <w:r w:rsidRPr="00662F0D">
        <w:rPr>
          <w:rFonts w:ascii="Arial" w:hAnsi="Arial" w:cs="Arial"/>
          <w:sz w:val="24"/>
          <w:szCs w:val="24"/>
        </w:rPr>
        <w:fldChar w:fldCharType="end"/>
      </w:r>
    </w:p>
    <w:sectPr w:rsidR="00C42B41" w:rsidRPr="00654124">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45B572" w16cid:durableId="21D548F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zdr2vfg0p90ceevvix0vryta0pf5v02atr&quot;&gt;Library1-Saved&lt;record-ids&gt;&lt;item&gt;233&lt;/item&gt;&lt;item&gt;234&lt;/item&gt;&lt;item&gt;243&lt;/item&gt;&lt;item&gt;278&lt;/item&gt;&lt;item&gt;280&lt;/item&gt;&lt;item&gt;281&lt;/item&gt;&lt;item&gt;291&lt;/item&gt;&lt;item&gt;395&lt;/item&gt;&lt;item&gt;494&lt;/item&gt;&lt;/record-ids&gt;&lt;/item&gt;&lt;/Libraries&gt;"/>
  </w:docVars>
  <w:rsids>
    <w:rsidRoot w:val="00286AD3"/>
    <w:rsid w:val="000D0191"/>
    <w:rsid w:val="00130F39"/>
    <w:rsid w:val="001548DC"/>
    <w:rsid w:val="001730DB"/>
    <w:rsid w:val="00286AD3"/>
    <w:rsid w:val="003001AE"/>
    <w:rsid w:val="00306E1E"/>
    <w:rsid w:val="0035572C"/>
    <w:rsid w:val="003610D0"/>
    <w:rsid w:val="00372692"/>
    <w:rsid w:val="003E060E"/>
    <w:rsid w:val="003F5093"/>
    <w:rsid w:val="00404AED"/>
    <w:rsid w:val="004F0DDC"/>
    <w:rsid w:val="005658A7"/>
    <w:rsid w:val="005C3861"/>
    <w:rsid w:val="005D0505"/>
    <w:rsid w:val="00615B5D"/>
    <w:rsid w:val="00654124"/>
    <w:rsid w:val="00662F0D"/>
    <w:rsid w:val="00677A68"/>
    <w:rsid w:val="006F35E0"/>
    <w:rsid w:val="007044AD"/>
    <w:rsid w:val="00820542"/>
    <w:rsid w:val="0085311E"/>
    <w:rsid w:val="00862390"/>
    <w:rsid w:val="0090422E"/>
    <w:rsid w:val="00967D2F"/>
    <w:rsid w:val="00992CD2"/>
    <w:rsid w:val="009A2034"/>
    <w:rsid w:val="009D5631"/>
    <w:rsid w:val="00A11D30"/>
    <w:rsid w:val="00A15FBD"/>
    <w:rsid w:val="00A244B6"/>
    <w:rsid w:val="00A83C09"/>
    <w:rsid w:val="00B20609"/>
    <w:rsid w:val="00BC0453"/>
    <w:rsid w:val="00C25FA8"/>
    <w:rsid w:val="00C27766"/>
    <w:rsid w:val="00C42B41"/>
    <w:rsid w:val="00D53456"/>
    <w:rsid w:val="00D63FFA"/>
    <w:rsid w:val="00D64F31"/>
    <w:rsid w:val="00DC3E58"/>
    <w:rsid w:val="00DF0C19"/>
    <w:rsid w:val="00E32B8E"/>
    <w:rsid w:val="00F10496"/>
    <w:rsid w:val="00F233F4"/>
    <w:rsid w:val="00F27136"/>
    <w:rsid w:val="00FE1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8C6EB"/>
  <w15:chartTrackingRefBased/>
  <w15:docId w15:val="{890BF5D9-A280-42A5-AC3E-815C627E0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4B6"/>
    <w:pPr>
      <w:ind w:left="720"/>
      <w:contextualSpacing/>
    </w:pPr>
  </w:style>
  <w:style w:type="character" w:styleId="Hyperlink">
    <w:name w:val="Hyperlink"/>
    <w:basedOn w:val="DefaultParagraphFont"/>
    <w:uiPriority w:val="99"/>
    <w:unhideWhenUsed/>
    <w:rsid w:val="00967D2F"/>
    <w:rPr>
      <w:color w:val="0000FF"/>
      <w:u w:val="single"/>
    </w:rPr>
  </w:style>
  <w:style w:type="paragraph" w:customStyle="1" w:styleId="EndNoteBibliographyTitle">
    <w:name w:val="EndNote Bibliography Title"/>
    <w:basedOn w:val="Normal"/>
    <w:link w:val="EndNoteBibliographyTitleChar"/>
    <w:rsid w:val="00D5345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53456"/>
    <w:rPr>
      <w:rFonts w:ascii="Calibri" w:hAnsi="Calibri" w:cs="Calibri"/>
      <w:noProof/>
    </w:rPr>
  </w:style>
  <w:style w:type="paragraph" w:customStyle="1" w:styleId="EndNoteBibliography">
    <w:name w:val="EndNote Bibliography"/>
    <w:basedOn w:val="Normal"/>
    <w:link w:val="EndNoteBibliographyChar"/>
    <w:rsid w:val="00D5345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53456"/>
    <w:rPr>
      <w:rFonts w:ascii="Calibri" w:hAnsi="Calibri" w:cs="Calibri"/>
      <w:noProof/>
    </w:rPr>
  </w:style>
  <w:style w:type="paragraph" w:styleId="BalloonText">
    <w:name w:val="Balloon Text"/>
    <w:basedOn w:val="Normal"/>
    <w:link w:val="BalloonTextChar"/>
    <w:uiPriority w:val="99"/>
    <w:semiHidden/>
    <w:unhideWhenUsed/>
    <w:rsid w:val="006F35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5E0"/>
    <w:rPr>
      <w:rFonts w:ascii="Segoe UI" w:hAnsi="Segoe UI" w:cs="Segoe UI"/>
      <w:sz w:val="18"/>
      <w:szCs w:val="18"/>
    </w:rPr>
  </w:style>
  <w:style w:type="character" w:styleId="CommentReference">
    <w:name w:val="annotation reference"/>
    <w:basedOn w:val="DefaultParagraphFont"/>
    <w:uiPriority w:val="99"/>
    <w:semiHidden/>
    <w:unhideWhenUsed/>
    <w:rsid w:val="003001AE"/>
    <w:rPr>
      <w:sz w:val="16"/>
      <w:szCs w:val="16"/>
    </w:rPr>
  </w:style>
  <w:style w:type="paragraph" w:styleId="CommentText">
    <w:name w:val="annotation text"/>
    <w:basedOn w:val="Normal"/>
    <w:link w:val="CommentTextChar"/>
    <w:uiPriority w:val="99"/>
    <w:semiHidden/>
    <w:unhideWhenUsed/>
    <w:rsid w:val="003001AE"/>
    <w:pPr>
      <w:spacing w:line="240" w:lineRule="auto"/>
    </w:pPr>
    <w:rPr>
      <w:sz w:val="20"/>
      <w:szCs w:val="20"/>
    </w:rPr>
  </w:style>
  <w:style w:type="character" w:customStyle="1" w:styleId="CommentTextChar">
    <w:name w:val="Comment Text Char"/>
    <w:basedOn w:val="DefaultParagraphFont"/>
    <w:link w:val="CommentText"/>
    <w:uiPriority w:val="99"/>
    <w:semiHidden/>
    <w:rsid w:val="003001AE"/>
    <w:rPr>
      <w:sz w:val="20"/>
      <w:szCs w:val="20"/>
    </w:rPr>
  </w:style>
  <w:style w:type="paragraph" w:styleId="CommentSubject">
    <w:name w:val="annotation subject"/>
    <w:basedOn w:val="CommentText"/>
    <w:next w:val="CommentText"/>
    <w:link w:val="CommentSubjectChar"/>
    <w:uiPriority w:val="99"/>
    <w:semiHidden/>
    <w:unhideWhenUsed/>
    <w:rsid w:val="003001AE"/>
    <w:rPr>
      <w:b/>
      <w:bCs/>
    </w:rPr>
  </w:style>
  <w:style w:type="character" w:customStyle="1" w:styleId="CommentSubjectChar">
    <w:name w:val="Comment Subject Char"/>
    <w:basedOn w:val="CommentTextChar"/>
    <w:link w:val="CommentSubject"/>
    <w:uiPriority w:val="99"/>
    <w:semiHidden/>
    <w:rsid w:val="003001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tiff"/><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hyperlink" Target="https://github.com/Entience/Cyberfiend" TargetMode="External"/><Relationship Id="rId15" Type="http://schemas.openxmlformats.org/officeDocument/2006/relationships/oleObject" Target="embeddings/oleObject5.bin"/><Relationship Id="rId23" Type="http://schemas.microsoft.com/office/2016/09/relationships/commentsIds" Target="commentsIds.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hyperlink" Target="https://github.com/Entience/Cyberslug" TargetMode="Externa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3526</Words>
  <Characters>20101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dc:creator>
  <cp:keywords/>
  <dc:description/>
  <cp:lastModifiedBy>Rhanor Gillette</cp:lastModifiedBy>
  <cp:revision>2</cp:revision>
  <cp:lastPrinted>2020-03-06T21:03:00Z</cp:lastPrinted>
  <dcterms:created xsi:type="dcterms:W3CDTF">2020-04-24T15:32:00Z</dcterms:created>
  <dcterms:modified xsi:type="dcterms:W3CDTF">2020-04-24T15:32:00Z</dcterms:modified>
</cp:coreProperties>
</file>