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F03" w:rsidRPr="008A0AB5" w:rsidRDefault="00077F03" w:rsidP="00077F03">
      <w:pPr>
        <w:suppressLineNumbers/>
        <w:spacing w:line="360" w:lineRule="auto"/>
        <w:rPr>
          <w:b/>
          <w:bCs/>
          <w:sz w:val="24"/>
          <w:szCs w:val="24"/>
        </w:rPr>
      </w:pPr>
      <w:r w:rsidRPr="008A0AB5">
        <w:rPr>
          <w:b/>
          <w:bCs/>
          <w:sz w:val="24"/>
          <w:szCs w:val="24"/>
        </w:rPr>
        <w:t>Title: Differential effects of high fat diet-induced obesity on oocyte mitochondrial functions in inbred and outbred mice.</w:t>
      </w:r>
    </w:p>
    <w:p w:rsidR="00077F03" w:rsidRPr="008A0AB5" w:rsidRDefault="00077F03" w:rsidP="00077F03">
      <w:pPr>
        <w:suppressLineNumbers/>
        <w:spacing w:line="360" w:lineRule="auto"/>
        <w:rPr>
          <w:sz w:val="24"/>
          <w:szCs w:val="24"/>
          <w:vertAlign w:val="superscript"/>
        </w:rPr>
      </w:pPr>
      <w:r w:rsidRPr="008A0AB5">
        <w:rPr>
          <w:sz w:val="24"/>
          <w:szCs w:val="24"/>
        </w:rPr>
        <w:t xml:space="preserve">Waleed F.A. </w:t>
      </w:r>
      <w:proofErr w:type="spellStart"/>
      <w:r w:rsidRPr="008A0AB5">
        <w:rPr>
          <w:sz w:val="24"/>
          <w:szCs w:val="24"/>
        </w:rPr>
        <w:t>Marei</w:t>
      </w:r>
      <w:r w:rsidRPr="008A0AB5">
        <w:rPr>
          <w:sz w:val="24"/>
          <w:szCs w:val="24"/>
          <w:vertAlign w:val="superscript"/>
        </w:rPr>
        <w:t>a,b</w:t>
      </w:r>
      <w:r w:rsidRPr="008A0AB5">
        <w:rPr>
          <w:rFonts w:cstheme="minorHAnsi"/>
          <w:sz w:val="24"/>
          <w:szCs w:val="24"/>
          <w:vertAlign w:val="superscript"/>
        </w:rPr>
        <w:t>Ŧ</w:t>
      </w:r>
      <w:proofErr w:type="spellEnd"/>
      <w:r w:rsidRPr="008A0AB5">
        <w:rPr>
          <w:sz w:val="24"/>
          <w:szCs w:val="24"/>
          <w:vertAlign w:val="superscript"/>
        </w:rPr>
        <w:t>*</w:t>
      </w:r>
      <w:r w:rsidRPr="008A0AB5">
        <w:rPr>
          <w:sz w:val="24"/>
          <w:szCs w:val="24"/>
        </w:rPr>
        <w:t>,</w:t>
      </w:r>
      <w:r w:rsidRPr="008A0AB5">
        <w:rPr>
          <w:sz w:val="24"/>
          <w:szCs w:val="24"/>
          <w:vertAlign w:val="superscript"/>
        </w:rPr>
        <w:t xml:space="preserve"> </w:t>
      </w:r>
      <w:r w:rsidRPr="008A0AB5">
        <w:rPr>
          <w:sz w:val="24"/>
          <w:szCs w:val="24"/>
        </w:rPr>
        <w:t xml:space="preserve">Anouk </w:t>
      </w:r>
      <w:proofErr w:type="spellStart"/>
      <w:r w:rsidRPr="008A0AB5">
        <w:rPr>
          <w:sz w:val="24"/>
          <w:szCs w:val="24"/>
        </w:rPr>
        <w:t>Smits</w:t>
      </w:r>
      <w:r w:rsidRPr="008A0AB5">
        <w:rPr>
          <w:sz w:val="24"/>
          <w:szCs w:val="24"/>
          <w:vertAlign w:val="superscript"/>
        </w:rPr>
        <w:t>a</w:t>
      </w:r>
      <w:r w:rsidRPr="008A0AB5">
        <w:rPr>
          <w:rFonts w:cstheme="minorHAnsi"/>
          <w:sz w:val="24"/>
          <w:szCs w:val="24"/>
          <w:vertAlign w:val="superscript"/>
        </w:rPr>
        <w:t>Ŧ</w:t>
      </w:r>
      <w:proofErr w:type="spellEnd"/>
      <w:r w:rsidRPr="008A0AB5">
        <w:rPr>
          <w:sz w:val="24"/>
          <w:szCs w:val="24"/>
        </w:rPr>
        <w:t>, Omnia Mohey-</w:t>
      </w:r>
      <w:proofErr w:type="spellStart"/>
      <w:r w:rsidRPr="008A0AB5">
        <w:rPr>
          <w:sz w:val="24"/>
          <w:szCs w:val="24"/>
        </w:rPr>
        <w:t>Elsaeed</w:t>
      </w:r>
      <w:r w:rsidRPr="008A0AB5">
        <w:rPr>
          <w:sz w:val="24"/>
          <w:szCs w:val="24"/>
          <w:vertAlign w:val="superscript"/>
        </w:rPr>
        <w:t>c,d</w:t>
      </w:r>
      <w:proofErr w:type="spellEnd"/>
      <w:r w:rsidRPr="008A0AB5">
        <w:rPr>
          <w:sz w:val="24"/>
          <w:szCs w:val="24"/>
        </w:rPr>
        <w:t>,</w:t>
      </w:r>
      <w:r w:rsidRPr="008A0AB5">
        <w:rPr>
          <w:sz w:val="24"/>
          <w:szCs w:val="24"/>
          <w:vertAlign w:val="superscript"/>
        </w:rPr>
        <w:t xml:space="preserve"> </w:t>
      </w:r>
      <w:r w:rsidRPr="008A0AB5">
        <w:rPr>
          <w:sz w:val="24"/>
          <w:szCs w:val="24"/>
        </w:rPr>
        <w:t>Isabel</w:t>
      </w:r>
      <w:r w:rsidRPr="008A0AB5">
        <w:rPr>
          <w:sz w:val="24"/>
          <w:szCs w:val="24"/>
          <w:vertAlign w:val="superscript"/>
        </w:rPr>
        <w:t xml:space="preserve"> </w:t>
      </w:r>
      <w:proofErr w:type="spellStart"/>
      <w:r w:rsidRPr="008A0AB5">
        <w:rPr>
          <w:sz w:val="24"/>
          <w:szCs w:val="24"/>
        </w:rPr>
        <w:t>Pintelon</w:t>
      </w:r>
      <w:r w:rsidRPr="008A0AB5">
        <w:rPr>
          <w:sz w:val="24"/>
          <w:szCs w:val="24"/>
          <w:vertAlign w:val="superscript"/>
        </w:rPr>
        <w:t>d</w:t>
      </w:r>
      <w:proofErr w:type="spellEnd"/>
      <w:r w:rsidRPr="008A0AB5">
        <w:rPr>
          <w:sz w:val="24"/>
          <w:szCs w:val="24"/>
          <w:vertAlign w:val="superscript"/>
        </w:rPr>
        <w:t xml:space="preserve"> </w:t>
      </w:r>
      <w:r w:rsidRPr="008A0AB5">
        <w:rPr>
          <w:sz w:val="24"/>
          <w:szCs w:val="24"/>
        </w:rPr>
        <w:t xml:space="preserve">, Daisy </w:t>
      </w:r>
      <w:proofErr w:type="spellStart"/>
      <w:r w:rsidRPr="008A0AB5">
        <w:rPr>
          <w:sz w:val="24"/>
          <w:szCs w:val="24"/>
        </w:rPr>
        <w:t>Ginneberge</w:t>
      </w:r>
      <w:r w:rsidRPr="008A0AB5">
        <w:rPr>
          <w:sz w:val="24"/>
          <w:szCs w:val="24"/>
          <w:vertAlign w:val="superscript"/>
        </w:rPr>
        <w:t>e,f</w:t>
      </w:r>
      <w:proofErr w:type="spellEnd"/>
      <w:r w:rsidRPr="008A0AB5">
        <w:rPr>
          <w:sz w:val="24"/>
          <w:szCs w:val="24"/>
        </w:rPr>
        <w:t xml:space="preserve">, Peter EJ </w:t>
      </w:r>
      <w:proofErr w:type="spellStart"/>
      <w:r w:rsidRPr="008A0AB5">
        <w:rPr>
          <w:sz w:val="24"/>
          <w:szCs w:val="24"/>
        </w:rPr>
        <w:t>Bols</w:t>
      </w:r>
      <w:r w:rsidRPr="008A0AB5">
        <w:rPr>
          <w:sz w:val="24"/>
          <w:szCs w:val="24"/>
          <w:vertAlign w:val="superscript"/>
        </w:rPr>
        <w:t>a</w:t>
      </w:r>
      <w:proofErr w:type="spellEnd"/>
      <w:r w:rsidRPr="008A0AB5">
        <w:rPr>
          <w:sz w:val="24"/>
          <w:szCs w:val="24"/>
        </w:rPr>
        <w:t xml:space="preserve">, Katrien </w:t>
      </w:r>
      <w:proofErr w:type="spellStart"/>
      <w:r w:rsidRPr="008A0AB5">
        <w:rPr>
          <w:sz w:val="24"/>
          <w:szCs w:val="24"/>
        </w:rPr>
        <w:t>Moerloose</w:t>
      </w:r>
      <w:r w:rsidRPr="008A0AB5">
        <w:rPr>
          <w:sz w:val="24"/>
          <w:szCs w:val="24"/>
          <w:vertAlign w:val="superscript"/>
        </w:rPr>
        <w:t>e,f</w:t>
      </w:r>
      <w:proofErr w:type="spellEnd"/>
      <w:r w:rsidRPr="008A0AB5">
        <w:rPr>
          <w:sz w:val="24"/>
          <w:szCs w:val="24"/>
        </w:rPr>
        <w:t xml:space="preserve">, Jo L.M.R </w:t>
      </w:r>
      <w:proofErr w:type="spellStart"/>
      <w:r w:rsidRPr="008A0AB5">
        <w:rPr>
          <w:sz w:val="24"/>
          <w:szCs w:val="24"/>
        </w:rPr>
        <w:t>Leroy</w:t>
      </w:r>
      <w:r w:rsidRPr="008A0AB5">
        <w:rPr>
          <w:sz w:val="24"/>
          <w:szCs w:val="24"/>
          <w:vertAlign w:val="superscript"/>
        </w:rPr>
        <w:t>a</w:t>
      </w:r>
      <w:proofErr w:type="spellEnd"/>
    </w:p>
    <w:p w:rsidR="00077F03" w:rsidRPr="008A0AB5" w:rsidRDefault="00077F03" w:rsidP="00077F03">
      <w:pPr>
        <w:suppressLineNumbers/>
        <w:spacing w:after="0" w:line="240" w:lineRule="auto"/>
        <w:rPr>
          <w:shd w:val="clear" w:color="auto" w:fill="FFFFFF"/>
          <w:lang w:val="en-GB"/>
        </w:rPr>
      </w:pPr>
      <w:r w:rsidRPr="008A0AB5">
        <w:rPr>
          <w:shd w:val="clear" w:color="auto" w:fill="FFFFFF"/>
          <w:vertAlign w:val="superscript"/>
          <w:lang w:val="en-GB"/>
        </w:rPr>
        <w:t xml:space="preserve">a </w:t>
      </w:r>
      <w:r w:rsidRPr="008A0AB5">
        <w:rPr>
          <w:shd w:val="clear" w:color="auto" w:fill="FFFFFF"/>
          <w:lang w:val="en-GB"/>
        </w:rPr>
        <w:t>Gamete Research Centre, University of Antwerp, 2610 Wilrijk, Belgium.</w:t>
      </w:r>
    </w:p>
    <w:p w:rsidR="00077F03" w:rsidRPr="008A0AB5" w:rsidRDefault="00077F03" w:rsidP="00077F03">
      <w:pPr>
        <w:suppressLineNumbers/>
        <w:spacing w:after="0" w:line="240" w:lineRule="auto"/>
      </w:pPr>
      <w:r w:rsidRPr="008A0AB5">
        <w:rPr>
          <w:vertAlign w:val="superscript"/>
        </w:rPr>
        <w:t xml:space="preserve">b </w:t>
      </w:r>
      <w:r w:rsidRPr="008A0AB5">
        <w:t>Department</w:t>
      </w:r>
      <w:r w:rsidRPr="008A0AB5">
        <w:rPr>
          <w:vertAlign w:val="superscript"/>
        </w:rPr>
        <w:t xml:space="preserve"> </w:t>
      </w:r>
      <w:r w:rsidRPr="008A0AB5">
        <w:t>of Theriogenology, Faculty of Veterinary Medicine, Cairo University, Giza 12211, Egypt.</w:t>
      </w:r>
    </w:p>
    <w:p w:rsidR="00077F03" w:rsidRPr="008A0AB5" w:rsidRDefault="00077F03" w:rsidP="00077F03">
      <w:pPr>
        <w:suppressLineNumbers/>
        <w:spacing w:after="0" w:line="240" w:lineRule="auto"/>
        <w:rPr>
          <w:vertAlign w:val="superscript"/>
        </w:rPr>
      </w:pPr>
      <w:r w:rsidRPr="008A0AB5">
        <w:rPr>
          <w:vertAlign w:val="superscript"/>
        </w:rPr>
        <w:t xml:space="preserve">c </w:t>
      </w:r>
      <w:r w:rsidRPr="008A0AB5">
        <w:t>Department</w:t>
      </w:r>
      <w:r w:rsidRPr="008A0AB5">
        <w:rPr>
          <w:vertAlign w:val="superscript"/>
        </w:rPr>
        <w:t xml:space="preserve"> </w:t>
      </w:r>
      <w:r w:rsidRPr="008A0AB5">
        <w:t>of Cytology and Histology, Faculty of Veterinary Medicine, Cairo University, Giza 12211, Egypt.</w:t>
      </w:r>
    </w:p>
    <w:p w:rsidR="00077F03" w:rsidRPr="008A0AB5" w:rsidRDefault="00077F03" w:rsidP="00077F03">
      <w:pPr>
        <w:suppressLineNumbers/>
        <w:spacing w:after="0" w:line="240" w:lineRule="auto"/>
      </w:pPr>
      <w:r w:rsidRPr="008A0AB5">
        <w:rPr>
          <w:vertAlign w:val="superscript"/>
        </w:rPr>
        <w:t xml:space="preserve">d </w:t>
      </w:r>
      <w:r w:rsidRPr="008A0AB5">
        <w:t xml:space="preserve">Laboratory of Cell Biology &amp; Histology, University of Antwerp, </w:t>
      </w:r>
      <w:r w:rsidRPr="008A0AB5">
        <w:rPr>
          <w:shd w:val="clear" w:color="auto" w:fill="FFFFFF"/>
          <w:lang w:val="en-GB"/>
        </w:rPr>
        <w:t>2610 Wilrijk,</w:t>
      </w:r>
      <w:r w:rsidRPr="008A0AB5">
        <w:t xml:space="preserve"> Belgium</w:t>
      </w:r>
    </w:p>
    <w:p w:rsidR="00077F03" w:rsidRPr="008A0AB5" w:rsidRDefault="00077F03" w:rsidP="00077F03">
      <w:pPr>
        <w:suppressLineNumbers/>
        <w:spacing w:after="0" w:line="240" w:lineRule="auto"/>
      </w:pPr>
      <w:r w:rsidRPr="008A0AB5">
        <w:rPr>
          <w:vertAlign w:val="superscript"/>
        </w:rPr>
        <w:t xml:space="preserve">e </w:t>
      </w:r>
      <w:r w:rsidRPr="008A0AB5">
        <w:rPr>
          <w:rFonts w:cs="Corbel"/>
        </w:rPr>
        <w:t>VIB Center for Inflammation Research, Ghent, Belgium</w:t>
      </w:r>
    </w:p>
    <w:p w:rsidR="00077F03" w:rsidRPr="008A0AB5" w:rsidRDefault="00077F03" w:rsidP="00077F03">
      <w:pPr>
        <w:suppressLineNumbers/>
        <w:spacing w:after="0" w:line="240" w:lineRule="auto"/>
      </w:pPr>
      <w:r w:rsidRPr="008A0AB5">
        <w:rPr>
          <w:vertAlign w:val="superscript"/>
        </w:rPr>
        <w:t xml:space="preserve">f </w:t>
      </w:r>
      <w:r w:rsidRPr="008A0AB5">
        <w:rPr>
          <w:rFonts w:cs="Corbel"/>
        </w:rPr>
        <w:t>Department of Biomedical Molecular Biology, Ghent University, Ghent, Belgium</w:t>
      </w:r>
    </w:p>
    <w:p w:rsidR="00077F03" w:rsidRPr="008A0AB5" w:rsidRDefault="00077F03" w:rsidP="00077F03">
      <w:pPr>
        <w:suppressLineNumbers/>
        <w:spacing w:after="0" w:line="240" w:lineRule="auto"/>
      </w:pPr>
      <w:r w:rsidRPr="008A0AB5">
        <w:rPr>
          <w:rFonts w:cstheme="minorHAnsi"/>
        </w:rPr>
        <w:t>Ŧ</w:t>
      </w:r>
      <w:r w:rsidRPr="008A0AB5">
        <w:t xml:space="preserve"> W.F.A.M and A.S equally contributed to this study. </w:t>
      </w:r>
    </w:p>
    <w:p w:rsidR="00077F03" w:rsidRPr="008A0AB5" w:rsidRDefault="00077F03" w:rsidP="00077F03">
      <w:pPr>
        <w:suppressLineNumbers/>
        <w:spacing w:after="0" w:line="240" w:lineRule="auto"/>
      </w:pPr>
      <w:r w:rsidRPr="008A0AB5">
        <w:t xml:space="preserve">*Corresponding author: </w:t>
      </w:r>
      <w:hyperlink r:id="rId4" w:history="1">
        <w:r w:rsidRPr="008A0AB5">
          <w:rPr>
            <w:color w:val="0563C1" w:themeColor="hyperlink"/>
            <w:u w:val="single"/>
          </w:rPr>
          <w:t>Waleed.Marei@uantwerpen.be</w:t>
        </w:r>
      </w:hyperlink>
    </w:p>
    <w:p w:rsidR="00B73DB6" w:rsidRPr="00077F03" w:rsidRDefault="00B73DB6" w:rsidP="00B73DB6">
      <w:pPr>
        <w:pStyle w:val="NoSpacing"/>
        <w:suppressLineNumbers/>
        <w:rPr>
          <w:lang w:val="en-US"/>
        </w:rPr>
      </w:pPr>
      <w:bookmarkStart w:id="0" w:name="_GoBack"/>
      <w:bookmarkEnd w:id="0"/>
    </w:p>
    <w:p w:rsidR="00B73DB6" w:rsidRPr="00B73DB6" w:rsidRDefault="00B73DB6" w:rsidP="00B73DB6">
      <w:pPr>
        <w:pStyle w:val="NoSpacing"/>
        <w:suppressLineNumbers/>
        <w:rPr>
          <w:lang w:val="en-US"/>
        </w:rPr>
      </w:pPr>
    </w:p>
    <w:p w:rsidR="00EF62D4" w:rsidRPr="00830A7F" w:rsidRDefault="00830A7F" w:rsidP="00830A7F">
      <w:pPr>
        <w:spacing w:line="360" w:lineRule="auto"/>
        <w:rPr>
          <w:rFonts w:cs="Calibri"/>
          <w:b/>
          <w:color w:val="000000"/>
        </w:rPr>
      </w:pPr>
      <w:r w:rsidRPr="00830A7F">
        <w:rPr>
          <w:rFonts w:cs="Calibri"/>
          <w:b/>
          <w:color w:val="000000"/>
        </w:rPr>
        <w:t>Appendix</w:t>
      </w:r>
      <w:r w:rsidR="00EF62D4" w:rsidRPr="00830A7F">
        <w:rPr>
          <w:rFonts w:cs="Calibri"/>
          <w:b/>
          <w:color w:val="000000"/>
        </w:rPr>
        <w:t>: Detailed methods used for assessment of oocyte quality</w:t>
      </w:r>
    </w:p>
    <w:p w:rsidR="00EF62D4" w:rsidRPr="00830A7F" w:rsidRDefault="00EF62D4" w:rsidP="00830A7F">
      <w:pPr>
        <w:spacing w:line="360" w:lineRule="auto"/>
        <w:rPr>
          <w:rFonts w:cs="Calibri"/>
          <w:b/>
          <w:color w:val="000000"/>
        </w:rPr>
      </w:pPr>
      <w:r w:rsidRPr="00830A7F">
        <w:rPr>
          <w:rFonts w:cs="Calibri"/>
          <w:b/>
          <w:color w:val="000000"/>
        </w:rPr>
        <w:t xml:space="preserve">1. Assessment of oocyte lipid droplet volume using </w:t>
      </w:r>
      <w:proofErr w:type="spellStart"/>
      <w:r w:rsidRPr="00830A7F">
        <w:rPr>
          <w:rFonts w:cs="Calibri"/>
          <w:b/>
          <w:color w:val="000000"/>
        </w:rPr>
        <w:t>Bodipy</w:t>
      </w:r>
      <w:proofErr w:type="spellEnd"/>
      <w:r w:rsidRPr="00830A7F">
        <w:rPr>
          <w:rFonts w:cs="Calibri"/>
          <w:b/>
          <w:color w:val="000000"/>
        </w:rPr>
        <w:t xml:space="preserve"> staining</w:t>
      </w:r>
    </w:p>
    <w:p w:rsidR="00EF62D4" w:rsidRPr="00830A7F" w:rsidRDefault="00EF62D4" w:rsidP="00830A7F">
      <w:pPr>
        <w:spacing w:line="360" w:lineRule="auto"/>
        <w:rPr>
          <w:rFonts w:cs="Calibri"/>
          <w:color w:val="000000"/>
        </w:rPr>
      </w:pPr>
      <w:r w:rsidRPr="00830A7F">
        <w:rPr>
          <w:rFonts w:cs="Calibri"/>
          <w:color w:val="000000"/>
        </w:rPr>
        <w:t xml:space="preserve">Oocytes were </w:t>
      </w:r>
      <w:proofErr w:type="spellStart"/>
      <w:r w:rsidRPr="00830A7F">
        <w:rPr>
          <w:rFonts w:cs="Calibri"/>
          <w:color w:val="000000"/>
        </w:rPr>
        <w:t>permeabilized</w:t>
      </w:r>
      <w:proofErr w:type="spellEnd"/>
      <w:r w:rsidRPr="00830A7F">
        <w:rPr>
          <w:rFonts w:cs="Calibri"/>
          <w:color w:val="000000"/>
        </w:rPr>
        <w:t xml:space="preserve"> for 30 min in PBS containing 0.1 % (w/v) </w:t>
      </w:r>
      <w:proofErr w:type="spellStart"/>
      <w:r w:rsidRPr="00830A7F">
        <w:rPr>
          <w:rFonts w:cs="Calibri"/>
          <w:color w:val="000000"/>
        </w:rPr>
        <w:t>saponin</w:t>
      </w:r>
      <w:proofErr w:type="spellEnd"/>
      <w:r w:rsidRPr="00830A7F">
        <w:rPr>
          <w:rFonts w:cs="Calibri"/>
          <w:color w:val="000000"/>
        </w:rPr>
        <w:t xml:space="preserve"> (</w:t>
      </w:r>
      <w:proofErr w:type="spellStart"/>
      <w:r w:rsidRPr="00830A7F">
        <w:rPr>
          <w:rFonts w:cs="Calibri"/>
          <w:color w:val="000000"/>
        </w:rPr>
        <w:t>Fiers</w:t>
      </w:r>
      <w:proofErr w:type="spellEnd"/>
      <w:r w:rsidRPr="00830A7F">
        <w:rPr>
          <w:rFonts w:cs="Calibri"/>
          <w:color w:val="000000"/>
        </w:rPr>
        <w:t xml:space="preserve">, </w:t>
      </w:r>
      <w:proofErr w:type="spellStart"/>
      <w:r w:rsidRPr="00830A7F">
        <w:rPr>
          <w:rFonts w:cs="Calibri"/>
          <w:color w:val="000000"/>
        </w:rPr>
        <w:t>Kuurne</w:t>
      </w:r>
      <w:proofErr w:type="spellEnd"/>
      <w:r w:rsidRPr="00830A7F">
        <w:rPr>
          <w:rFonts w:cs="Calibri"/>
          <w:color w:val="000000"/>
        </w:rPr>
        <w:t xml:space="preserve">, Belgium) and 0.1 M glycine. Nuclei were counterstained with 5 </w:t>
      </w:r>
      <w:proofErr w:type="spellStart"/>
      <w:r w:rsidRPr="00830A7F">
        <w:rPr>
          <w:rFonts w:cs="Calibri"/>
          <w:color w:val="000000"/>
        </w:rPr>
        <w:t>μg</w:t>
      </w:r>
      <w:proofErr w:type="spellEnd"/>
      <w:r w:rsidRPr="00830A7F">
        <w:rPr>
          <w:rFonts w:cs="Calibri"/>
          <w:color w:val="000000"/>
        </w:rPr>
        <w:t xml:space="preserve">/ml DAPI (Sigma-Aldrich) for 10 min and oocytes were subsequently washed twice in PBS-PVP. Lipid droplets were stained with 20 </w:t>
      </w:r>
      <w:proofErr w:type="spellStart"/>
      <w:r w:rsidRPr="00830A7F">
        <w:rPr>
          <w:rFonts w:cs="Calibri"/>
          <w:color w:val="000000"/>
        </w:rPr>
        <w:t>μg</w:t>
      </w:r>
      <w:proofErr w:type="spellEnd"/>
      <w:r w:rsidRPr="00830A7F">
        <w:rPr>
          <w:rFonts w:cs="Calibri"/>
          <w:color w:val="000000"/>
        </w:rPr>
        <w:t>/ml BODIPY 493/503 (</w:t>
      </w:r>
      <w:proofErr w:type="spellStart"/>
      <w:r w:rsidRPr="00830A7F">
        <w:rPr>
          <w:rFonts w:cs="Calibri"/>
          <w:color w:val="000000"/>
        </w:rPr>
        <w:t>Thermo</w:t>
      </w:r>
      <w:proofErr w:type="spellEnd"/>
      <w:r w:rsidRPr="00830A7F">
        <w:rPr>
          <w:rFonts w:cs="Calibri"/>
          <w:color w:val="000000"/>
        </w:rPr>
        <w:t xml:space="preserve"> Fisher Scientific) in PBS for 1h. Oocytes were washed twice in 3 mg/mL PBS-PVP after each step in the staining procedure. Finally, the oocytes were transferred to droplets of 3 mg/ml PBS-PVP on glass-bottom dishes and immediately examined under a confocal microscope. High resolution images were obtained using a Nikon Eclipse </w:t>
      </w:r>
      <w:proofErr w:type="spellStart"/>
      <w:r w:rsidRPr="00830A7F">
        <w:rPr>
          <w:rFonts w:cs="Calibri"/>
          <w:color w:val="000000"/>
        </w:rPr>
        <w:t>Ti</w:t>
      </w:r>
      <w:proofErr w:type="spellEnd"/>
      <w:r w:rsidRPr="00830A7F">
        <w:rPr>
          <w:rFonts w:cs="Calibri"/>
          <w:color w:val="000000"/>
        </w:rPr>
        <w:t xml:space="preserve">-E inverted microscope attached to a </w:t>
      </w:r>
      <w:proofErr w:type="spellStart"/>
      <w:r w:rsidRPr="00830A7F">
        <w:rPr>
          <w:rFonts w:cs="Calibri"/>
          <w:color w:val="000000"/>
        </w:rPr>
        <w:t>microlens</w:t>
      </w:r>
      <w:proofErr w:type="spellEnd"/>
      <w:r w:rsidRPr="00830A7F">
        <w:rPr>
          <w:rFonts w:cs="Calibri"/>
          <w:color w:val="000000"/>
        </w:rPr>
        <w:t>-enhanced dual spinning disk confocal system (</w:t>
      </w:r>
      <w:proofErr w:type="spellStart"/>
      <w:r w:rsidRPr="00830A7F">
        <w:rPr>
          <w:rFonts w:cs="Calibri"/>
          <w:color w:val="000000"/>
        </w:rPr>
        <w:t>UltraVIEW</w:t>
      </w:r>
      <w:proofErr w:type="spellEnd"/>
      <w:r w:rsidRPr="00830A7F">
        <w:rPr>
          <w:rFonts w:cs="Calibri"/>
          <w:color w:val="000000"/>
        </w:rPr>
        <w:t xml:space="preserve"> </w:t>
      </w:r>
      <w:proofErr w:type="spellStart"/>
      <w:r w:rsidRPr="00830A7F">
        <w:rPr>
          <w:rFonts w:cs="Calibri"/>
          <w:color w:val="000000"/>
        </w:rPr>
        <w:t>VoX</w:t>
      </w:r>
      <w:proofErr w:type="spellEnd"/>
      <w:r w:rsidRPr="00830A7F">
        <w:rPr>
          <w:rFonts w:cs="Calibri"/>
          <w:color w:val="000000"/>
        </w:rPr>
        <w:t xml:space="preserve">; PerkinElmer, </w:t>
      </w:r>
      <w:proofErr w:type="spellStart"/>
      <w:r w:rsidRPr="00830A7F">
        <w:rPr>
          <w:rFonts w:cs="Calibri"/>
          <w:color w:val="000000"/>
        </w:rPr>
        <w:t>Zaventem</w:t>
      </w:r>
      <w:proofErr w:type="spellEnd"/>
      <w:r w:rsidRPr="00830A7F">
        <w:rPr>
          <w:rFonts w:cs="Calibri"/>
          <w:color w:val="000000"/>
        </w:rPr>
        <w:t xml:space="preserve">, Belgium) equipped with 405 and 488 nm diode lasers for excitation of blue and green fluorophores, respectively. For each oocyte, a z-stack of 40 </w:t>
      </w:r>
      <w:proofErr w:type="spellStart"/>
      <w:r w:rsidRPr="00830A7F">
        <w:rPr>
          <w:rFonts w:cs="Calibri"/>
          <w:color w:val="000000"/>
        </w:rPr>
        <w:t>μm</w:t>
      </w:r>
      <w:proofErr w:type="spellEnd"/>
      <w:r w:rsidRPr="00830A7F">
        <w:rPr>
          <w:rFonts w:cs="Calibri"/>
          <w:color w:val="000000"/>
        </w:rPr>
        <w:t xml:space="preserve"> (1 </w:t>
      </w:r>
      <w:proofErr w:type="spellStart"/>
      <w:r w:rsidRPr="00830A7F">
        <w:rPr>
          <w:rFonts w:cs="Calibri"/>
          <w:color w:val="000000"/>
        </w:rPr>
        <w:t>μm</w:t>
      </w:r>
      <w:proofErr w:type="spellEnd"/>
      <w:r w:rsidRPr="00830A7F">
        <w:rPr>
          <w:rFonts w:cs="Calibri"/>
          <w:color w:val="000000"/>
        </w:rPr>
        <w:t xml:space="preserve"> interval) was taken in the lower half of the oocyte (closest to the objective lens where is the image is sharpest). Images were analyzed using </w:t>
      </w:r>
      <w:proofErr w:type="spellStart"/>
      <w:r w:rsidRPr="00830A7F">
        <w:rPr>
          <w:rFonts w:cs="Calibri"/>
          <w:color w:val="000000"/>
        </w:rPr>
        <w:t>Volocity</w:t>
      </w:r>
      <w:proofErr w:type="spellEnd"/>
      <w:r w:rsidRPr="00830A7F">
        <w:rPr>
          <w:rFonts w:cs="Calibri"/>
          <w:color w:val="000000"/>
        </w:rPr>
        <w:t xml:space="preserve"> 6.0.1 software (PerkinElmer) to evaluate the relative differences in lipid droplet content among oocytes in different groups. To avoid noise from background staining, droplets were only included in the analysis if their size was ≥0.5 μm³.</w:t>
      </w:r>
    </w:p>
    <w:p w:rsidR="00EF62D4" w:rsidRPr="00830A7F" w:rsidRDefault="00EF62D4" w:rsidP="00830A7F">
      <w:pPr>
        <w:spacing w:line="360" w:lineRule="auto"/>
        <w:rPr>
          <w:rFonts w:cs="Calibri"/>
          <w:b/>
          <w:bCs/>
          <w:color w:val="000000"/>
        </w:rPr>
      </w:pPr>
      <w:r w:rsidRPr="00830A7F">
        <w:rPr>
          <w:rFonts w:cs="Calibri"/>
          <w:b/>
          <w:bCs/>
          <w:color w:val="000000"/>
        </w:rPr>
        <w:t>2. Assessment of mitochondrial activity and intracellular ROS</w:t>
      </w:r>
    </w:p>
    <w:p w:rsidR="00EF62D4" w:rsidRPr="00830A7F" w:rsidRDefault="00EF62D4" w:rsidP="00830A7F">
      <w:pPr>
        <w:spacing w:line="360" w:lineRule="auto"/>
        <w:rPr>
          <w:rFonts w:cs="Calibri"/>
          <w:color w:val="000000"/>
        </w:rPr>
      </w:pPr>
      <w:r w:rsidRPr="00830A7F">
        <w:rPr>
          <w:rFonts w:cs="Calibri"/>
          <w:color w:val="000000"/>
        </w:rPr>
        <w:t xml:space="preserve">Freshly collected oocytes were incubated for 30 min in L15 medium containing JC1 (5,5', 6,6'-tetrachloro-1,1',3,3'-tetraethyl- </w:t>
      </w:r>
      <w:proofErr w:type="spellStart"/>
      <w:r w:rsidRPr="00830A7F">
        <w:rPr>
          <w:rFonts w:cs="Calibri"/>
          <w:color w:val="000000"/>
        </w:rPr>
        <w:t>benzimidazolyl-carbocyanine</w:t>
      </w:r>
      <w:proofErr w:type="spellEnd"/>
      <w:r w:rsidRPr="00830A7F">
        <w:rPr>
          <w:rFonts w:cs="Calibri"/>
          <w:color w:val="000000"/>
        </w:rPr>
        <w:t xml:space="preserve"> iodide, 5 µg/mL) and </w:t>
      </w:r>
      <w:proofErr w:type="spellStart"/>
      <w:r w:rsidRPr="00830A7F">
        <w:rPr>
          <w:rFonts w:cs="Calibri"/>
          <w:color w:val="000000"/>
        </w:rPr>
        <w:t>CellRox</w:t>
      </w:r>
      <w:proofErr w:type="spellEnd"/>
      <w:r w:rsidRPr="00830A7F">
        <w:rPr>
          <w:rFonts w:cs="Calibri"/>
          <w:color w:val="000000"/>
        </w:rPr>
        <w:t xml:space="preserve"> deep red (2.5 </w:t>
      </w:r>
      <w:r w:rsidRPr="00830A7F">
        <w:rPr>
          <w:rFonts w:cs="Calibri"/>
          <w:color w:val="000000"/>
        </w:rPr>
        <w:lastRenderedPageBreak/>
        <w:t xml:space="preserve">mM) (from 1000X stock solutions in DMSO) at 6 % CO2 and 37°C. They were then washed and transferred to equilibrated L15 medium droplets under mineral oil on a 35 mm dish with a glass bottom. Stained oocytes were immediately examined under a Leica SP8 confocal microscope enclosed in a humid warm chamber (37°C) and equipped with white laser source (Leica WLL) lasers at excitation/emission 488/525 nm (to detect JC-1 monomers or less active mitochondria; green), 561/590 nm (to detect JC1-aggregates or active mitochondria; yellow) and 644/665 nm (to detect </w:t>
      </w:r>
      <w:proofErr w:type="spellStart"/>
      <w:r w:rsidRPr="00830A7F">
        <w:rPr>
          <w:rFonts w:cs="Calibri"/>
          <w:color w:val="000000"/>
        </w:rPr>
        <w:t>CellRox</w:t>
      </w:r>
      <w:proofErr w:type="spellEnd"/>
      <w:r w:rsidRPr="00830A7F">
        <w:rPr>
          <w:rFonts w:cs="Calibri"/>
          <w:color w:val="000000"/>
        </w:rPr>
        <w:t xml:space="preserve"> or OS; red). One optical section was examined for each oocyte at the </w:t>
      </w:r>
      <w:proofErr w:type="spellStart"/>
      <w:r w:rsidRPr="00830A7F">
        <w:rPr>
          <w:rFonts w:cs="Calibri"/>
          <w:color w:val="000000"/>
        </w:rPr>
        <w:t>pericortical</w:t>
      </w:r>
      <w:proofErr w:type="spellEnd"/>
      <w:r w:rsidRPr="00830A7F">
        <w:rPr>
          <w:rFonts w:cs="Calibri"/>
          <w:color w:val="000000"/>
        </w:rPr>
        <w:t xml:space="preserve"> level. The grey scale intensity in each channel was measured using Leica Application Suite X (LAS X) software. MMP was calculated as the ratio between the grey scale intensity  at 590 nm and that at 525nm. ROS level was estimated as the grey scale intensity at 665 nm.</w:t>
      </w:r>
    </w:p>
    <w:p w:rsidR="00EF62D4" w:rsidRPr="00830A7F" w:rsidRDefault="00EF62D4" w:rsidP="00830A7F">
      <w:pPr>
        <w:spacing w:line="360" w:lineRule="auto"/>
        <w:jc w:val="both"/>
        <w:rPr>
          <w:rFonts w:cs="Times New Roman"/>
          <w:b/>
        </w:rPr>
      </w:pPr>
      <w:r w:rsidRPr="00830A7F">
        <w:rPr>
          <w:rFonts w:cs="Times New Roman"/>
          <w:b/>
        </w:rPr>
        <w:t>Transmission electron microscopy (TEM)</w:t>
      </w:r>
    </w:p>
    <w:p w:rsidR="00EF62D4" w:rsidRPr="00830A7F" w:rsidRDefault="00EF62D4" w:rsidP="00830A7F">
      <w:pPr>
        <w:spacing w:line="360" w:lineRule="auto"/>
        <w:rPr>
          <w:rFonts w:cs="Calibri"/>
          <w:color w:val="000000"/>
        </w:rPr>
      </w:pPr>
      <w:r w:rsidRPr="00830A7F">
        <w:rPr>
          <w:rFonts w:cs="Times New Roman"/>
        </w:rPr>
        <w:t xml:space="preserve">Whole COCs were collected and immediately </w:t>
      </w:r>
      <w:r w:rsidRPr="00830A7F">
        <w:t xml:space="preserve">fixed in 0.1 M sodium </w:t>
      </w:r>
      <w:proofErr w:type="spellStart"/>
      <w:r w:rsidRPr="00830A7F">
        <w:t>cacodylate</w:t>
      </w:r>
      <w:proofErr w:type="spellEnd"/>
      <w:r w:rsidRPr="00830A7F">
        <w:t>-buffered (pH 7.4) 2.5 % glutaraldehyde solution at RT</w:t>
      </w:r>
      <w:r w:rsidRPr="00830A7F">
        <w:rPr>
          <w:rFonts w:cs="Times New Roman"/>
        </w:rPr>
        <w:t xml:space="preserve">. Before processing, individual COCs were embedded in 2% agarose blocks for further handling. Afterwards, </w:t>
      </w:r>
      <w:r w:rsidRPr="00830A7F">
        <w:t xml:space="preserve">blocks were washed three times in 0.1 M sodium </w:t>
      </w:r>
      <w:proofErr w:type="spellStart"/>
      <w:r w:rsidRPr="00830A7F">
        <w:t>cacodylate</w:t>
      </w:r>
      <w:proofErr w:type="spellEnd"/>
      <w:r w:rsidRPr="00830A7F">
        <w:t xml:space="preserve">-buffered (pH 7.4) 7.5 % </w:t>
      </w:r>
      <w:proofErr w:type="spellStart"/>
      <w:r w:rsidRPr="00830A7F">
        <w:t>saccharose</w:t>
      </w:r>
      <w:proofErr w:type="spellEnd"/>
      <w:r w:rsidRPr="00830A7F">
        <w:t xml:space="preserve"> solution. Post-fixation was performed by incubating the blocks for 2 h with 1 % OsO4 solution. After dehydration in an ethanol gradient, samples were embedded in EM-bed812. Ultrathin sections were stained with lead citrate, and examined in a </w:t>
      </w:r>
      <w:proofErr w:type="spellStart"/>
      <w:r w:rsidRPr="00830A7F">
        <w:t>Tecnai</w:t>
      </w:r>
      <w:proofErr w:type="spellEnd"/>
      <w:r w:rsidRPr="00830A7F">
        <w:t xml:space="preserve"> G2 Spirit Bio TWIN microscope (</w:t>
      </w:r>
      <w:proofErr w:type="spellStart"/>
      <w:r w:rsidRPr="00830A7F">
        <w:t>Fei</w:t>
      </w:r>
      <w:proofErr w:type="spellEnd"/>
      <w:r w:rsidRPr="00830A7F">
        <w:t xml:space="preserve">, Europe BV, </w:t>
      </w:r>
      <w:proofErr w:type="spellStart"/>
      <w:r w:rsidRPr="00830A7F">
        <w:t>Zaventem</w:t>
      </w:r>
      <w:proofErr w:type="spellEnd"/>
      <w:r w:rsidRPr="00830A7F">
        <w:t>, Belgium) at 120 kV.</w:t>
      </w:r>
    </w:p>
    <w:p w:rsidR="00EF62D4" w:rsidRPr="00830A7F" w:rsidRDefault="00EF62D4" w:rsidP="00830A7F">
      <w:pPr>
        <w:spacing w:line="360" w:lineRule="auto"/>
      </w:pPr>
    </w:p>
    <w:sectPr w:rsidR="00EF62D4" w:rsidRPr="00830A7F" w:rsidSect="00B73DB6">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2D4"/>
    <w:rsid w:val="00077F03"/>
    <w:rsid w:val="000A28CE"/>
    <w:rsid w:val="005B4338"/>
    <w:rsid w:val="00830A7F"/>
    <w:rsid w:val="00886C51"/>
    <w:rsid w:val="008B6683"/>
    <w:rsid w:val="008C5004"/>
    <w:rsid w:val="00A20036"/>
    <w:rsid w:val="00AC5C2C"/>
    <w:rsid w:val="00B73DB6"/>
    <w:rsid w:val="00C0256C"/>
    <w:rsid w:val="00C13C87"/>
    <w:rsid w:val="00D6433B"/>
    <w:rsid w:val="00EF62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DC3F6-8CC2-4A12-94BF-30E7F3B9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3DB6"/>
    <w:rPr>
      <w:color w:val="0563C1" w:themeColor="hyperlink"/>
      <w:u w:val="single"/>
    </w:rPr>
  </w:style>
  <w:style w:type="paragraph" w:styleId="NoSpacing">
    <w:name w:val="No Spacing"/>
    <w:uiPriority w:val="1"/>
    <w:qFormat/>
    <w:rsid w:val="00B73DB6"/>
    <w:pPr>
      <w:spacing w:after="0" w:line="240" w:lineRule="auto"/>
    </w:pPr>
    <w:rPr>
      <w:lang w:val="nl-BE"/>
    </w:rPr>
  </w:style>
  <w:style w:type="character" w:styleId="LineNumber">
    <w:name w:val="line number"/>
    <w:basedOn w:val="DefaultParagraphFont"/>
    <w:uiPriority w:val="99"/>
    <w:semiHidden/>
    <w:unhideWhenUsed/>
    <w:rsid w:val="00B73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28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aleed.Marei@uantwerpen.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Universiteit Antwerpen</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Marei Waleed</dc:creator>
  <cp:keywords/>
  <dc:description/>
  <cp:lastModifiedBy>Marei Waleed</cp:lastModifiedBy>
  <cp:revision>4</cp:revision>
  <dcterms:created xsi:type="dcterms:W3CDTF">2020-02-10T15:47:00Z</dcterms:created>
  <dcterms:modified xsi:type="dcterms:W3CDTF">2020-04-08T10:05:00Z</dcterms:modified>
</cp:coreProperties>
</file>