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531AA" w14:textId="38D2AF21" w:rsidR="00003FB2" w:rsidRDefault="00B16BD4" w:rsidP="00003FB2">
      <w:pPr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OLE_LINK1"/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003FB2">
        <w:rPr>
          <w:rFonts w:ascii="Arial" w:hAnsi="Arial" w:cs="Arial"/>
          <w:b/>
          <w:bCs/>
          <w:sz w:val="20"/>
          <w:szCs w:val="20"/>
        </w:rPr>
        <w:t>Supplemental information for:</w:t>
      </w:r>
    </w:p>
    <w:p w14:paraId="6C6B6F97" w14:textId="77777777" w:rsidR="00003FB2" w:rsidRDefault="00003FB2" w:rsidP="00003FB2">
      <w:pPr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67B1C99" w14:textId="70A4EF99" w:rsidR="00003FB2" w:rsidRDefault="00003FB2" w:rsidP="00003FB2">
      <w:pPr>
        <w:spacing w:after="0" w:line="48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AAV8 Ins1-Cre</w:t>
      </w:r>
      <w:r w:rsidRPr="00F56366">
        <w:rPr>
          <w:rFonts w:ascii="Arial" w:hAnsi="Arial" w:cs="Arial"/>
          <w:b/>
          <w:bCs/>
          <w:sz w:val="20"/>
          <w:szCs w:val="20"/>
        </w:rPr>
        <w:t xml:space="preserve"> can produce efficient β-cell recombination but requires consideration of off-target effects</w:t>
      </w:r>
    </w:p>
    <w:p w14:paraId="3C04BB13" w14:textId="77777777" w:rsidR="00003FB2" w:rsidRPr="00F56366" w:rsidRDefault="00003FB2" w:rsidP="00003FB2">
      <w:pPr>
        <w:spacing w:after="0" w:line="480" w:lineRule="auto"/>
        <w:jc w:val="center"/>
        <w:rPr>
          <w:rFonts w:ascii="Arial" w:hAnsi="Arial" w:cs="Arial"/>
          <w:b/>
          <w:sz w:val="20"/>
          <w:szCs w:val="20"/>
        </w:rPr>
      </w:pPr>
    </w:p>
    <w:bookmarkEnd w:id="0"/>
    <w:p w14:paraId="1C89A929" w14:textId="1F2A38A2" w:rsidR="00003FB2" w:rsidRPr="00F56366" w:rsidRDefault="00003FB2" w:rsidP="00003FB2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F56366">
        <w:rPr>
          <w:rFonts w:ascii="Arial" w:hAnsi="Arial" w:cs="Arial"/>
          <w:sz w:val="20"/>
          <w:szCs w:val="20"/>
        </w:rPr>
        <w:t>Adam Ramzy</w:t>
      </w:r>
      <w:r w:rsidRPr="00F56366">
        <w:rPr>
          <w:rFonts w:ascii="Arial" w:hAnsi="Arial" w:cs="Arial"/>
          <w:sz w:val="20"/>
          <w:szCs w:val="20"/>
          <w:vertAlign w:val="superscript"/>
        </w:rPr>
        <w:t>1</w:t>
      </w:r>
      <w:r w:rsidRPr="00F56366">
        <w:rPr>
          <w:rFonts w:ascii="Arial" w:hAnsi="Arial" w:cs="Arial"/>
          <w:sz w:val="20"/>
          <w:szCs w:val="20"/>
        </w:rPr>
        <w:t>, Eva Tudurí</w:t>
      </w:r>
      <w:r w:rsidRPr="00F56366">
        <w:rPr>
          <w:rFonts w:ascii="Arial" w:hAnsi="Arial" w:cs="Arial"/>
          <w:sz w:val="20"/>
          <w:szCs w:val="20"/>
          <w:vertAlign w:val="superscript"/>
        </w:rPr>
        <w:t>1,2,3</w:t>
      </w:r>
      <w:r w:rsidRPr="00F56366">
        <w:rPr>
          <w:rFonts w:ascii="Arial" w:hAnsi="Arial" w:cs="Arial"/>
          <w:sz w:val="20"/>
          <w:szCs w:val="20"/>
        </w:rPr>
        <w:t>, Maria M. Glavas</w:t>
      </w:r>
      <w:r w:rsidRPr="00F56366">
        <w:rPr>
          <w:rFonts w:ascii="Arial" w:hAnsi="Arial" w:cs="Arial"/>
          <w:sz w:val="20"/>
          <w:szCs w:val="20"/>
          <w:vertAlign w:val="superscript"/>
        </w:rPr>
        <w:t>1</w:t>
      </w:r>
      <w:r w:rsidRPr="00F56366">
        <w:rPr>
          <w:rFonts w:ascii="Arial" w:hAnsi="Arial" w:cs="Arial"/>
          <w:sz w:val="20"/>
          <w:szCs w:val="20"/>
        </w:rPr>
        <w:t>, Robert K. Baker</w:t>
      </w:r>
      <w:r w:rsidRPr="00F56366">
        <w:rPr>
          <w:rFonts w:ascii="Arial" w:hAnsi="Arial" w:cs="Arial"/>
          <w:sz w:val="20"/>
          <w:szCs w:val="20"/>
          <w:vertAlign w:val="superscript"/>
        </w:rPr>
        <w:t>1</w:t>
      </w:r>
      <w:r w:rsidRPr="00F56366">
        <w:rPr>
          <w:rFonts w:ascii="Arial" w:hAnsi="Arial" w:cs="Arial"/>
          <w:sz w:val="20"/>
          <w:szCs w:val="20"/>
        </w:rPr>
        <w:t>, Majid Mojibian</w:t>
      </w:r>
      <w:r w:rsidRPr="00F56366">
        <w:rPr>
          <w:rFonts w:ascii="Arial" w:hAnsi="Arial" w:cs="Arial"/>
          <w:sz w:val="20"/>
          <w:szCs w:val="20"/>
          <w:vertAlign w:val="superscript"/>
        </w:rPr>
        <w:t>1</w:t>
      </w:r>
      <w:r w:rsidRPr="00F56366">
        <w:rPr>
          <w:rFonts w:ascii="Arial" w:hAnsi="Arial" w:cs="Arial"/>
          <w:sz w:val="20"/>
          <w:szCs w:val="20"/>
        </w:rPr>
        <w:t>, Jessica K Fox</w:t>
      </w:r>
      <w:r w:rsidRPr="00F56366">
        <w:rPr>
          <w:rFonts w:ascii="Arial" w:hAnsi="Arial" w:cs="Arial"/>
          <w:sz w:val="20"/>
          <w:szCs w:val="20"/>
          <w:vertAlign w:val="superscript"/>
        </w:rPr>
        <w:t>1</w:t>
      </w:r>
      <w:r w:rsidRPr="00F56366">
        <w:rPr>
          <w:rFonts w:ascii="Arial" w:hAnsi="Arial" w:cs="Arial"/>
          <w:sz w:val="20"/>
          <w:szCs w:val="20"/>
        </w:rPr>
        <w:t>, Shannon M O'Dwyer</w:t>
      </w:r>
      <w:r w:rsidRPr="00F56366">
        <w:rPr>
          <w:rFonts w:ascii="Arial" w:hAnsi="Arial" w:cs="Arial"/>
          <w:sz w:val="20"/>
          <w:szCs w:val="20"/>
          <w:vertAlign w:val="superscript"/>
        </w:rPr>
        <w:t>1</w:t>
      </w:r>
      <w:r w:rsidRPr="00F56366">
        <w:rPr>
          <w:rFonts w:ascii="Arial" w:hAnsi="Arial" w:cs="Arial"/>
          <w:sz w:val="20"/>
          <w:szCs w:val="20"/>
        </w:rPr>
        <w:t>, Derek Dai</w:t>
      </w:r>
      <w:r w:rsidRPr="00F56366">
        <w:rPr>
          <w:rFonts w:ascii="Arial" w:hAnsi="Arial" w:cs="Arial"/>
          <w:sz w:val="20"/>
          <w:szCs w:val="20"/>
          <w:vertAlign w:val="superscript"/>
        </w:rPr>
        <w:t>4</w:t>
      </w:r>
      <w:r w:rsidRPr="00F56366"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Xiaoke</w:t>
      </w:r>
      <w:proofErr w:type="spellEnd"/>
      <w:r w:rsidRPr="00F56366">
        <w:rPr>
          <w:rFonts w:ascii="Arial" w:hAnsi="Arial" w:cs="Arial"/>
          <w:sz w:val="20"/>
          <w:szCs w:val="20"/>
        </w:rPr>
        <w:t xml:space="preserve"> Hu</w:t>
      </w:r>
      <w:r w:rsidRPr="00F56366">
        <w:rPr>
          <w:rFonts w:ascii="Arial" w:hAnsi="Arial" w:cs="Arial"/>
          <w:sz w:val="20"/>
          <w:szCs w:val="20"/>
          <w:vertAlign w:val="superscript"/>
        </w:rPr>
        <w:t>1</w:t>
      </w:r>
      <w:r w:rsidRPr="00F56366">
        <w:rPr>
          <w:rFonts w:ascii="Arial" w:hAnsi="Arial" w:cs="Arial"/>
          <w:sz w:val="20"/>
          <w:szCs w:val="20"/>
        </w:rPr>
        <w:t>, Heather C. Denroche</w:t>
      </w:r>
      <w:r w:rsidRPr="00F56366">
        <w:rPr>
          <w:rFonts w:ascii="Arial" w:hAnsi="Arial" w:cs="Arial"/>
          <w:sz w:val="20"/>
          <w:szCs w:val="20"/>
          <w:vertAlign w:val="superscript"/>
        </w:rPr>
        <w:t>1</w:t>
      </w:r>
      <w:r w:rsidRPr="00F56366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56366">
        <w:rPr>
          <w:rFonts w:ascii="Arial" w:hAnsi="Arial" w:cs="Arial"/>
          <w:sz w:val="20"/>
          <w:szCs w:val="20"/>
        </w:rPr>
        <w:t>Nazde</w:t>
      </w:r>
      <w:proofErr w:type="spellEnd"/>
      <w:r w:rsidRPr="00F56366">
        <w:rPr>
          <w:rFonts w:ascii="Arial" w:hAnsi="Arial" w:cs="Arial"/>
          <w:sz w:val="20"/>
          <w:szCs w:val="20"/>
        </w:rPr>
        <w:t xml:space="preserve"> Edeer</w:t>
      </w:r>
      <w:r w:rsidRPr="00F56366">
        <w:rPr>
          <w:rFonts w:ascii="Arial" w:hAnsi="Arial" w:cs="Arial"/>
          <w:sz w:val="20"/>
          <w:szCs w:val="20"/>
          <w:vertAlign w:val="superscript"/>
        </w:rPr>
        <w:t>1</w:t>
      </w:r>
      <w:r w:rsidRPr="00F56366">
        <w:rPr>
          <w:rFonts w:ascii="Arial" w:hAnsi="Arial" w:cs="Arial"/>
          <w:sz w:val="20"/>
          <w:szCs w:val="20"/>
        </w:rPr>
        <w:t>, Sarah L Gray</w:t>
      </w:r>
      <w:r w:rsidRPr="00F56366">
        <w:rPr>
          <w:rFonts w:ascii="Arial" w:hAnsi="Arial" w:cs="Arial"/>
          <w:sz w:val="20"/>
          <w:szCs w:val="20"/>
          <w:vertAlign w:val="superscript"/>
        </w:rPr>
        <w:t>5</w:t>
      </w:r>
      <w:r w:rsidRPr="00F56366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C</w:t>
      </w:r>
      <w:r w:rsidR="00AB561E">
        <w:rPr>
          <w:rFonts w:ascii="Arial" w:hAnsi="Arial" w:cs="Arial"/>
          <w:sz w:val="20"/>
          <w:szCs w:val="20"/>
        </w:rPr>
        <w:t>ameron</w:t>
      </w:r>
      <w:r>
        <w:rPr>
          <w:rFonts w:ascii="Arial" w:hAnsi="Arial" w:cs="Arial"/>
          <w:sz w:val="20"/>
          <w:szCs w:val="20"/>
        </w:rPr>
        <w:t xml:space="preserve"> </w:t>
      </w:r>
      <w:r w:rsidRPr="00F56366">
        <w:rPr>
          <w:rFonts w:ascii="Arial" w:hAnsi="Arial" w:cs="Arial"/>
          <w:sz w:val="20"/>
          <w:szCs w:val="20"/>
        </w:rPr>
        <w:t>B Verchere</w:t>
      </w:r>
      <w:r w:rsidRPr="00F56366">
        <w:rPr>
          <w:rFonts w:ascii="Arial" w:hAnsi="Arial" w:cs="Arial"/>
          <w:sz w:val="20"/>
          <w:szCs w:val="20"/>
          <w:vertAlign w:val="superscript"/>
        </w:rPr>
        <w:t>4,6</w:t>
      </w:r>
      <w:r w:rsidRPr="00F56366">
        <w:rPr>
          <w:rFonts w:ascii="Arial" w:hAnsi="Arial" w:cs="Arial"/>
          <w:sz w:val="20"/>
          <w:szCs w:val="20"/>
        </w:rPr>
        <w:t>, James D. Johnson</w:t>
      </w:r>
      <w:r w:rsidRPr="00F56366">
        <w:rPr>
          <w:rFonts w:ascii="Arial" w:hAnsi="Arial" w:cs="Arial"/>
          <w:sz w:val="20"/>
          <w:szCs w:val="20"/>
          <w:vertAlign w:val="superscript"/>
        </w:rPr>
        <w:t>1,4</w:t>
      </w:r>
      <w:r w:rsidRPr="00F56366">
        <w:rPr>
          <w:rFonts w:ascii="Arial" w:hAnsi="Arial" w:cs="Arial"/>
          <w:sz w:val="20"/>
          <w:szCs w:val="20"/>
        </w:rPr>
        <w:t>, Timothy J. Kieffer</w:t>
      </w:r>
      <w:r w:rsidRPr="00F56366">
        <w:rPr>
          <w:rFonts w:ascii="Arial" w:hAnsi="Arial" w:cs="Arial"/>
          <w:sz w:val="20"/>
          <w:szCs w:val="20"/>
          <w:vertAlign w:val="superscript"/>
        </w:rPr>
        <w:t>1,4</w:t>
      </w:r>
    </w:p>
    <w:p w14:paraId="682B5AE4" w14:textId="77777777" w:rsidR="00003FB2" w:rsidRPr="00F56366" w:rsidRDefault="00003FB2" w:rsidP="00003FB2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</w:p>
    <w:p w14:paraId="624AC43A" w14:textId="77777777" w:rsidR="00003FB2" w:rsidRPr="00F56366" w:rsidRDefault="00003FB2" w:rsidP="00003FB2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F56366">
        <w:rPr>
          <w:rFonts w:ascii="Arial" w:hAnsi="Arial" w:cs="Arial"/>
          <w:sz w:val="20"/>
          <w:szCs w:val="20"/>
          <w:vertAlign w:val="superscript"/>
        </w:rPr>
        <w:t>1</w:t>
      </w:r>
      <w:r w:rsidRPr="00F56366">
        <w:rPr>
          <w:rFonts w:ascii="Arial" w:hAnsi="Arial" w:cs="Arial"/>
          <w:sz w:val="20"/>
          <w:szCs w:val="20"/>
        </w:rPr>
        <w:t xml:space="preserve"> Department of Cellular and Physiological Sciences, Life Sciences Institute, University of British Columbia, Vancouver, British Columbia, Canada.</w:t>
      </w:r>
    </w:p>
    <w:p w14:paraId="6956D862" w14:textId="77777777" w:rsidR="00003FB2" w:rsidRPr="00F56366" w:rsidRDefault="00003FB2" w:rsidP="00003FB2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F56366">
        <w:rPr>
          <w:rFonts w:ascii="Arial" w:hAnsi="Arial" w:cs="Arial"/>
          <w:sz w:val="20"/>
          <w:szCs w:val="20"/>
          <w:vertAlign w:val="superscript"/>
        </w:rPr>
        <w:t>2</w:t>
      </w:r>
      <w:r w:rsidRPr="00F56366">
        <w:rPr>
          <w:rFonts w:ascii="Arial" w:hAnsi="Arial" w:cs="Arial"/>
          <w:sz w:val="20"/>
          <w:szCs w:val="20"/>
        </w:rPr>
        <w:t xml:space="preserve"> </w:t>
      </w:r>
      <w:r w:rsidRPr="00F56366">
        <w:rPr>
          <w:rFonts w:ascii="Arial" w:hAnsi="Arial" w:cs="Arial"/>
          <w:sz w:val="20"/>
          <w:szCs w:val="20"/>
          <w:lang w:val="es-ES"/>
        </w:rPr>
        <w:t xml:space="preserve">Centro de Investigación Biomédica en Red de Diabetes y Enfermedades Metabólicas Asociadas (CIBERDEM), </w:t>
      </w:r>
      <w:proofErr w:type="spellStart"/>
      <w:r w:rsidRPr="00F56366">
        <w:rPr>
          <w:rFonts w:ascii="Arial" w:hAnsi="Arial" w:cs="Arial"/>
          <w:sz w:val="20"/>
          <w:szCs w:val="20"/>
          <w:lang w:val="es-ES"/>
        </w:rPr>
        <w:t>Spain</w:t>
      </w:r>
      <w:proofErr w:type="spellEnd"/>
      <w:r w:rsidRPr="00F56366">
        <w:rPr>
          <w:rFonts w:ascii="Arial" w:hAnsi="Arial" w:cs="Arial"/>
          <w:sz w:val="20"/>
          <w:szCs w:val="20"/>
          <w:lang w:val="es-ES"/>
        </w:rPr>
        <w:t>.</w:t>
      </w:r>
    </w:p>
    <w:p w14:paraId="43B81658" w14:textId="77777777" w:rsidR="00003FB2" w:rsidRPr="00F56366" w:rsidRDefault="00003FB2" w:rsidP="00003FB2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F56366">
        <w:rPr>
          <w:rFonts w:ascii="Arial" w:hAnsi="Arial" w:cs="Arial"/>
          <w:sz w:val="20"/>
          <w:szCs w:val="20"/>
          <w:vertAlign w:val="superscript"/>
        </w:rPr>
        <w:t>3</w:t>
      </w:r>
      <w:r w:rsidRPr="00F56366">
        <w:rPr>
          <w:rFonts w:ascii="Arial" w:hAnsi="Arial" w:cs="Arial"/>
          <w:sz w:val="20"/>
          <w:szCs w:val="20"/>
        </w:rPr>
        <w:t xml:space="preserve"> </w:t>
      </w:r>
      <w:r w:rsidRPr="00F56366">
        <w:rPr>
          <w:rFonts w:ascii="Arial" w:hAnsi="Arial" w:cs="Arial"/>
          <w:sz w:val="20"/>
          <w:szCs w:val="20"/>
          <w:lang w:val="es-ES"/>
        </w:rPr>
        <w:t>Instituto de Investigación, Desarrollo e innovación en Biotecnología Sanitaria de Elche (</w:t>
      </w:r>
      <w:proofErr w:type="spellStart"/>
      <w:r w:rsidRPr="00F56366">
        <w:rPr>
          <w:rFonts w:ascii="Arial" w:hAnsi="Arial" w:cs="Arial"/>
          <w:sz w:val="20"/>
          <w:szCs w:val="20"/>
          <w:lang w:val="es-ES"/>
        </w:rPr>
        <w:t>IDiBE</w:t>
      </w:r>
      <w:proofErr w:type="spellEnd"/>
      <w:r w:rsidRPr="00F56366">
        <w:rPr>
          <w:rFonts w:ascii="Arial" w:hAnsi="Arial" w:cs="Arial"/>
          <w:sz w:val="20"/>
          <w:szCs w:val="20"/>
          <w:lang w:val="es-ES"/>
        </w:rPr>
        <w:t xml:space="preserve">), Elche, </w:t>
      </w:r>
      <w:proofErr w:type="spellStart"/>
      <w:r w:rsidRPr="00F56366">
        <w:rPr>
          <w:rFonts w:ascii="Arial" w:hAnsi="Arial" w:cs="Arial"/>
          <w:sz w:val="20"/>
          <w:szCs w:val="20"/>
          <w:lang w:val="es-ES"/>
        </w:rPr>
        <w:t>Spain</w:t>
      </w:r>
      <w:proofErr w:type="spellEnd"/>
      <w:r w:rsidRPr="00F56366">
        <w:rPr>
          <w:rFonts w:ascii="Arial" w:hAnsi="Arial" w:cs="Arial"/>
          <w:sz w:val="20"/>
          <w:szCs w:val="20"/>
          <w:lang w:val="es-ES"/>
        </w:rPr>
        <w:t>.</w:t>
      </w:r>
    </w:p>
    <w:p w14:paraId="083E19A5" w14:textId="77777777" w:rsidR="00003FB2" w:rsidRPr="00F56366" w:rsidRDefault="00003FB2" w:rsidP="00003FB2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F56366">
        <w:rPr>
          <w:rFonts w:ascii="Arial" w:hAnsi="Arial" w:cs="Arial"/>
          <w:sz w:val="20"/>
          <w:szCs w:val="20"/>
          <w:vertAlign w:val="superscript"/>
        </w:rPr>
        <w:t>4</w:t>
      </w:r>
      <w:r w:rsidRPr="00F56366">
        <w:rPr>
          <w:rFonts w:ascii="Arial" w:hAnsi="Arial" w:cs="Arial"/>
          <w:sz w:val="20"/>
          <w:szCs w:val="20"/>
        </w:rPr>
        <w:t xml:space="preserve"> Department of Surgery, University of British Columbia, Vancouver, British Columbia, Canada.</w:t>
      </w:r>
    </w:p>
    <w:p w14:paraId="516A8317" w14:textId="77777777" w:rsidR="00003FB2" w:rsidRPr="00F56366" w:rsidRDefault="00003FB2" w:rsidP="00003FB2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F56366">
        <w:rPr>
          <w:rFonts w:ascii="Arial" w:hAnsi="Arial" w:cs="Arial"/>
          <w:sz w:val="20"/>
          <w:szCs w:val="20"/>
          <w:vertAlign w:val="superscript"/>
        </w:rPr>
        <w:t>5</w:t>
      </w:r>
      <w:r w:rsidRPr="00F56366">
        <w:rPr>
          <w:rFonts w:ascii="Arial" w:hAnsi="Arial" w:cs="Arial"/>
          <w:sz w:val="20"/>
          <w:szCs w:val="20"/>
        </w:rPr>
        <w:t xml:space="preserve"> Northern Medical Program, University of Northern British Columbia, Prince George, British Columbia, Canada.</w:t>
      </w:r>
    </w:p>
    <w:p w14:paraId="7E33F360" w14:textId="77777777" w:rsidR="00003FB2" w:rsidRPr="00F56366" w:rsidRDefault="00003FB2" w:rsidP="00003FB2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F56366">
        <w:rPr>
          <w:rFonts w:ascii="Arial" w:hAnsi="Arial" w:cs="Arial"/>
          <w:sz w:val="20"/>
          <w:szCs w:val="20"/>
          <w:vertAlign w:val="superscript"/>
        </w:rPr>
        <w:t>6</w:t>
      </w:r>
      <w:r w:rsidRPr="00F56366">
        <w:rPr>
          <w:rFonts w:ascii="Arial" w:hAnsi="Arial" w:cs="Arial"/>
          <w:sz w:val="20"/>
          <w:szCs w:val="20"/>
        </w:rPr>
        <w:t xml:space="preserve"> Department of Pathology and Laboratory Medicine, </w:t>
      </w:r>
      <w:r>
        <w:rPr>
          <w:rFonts w:ascii="Arial" w:hAnsi="Arial" w:cs="Arial"/>
          <w:sz w:val="20"/>
          <w:szCs w:val="20"/>
        </w:rPr>
        <w:t>BC Children’s Hospital</w:t>
      </w:r>
      <w:r w:rsidRPr="00F56366">
        <w:rPr>
          <w:rFonts w:ascii="Arial" w:hAnsi="Arial" w:cs="Arial"/>
          <w:sz w:val="20"/>
          <w:szCs w:val="20"/>
        </w:rPr>
        <w:t xml:space="preserve"> Research Institute, Vancouver, British Columbia, Canada.</w:t>
      </w:r>
    </w:p>
    <w:p w14:paraId="47C01C59" w14:textId="76894C89" w:rsidR="0093419A" w:rsidRDefault="0093419A">
      <w:r>
        <w:br w:type="page"/>
      </w:r>
    </w:p>
    <w:p w14:paraId="1089F948" w14:textId="77777777" w:rsidR="0093419A" w:rsidRPr="00B32EF2" w:rsidRDefault="0093419A" w:rsidP="0093419A">
      <w:pPr>
        <w:spacing w:after="0" w:line="480" w:lineRule="auto"/>
        <w:jc w:val="center"/>
        <w:rPr>
          <w:rFonts w:ascii="Arial" w:hAnsi="Arial" w:cs="Arial"/>
          <w:b/>
          <w:sz w:val="20"/>
          <w:szCs w:val="20"/>
        </w:rPr>
      </w:pPr>
      <w:r w:rsidRPr="00950565">
        <w:rPr>
          <w:rFonts w:ascii="Arial" w:hAnsi="Arial" w:cs="Arial"/>
          <w:b/>
          <w:noProof/>
          <w:sz w:val="20"/>
          <w:szCs w:val="20"/>
          <w:lang w:val="en-US"/>
        </w:rPr>
        <w:lastRenderedPageBreak/>
        <w:drawing>
          <wp:inline distT="0" distB="0" distL="0" distR="0" wp14:anchorId="14708B37" wp14:editId="3C996930">
            <wp:extent cx="5400040" cy="16713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7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CEB5E" w14:textId="77777777" w:rsidR="0093419A" w:rsidRPr="00B32EF2" w:rsidRDefault="0093419A" w:rsidP="0093419A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B32EF2">
        <w:rPr>
          <w:rFonts w:ascii="Arial" w:hAnsi="Arial" w:cs="Arial"/>
          <w:b/>
          <w:sz w:val="20"/>
          <w:szCs w:val="20"/>
        </w:rPr>
        <w:t xml:space="preserve">Supplemental Figure 1. AAV </w:t>
      </w:r>
      <w:r w:rsidRPr="00F47B76">
        <w:rPr>
          <w:rFonts w:ascii="Arial" w:hAnsi="Arial" w:cs="Arial"/>
          <w:b/>
          <w:sz w:val="20"/>
          <w:szCs w:val="20"/>
        </w:rPr>
        <w:t>Ins1</w:t>
      </w:r>
      <w:r w:rsidRPr="00B32EF2">
        <w:rPr>
          <w:rFonts w:ascii="Arial" w:hAnsi="Arial" w:cs="Arial"/>
          <w:b/>
          <w:sz w:val="20"/>
          <w:szCs w:val="20"/>
        </w:rPr>
        <w:t>-Cre does not elevate liver enzymes.</w:t>
      </w:r>
      <w:r w:rsidRPr="00B32EF2">
        <w:rPr>
          <w:rFonts w:ascii="Arial" w:hAnsi="Arial" w:cs="Arial"/>
          <w:sz w:val="20"/>
          <w:szCs w:val="20"/>
        </w:rPr>
        <w:t xml:space="preserve"> AS</w:t>
      </w:r>
      <w:r>
        <w:rPr>
          <w:rFonts w:ascii="Arial" w:hAnsi="Arial" w:cs="Arial"/>
          <w:sz w:val="20"/>
          <w:szCs w:val="20"/>
        </w:rPr>
        <w:t>T</w:t>
      </w:r>
      <w:r w:rsidRPr="00B32EF2">
        <w:rPr>
          <w:rFonts w:ascii="Arial" w:hAnsi="Arial" w:cs="Arial"/>
          <w:sz w:val="20"/>
          <w:szCs w:val="20"/>
        </w:rPr>
        <w:t xml:space="preserve"> and ALT levels were measured in serum from PBS and AAV </w:t>
      </w:r>
      <w:r w:rsidRPr="00F47B76">
        <w:rPr>
          <w:rFonts w:ascii="Arial" w:hAnsi="Arial" w:cs="Arial"/>
          <w:sz w:val="20"/>
          <w:szCs w:val="20"/>
        </w:rPr>
        <w:t>Ins1</w:t>
      </w:r>
      <w:r w:rsidRPr="00B32EF2">
        <w:rPr>
          <w:rFonts w:ascii="Arial" w:hAnsi="Arial" w:cs="Arial"/>
          <w:sz w:val="20"/>
          <w:szCs w:val="20"/>
        </w:rPr>
        <w:t xml:space="preserve">-Cre </w:t>
      </w:r>
      <w:r>
        <w:rPr>
          <w:rFonts w:ascii="Arial" w:hAnsi="Arial" w:cs="Arial"/>
          <w:sz w:val="20"/>
          <w:szCs w:val="20"/>
        </w:rPr>
        <w:t xml:space="preserve">injected </w:t>
      </w:r>
      <w:r w:rsidRPr="00B32EF2">
        <w:rPr>
          <w:rFonts w:ascii="Arial" w:hAnsi="Arial" w:cs="Arial"/>
          <w:sz w:val="20"/>
          <w:szCs w:val="20"/>
        </w:rPr>
        <w:t>animals before (day 0) and on day 14 relative to virus</w:t>
      </w:r>
      <w:r>
        <w:rPr>
          <w:rFonts w:ascii="Arial" w:hAnsi="Arial" w:cs="Arial"/>
          <w:sz w:val="20"/>
          <w:szCs w:val="20"/>
        </w:rPr>
        <w:t xml:space="preserve"> delivery</w:t>
      </w:r>
      <w:r w:rsidRPr="00B32EF2">
        <w:rPr>
          <w:rFonts w:ascii="Arial" w:hAnsi="Arial" w:cs="Arial"/>
          <w:sz w:val="20"/>
          <w:szCs w:val="20"/>
        </w:rPr>
        <w:t xml:space="preserve">. </w:t>
      </w:r>
    </w:p>
    <w:p w14:paraId="0E4E2F12" w14:textId="77777777" w:rsidR="0093419A" w:rsidRPr="00B32EF2" w:rsidRDefault="0093419A" w:rsidP="0093419A">
      <w:pPr>
        <w:rPr>
          <w:rFonts w:ascii="Arial" w:hAnsi="Arial" w:cs="Arial"/>
          <w:sz w:val="20"/>
          <w:szCs w:val="20"/>
        </w:rPr>
      </w:pPr>
      <w:r w:rsidRPr="00B32EF2">
        <w:rPr>
          <w:rFonts w:ascii="Arial" w:hAnsi="Arial" w:cs="Arial"/>
          <w:sz w:val="20"/>
          <w:szCs w:val="20"/>
        </w:rPr>
        <w:br w:type="page"/>
      </w:r>
    </w:p>
    <w:p w14:paraId="687088AC" w14:textId="77777777" w:rsidR="0093419A" w:rsidRPr="00B32EF2" w:rsidRDefault="0093419A" w:rsidP="0093419A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B32EF2">
        <w:rPr>
          <w:rFonts w:ascii="Arial" w:hAnsi="Arial" w:cs="Arial"/>
          <w:noProof/>
          <w:sz w:val="20"/>
          <w:szCs w:val="20"/>
          <w:lang w:val="en-US"/>
        </w:rPr>
        <w:lastRenderedPageBreak/>
        <w:drawing>
          <wp:inline distT="0" distB="0" distL="0" distR="0" wp14:anchorId="646536B8" wp14:editId="19F11A58">
            <wp:extent cx="4035425" cy="520382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425" cy="520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82519" w14:textId="77777777" w:rsidR="0093419A" w:rsidRPr="00B32EF2" w:rsidRDefault="0093419A" w:rsidP="0093419A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B32EF2">
        <w:rPr>
          <w:rFonts w:ascii="Arial" w:hAnsi="Arial" w:cs="Arial"/>
          <w:b/>
          <w:sz w:val="20"/>
          <w:szCs w:val="20"/>
        </w:rPr>
        <w:t xml:space="preserve">Supplemental Figure 2. AAV </w:t>
      </w:r>
      <w:r w:rsidRPr="00F47B76">
        <w:rPr>
          <w:rFonts w:ascii="Arial" w:hAnsi="Arial" w:cs="Arial"/>
          <w:b/>
          <w:sz w:val="20"/>
          <w:szCs w:val="20"/>
        </w:rPr>
        <w:t>Ins1</w:t>
      </w:r>
      <w:r w:rsidRPr="00B32EF2">
        <w:rPr>
          <w:rFonts w:ascii="Arial" w:hAnsi="Arial" w:cs="Arial"/>
          <w:b/>
          <w:sz w:val="20"/>
          <w:szCs w:val="20"/>
        </w:rPr>
        <w:t xml:space="preserve">-Cre can infect islets </w:t>
      </w:r>
      <w:r w:rsidRPr="00B32EF2">
        <w:rPr>
          <w:rFonts w:ascii="Arial" w:hAnsi="Arial" w:cs="Arial"/>
          <w:b/>
          <w:i/>
          <w:sz w:val="20"/>
          <w:szCs w:val="20"/>
        </w:rPr>
        <w:t>in vitro.</w:t>
      </w:r>
      <w:r w:rsidRPr="00B32EF2">
        <w:rPr>
          <w:rFonts w:ascii="Arial" w:hAnsi="Arial" w:cs="Arial"/>
          <w:sz w:val="20"/>
          <w:szCs w:val="20"/>
        </w:rPr>
        <w:t xml:space="preserve"> Islets from adult reporter </w:t>
      </w:r>
      <w:proofErr w:type="spellStart"/>
      <w:r w:rsidRPr="00B32EF2">
        <w:rPr>
          <w:rFonts w:ascii="Arial" w:hAnsi="Arial" w:cs="Arial"/>
          <w:sz w:val="20"/>
          <w:szCs w:val="20"/>
        </w:rPr>
        <w:t>mTmG</w:t>
      </w:r>
      <w:proofErr w:type="spellEnd"/>
      <w:r w:rsidRPr="00B32EF2">
        <w:rPr>
          <w:rFonts w:ascii="Arial" w:hAnsi="Arial" w:cs="Arial"/>
          <w:sz w:val="20"/>
          <w:szCs w:val="20"/>
        </w:rPr>
        <w:t xml:space="preserve"> mice were isolated and exposed to 10</w:t>
      </w:r>
      <w:r w:rsidRPr="00B32EF2">
        <w:rPr>
          <w:rFonts w:ascii="Arial" w:hAnsi="Arial" w:cs="Arial"/>
          <w:sz w:val="20"/>
          <w:szCs w:val="20"/>
          <w:vertAlign w:val="superscript"/>
        </w:rPr>
        <w:t>6</w:t>
      </w:r>
      <w:r w:rsidRPr="00B32EF2">
        <w:rPr>
          <w:rFonts w:ascii="Arial" w:hAnsi="Arial" w:cs="Arial"/>
          <w:sz w:val="20"/>
          <w:szCs w:val="20"/>
        </w:rPr>
        <w:t xml:space="preserve"> VGP and 10</w:t>
      </w:r>
      <w:r w:rsidRPr="00B32EF2">
        <w:rPr>
          <w:rFonts w:ascii="Arial" w:hAnsi="Arial" w:cs="Arial"/>
          <w:sz w:val="20"/>
          <w:szCs w:val="20"/>
          <w:vertAlign w:val="superscript"/>
        </w:rPr>
        <w:t>7</w:t>
      </w:r>
      <w:r w:rsidRPr="00B32EF2">
        <w:rPr>
          <w:rFonts w:ascii="Arial" w:hAnsi="Arial" w:cs="Arial"/>
          <w:sz w:val="20"/>
          <w:szCs w:val="20"/>
        </w:rPr>
        <w:t xml:space="preserve"> VGP of AAV </w:t>
      </w:r>
      <w:r w:rsidRPr="00F47B76">
        <w:rPr>
          <w:rFonts w:ascii="Arial" w:hAnsi="Arial" w:cs="Arial"/>
          <w:sz w:val="20"/>
          <w:szCs w:val="20"/>
        </w:rPr>
        <w:t>Ins1</w:t>
      </w:r>
      <w:r w:rsidRPr="00B32EF2">
        <w:rPr>
          <w:rFonts w:ascii="Arial" w:hAnsi="Arial" w:cs="Arial"/>
          <w:sz w:val="20"/>
          <w:szCs w:val="20"/>
        </w:rPr>
        <w:t>-Cre per cell, or PBS, overnight. Endogenous EGFP fluorescence was tracked for the following</w:t>
      </w:r>
      <w:r>
        <w:rPr>
          <w:rFonts w:ascii="Arial" w:hAnsi="Arial" w:cs="Arial"/>
          <w:sz w:val="20"/>
          <w:szCs w:val="20"/>
        </w:rPr>
        <w:t xml:space="preserve"> four</w:t>
      </w:r>
      <w:r w:rsidRPr="00B32EF2">
        <w:rPr>
          <w:rFonts w:ascii="Arial" w:hAnsi="Arial" w:cs="Arial"/>
          <w:sz w:val="20"/>
          <w:szCs w:val="20"/>
        </w:rPr>
        <w:t xml:space="preserve"> days. </w:t>
      </w:r>
    </w:p>
    <w:p w14:paraId="44F3F82A" w14:textId="77777777" w:rsidR="0093419A" w:rsidRPr="00B32EF2" w:rsidRDefault="0093419A" w:rsidP="0093419A">
      <w:pPr>
        <w:rPr>
          <w:rFonts w:ascii="Arial" w:hAnsi="Arial" w:cs="Arial"/>
          <w:sz w:val="20"/>
          <w:szCs w:val="20"/>
        </w:rPr>
      </w:pPr>
      <w:r w:rsidRPr="00B32EF2">
        <w:rPr>
          <w:rFonts w:ascii="Arial" w:hAnsi="Arial" w:cs="Arial"/>
          <w:sz w:val="20"/>
          <w:szCs w:val="20"/>
        </w:rPr>
        <w:br w:type="page"/>
      </w:r>
    </w:p>
    <w:p w14:paraId="5E84330E" w14:textId="77777777" w:rsidR="0093419A" w:rsidRPr="00B32EF2" w:rsidRDefault="0093419A" w:rsidP="0093419A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B32EF2">
        <w:rPr>
          <w:noProof/>
          <w:lang w:val="en-US"/>
        </w:rPr>
        <w:lastRenderedPageBreak/>
        <w:drawing>
          <wp:inline distT="0" distB="0" distL="0" distR="0" wp14:anchorId="518C7237" wp14:editId="1406966E">
            <wp:extent cx="5248731" cy="5934075"/>
            <wp:effectExtent l="0" t="0" r="9525" b="0"/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003" cy="595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78B16" w14:textId="77777777" w:rsidR="0093419A" w:rsidRPr="00B32EF2" w:rsidRDefault="0093419A" w:rsidP="0093419A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B32EF2">
        <w:rPr>
          <w:rFonts w:ascii="Arial" w:hAnsi="Arial" w:cs="Arial"/>
          <w:b/>
          <w:sz w:val="20"/>
          <w:szCs w:val="20"/>
        </w:rPr>
        <w:t xml:space="preserve">Supplemental Figure 3. High sequence similarity allows detection of different confetti recombination events using a polyclonal α GFP antibody. </w:t>
      </w:r>
      <w:r w:rsidRPr="00B32EF2">
        <w:rPr>
          <w:rFonts w:ascii="Arial" w:hAnsi="Arial" w:cs="Arial"/>
          <w:sz w:val="20"/>
          <w:szCs w:val="20"/>
        </w:rPr>
        <w:t xml:space="preserve">Pancreas collected from adult confetti mice treated with ID AAV </w:t>
      </w:r>
      <w:r w:rsidRPr="006A2238">
        <w:rPr>
          <w:rFonts w:ascii="Arial" w:hAnsi="Arial" w:cs="Arial"/>
          <w:sz w:val="20"/>
          <w:szCs w:val="20"/>
        </w:rPr>
        <w:t>Ins1</w:t>
      </w:r>
      <w:r w:rsidRPr="00B32EF2">
        <w:rPr>
          <w:rFonts w:ascii="Arial" w:hAnsi="Arial" w:cs="Arial"/>
          <w:sz w:val="20"/>
          <w:szCs w:val="20"/>
        </w:rPr>
        <w:t>-Cre was immunostained for fluorescent proteins to identify recombination events yielding nuclear GFP (not clearly observed), cytoplasmic RFP, cytoplasmic YFP, and membranous CFP. Representative images of n=3. Scale bar is 100</w:t>
      </w:r>
      <w:r>
        <w:rPr>
          <w:rFonts w:ascii="Arial" w:hAnsi="Arial" w:cs="Arial"/>
          <w:sz w:val="20"/>
          <w:szCs w:val="20"/>
        </w:rPr>
        <w:t xml:space="preserve"> </w:t>
      </w:r>
      <w:r w:rsidRPr="00B32EF2">
        <w:rPr>
          <w:rFonts w:ascii="Arial" w:hAnsi="Arial" w:cs="Arial"/>
          <w:sz w:val="20"/>
          <w:szCs w:val="20"/>
        </w:rPr>
        <w:t>μm and insets a</w:t>
      </w:r>
      <w:bookmarkStart w:id="1" w:name="_GoBack"/>
      <w:bookmarkEnd w:id="1"/>
      <w:r w:rsidRPr="00B32EF2">
        <w:rPr>
          <w:rFonts w:ascii="Arial" w:hAnsi="Arial" w:cs="Arial"/>
          <w:sz w:val="20"/>
          <w:szCs w:val="20"/>
        </w:rPr>
        <w:t>re enlarged 4x.</w:t>
      </w:r>
    </w:p>
    <w:p w14:paraId="6B54C03A" w14:textId="77777777" w:rsidR="0093419A" w:rsidRDefault="0093419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403E65F" w14:textId="77777777" w:rsidR="00073D0E" w:rsidRDefault="001E2199" w:rsidP="00F236F8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44AFC27" wp14:editId="1D24FA7A">
            <wp:extent cx="5536680" cy="7364730"/>
            <wp:effectExtent l="0" t="0" r="6985" b="762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6734" cy="737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F8D28" w14:textId="602D5D33" w:rsidR="0093419A" w:rsidRPr="00B32EF2" w:rsidRDefault="0093419A" w:rsidP="003E1C17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Supplemental Figure 4.  </w:t>
      </w:r>
      <w:r w:rsidR="00073D0E">
        <w:rPr>
          <w:rFonts w:ascii="Arial" w:hAnsi="Arial" w:cs="Arial"/>
          <w:b/>
          <w:bCs/>
          <w:sz w:val="20"/>
          <w:szCs w:val="20"/>
        </w:rPr>
        <w:t xml:space="preserve">AAV8 Ins1-Cre treated </w:t>
      </w:r>
      <w:r w:rsidR="00073D0E" w:rsidRPr="001C33CF">
        <w:rPr>
          <w:rFonts w:ascii="Arial" w:hAnsi="Arial" w:cs="Arial"/>
          <w:b/>
          <w:bCs/>
          <w:i/>
          <w:iCs/>
          <w:sz w:val="20"/>
          <w:szCs w:val="20"/>
        </w:rPr>
        <w:t>Ins1</w:t>
      </w:r>
      <w:r w:rsidR="00073D0E" w:rsidRPr="001C33CF"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  <w:t>-/-</w:t>
      </w:r>
      <w:r w:rsidR="00073D0E" w:rsidRPr="001C33CF">
        <w:rPr>
          <w:rFonts w:ascii="Arial" w:hAnsi="Arial" w:cs="Arial"/>
          <w:b/>
          <w:bCs/>
          <w:i/>
          <w:iCs/>
          <w:sz w:val="20"/>
          <w:szCs w:val="20"/>
        </w:rPr>
        <w:t>;Ins2</w:t>
      </w:r>
      <w:r w:rsidR="00073D0E" w:rsidRPr="001C33CF"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  <w:t>f/f</w:t>
      </w:r>
      <w:r w:rsidR="00073D0E">
        <w:rPr>
          <w:rFonts w:ascii="Arial" w:hAnsi="Arial" w:cs="Arial"/>
          <w:b/>
          <w:bCs/>
          <w:sz w:val="20"/>
          <w:szCs w:val="20"/>
        </w:rPr>
        <w:t xml:space="preserve"> mice have a normal IAPP+</w:t>
      </w:r>
      <w:r w:rsidR="00C5163F">
        <w:rPr>
          <w:rFonts w:ascii="Arial" w:hAnsi="Arial" w:cs="Arial"/>
          <w:b/>
          <w:bCs/>
          <w:sz w:val="20"/>
          <w:szCs w:val="20"/>
        </w:rPr>
        <w:t xml:space="preserve"> area but develop heterogenous insulitis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Pancreas collected from</w:t>
      </w:r>
      <w:r w:rsidRPr="00B32EF2">
        <w:rPr>
          <w:rFonts w:ascii="Arial" w:hAnsi="Arial" w:cs="Arial"/>
          <w:sz w:val="20"/>
          <w:szCs w:val="20"/>
        </w:rPr>
        <w:t xml:space="preserve"> </w:t>
      </w:r>
      <w:r w:rsidR="00DC721A" w:rsidRPr="001C33CF">
        <w:rPr>
          <w:rFonts w:ascii="Arial" w:hAnsi="Arial" w:cs="Arial"/>
          <w:i/>
          <w:iCs/>
          <w:sz w:val="20"/>
          <w:szCs w:val="20"/>
        </w:rPr>
        <w:t>Ins1</w:t>
      </w:r>
      <w:r w:rsidR="00DC721A" w:rsidRPr="001C33CF">
        <w:rPr>
          <w:rFonts w:ascii="Arial" w:hAnsi="Arial" w:cs="Arial"/>
          <w:i/>
          <w:iCs/>
          <w:sz w:val="20"/>
          <w:szCs w:val="20"/>
          <w:vertAlign w:val="superscript"/>
        </w:rPr>
        <w:t>-/-</w:t>
      </w:r>
      <w:r w:rsidR="00DC721A" w:rsidRPr="001C33CF">
        <w:rPr>
          <w:rFonts w:ascii="Arial" w:hAnsi="Arial" w:cs="Arial"/>
          <w:i/>
          <w:iCs/>
          <w:sz w:val="20"/>
          <w:szCs w:val="20"/>
        </w:rPr>
        <w:t>;Ins2</w:t>
      </w:r>
      <w:r w:rsidR="00DC721A" w:rsidRPr="001C33CF">
        <w:rPr>
          <w:rFonts w:ascii="Arial" w:hAnsi="Arial" w:cs="Arial"/>
          <w:i/>
          <w:iCs/>
          <w:sz w:val="20"/>
          <w:szCs w:val="20"/>
          <w:vertAlign w:val="superscript"/>
        </w:rPr>
        <w:t>f/f</w:t>
      </w:r>
      <w:r w:rsidR="00DC721A">
        <w:rPr>
          <w:rFonts w:ascii="Arial" w:hAnsi="Arial" w:cs="Arial"/>
          <w:sz w:val="20"/>
          <w:szCs w:val="20"/>
        </w:rPr>
        <w:t xml:space="preserve"> mice </w:t>
      </w:r>
      <w:r w:rsidR="00BE4A70">
        <w:rPr>
          <w:rFonts w:ascii="Arial" w:hAnsi="Arial" w:cs="Arial"/>
          <w:sz w:val="20"/>
          <w:szCs w:val="20"/>
        </w:rPr>
        <w:t>treated with either PBS or 10</w:t>
      </w:r>
      <w:r w:rsidR="00BE4A70" w:rsidRPr="001C33CF">
        <w:rPr>
          <w:rFonts w:ascii="Arial" w:hAnsi="Arial" w:cs="Arial"/>
          <w:sz w:val="20"/>
          <w:szCs w:val="20"/>
          <w:vertAlign w:val="superscript"/>
        </w:rPr>
        <w:t>12</w:t>
      </w:r>
      <w:r w:rsidR="00BE4A70">
        <w:rPr>
          <w:rFonts w:ascii="Arial" w:hAnsi="Arial" w:cs="Arial"/>
          <w:sz w:val="20"/>
          <w:szCs w:val="20"/>
        </w:rPr>
        <w:t xml:space="preserve"> VGP AAV8 Ins1-Cre </w:t>
      </w:r>
      <w:r w:rsidR="00DC721A">
        <w:rPr>
          <w:rFonts w:ascii="Arial" w:hAnsi="Arial" w:cs="Arial"/>
          <w:sz w:val="20"/>
          <w:szCs w:val="20"/>
        </w:rPr>
        <w:t>was immunostained</w:t>
      </w:r>
      <w:r w:rsidR="00BE4A70">
        <w:rPr>
          <w:rFonts w:ascii="Arial" w:hAnsi="Arial" w:cs="Arial"/>
          <w:sz w:val="20"/>
          <w:szCs w:val="20"/>
        </w:rPr>
        <w:t xml:space="preserve"> for insulin and IAPP. Scale bars are 250 μm.</w:t>
      </w:r>
      <w:r w:rsidRPr="00B32EF2">
        <w:rPr>
          <w:rFonts w:ascii="Arial" w:hAnsi="Arial" w:cs="Arial"/>
          <w:sz w:val="20"/>
          <w:szCs w:val="20"/>
        </w:rPr>
        <w:br w:type="page"/>
      </w:r>
    </w:p>
    <w:p w14:paraId="4C26F9EB" w14:textId="77777777" w:rsidR="0093419A" w:rsidRPr="00B32EF2" w:rsidRDefault="0093419A" w:rsidP="0093419A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B32EF2">
        <w:rPr>
          <w:rFonts w:ascii="Arial" w:hAnsi="Arial" w:cs="Arial"/>
          <w:b/>
          <w:sz w:val="20"/>
          <w:szCs w:val="20"/>
        </w:rPr>
        <w:lastRenderedPageBreak/>
        <w:t>Supplemental Table 1. List of primary antibodies used for Immunohistofluorescence.</w:t>
      </w:r>
    </w:p>
    <w:tbl>
      <w:tblPr>
        <w:tblW w:w="10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276"/>
        <w:gridCol w:w="1134"/>
        <w:gridCol w:w="1246"/>
        <w:gridCol w:w="1079"/>
        <w:gridCol w:w="1134"/>
        <w:gridCol w:w="1134"/>
        <w:gridCol w:w="812"/>
        <w:gridCol w:w="1231"/>
      </w:tblGrid>
      <w:tr w:rsidR="0093419A" w:rsidRPr="00B32EF2" w14:paraId="115A99B1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</w:tcPr>
          <w:p w14:paraId="0E4E83AA" w14:textId="77777777" w:rsidR="0093419A" w:rsidRPr="00B32EF2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bookmarkStart w:id="2" w:name="RANGE!A1:H9"/>
            <w:r w:rsidRPr="00B32E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CA"/>
              </w:rPr>
              <w:t>Peptide/protein target</w:t>
            </w:r>
            <w:bookmarkEnd w:id="2"/>
          </w:p>
        </w:tc>
        <w:tc>
          <w:tcPr>
            <w:tcW w:w="1276" w:type="dxa"/>
            <w:shd w:val="clear" w:color="auto" w:fill="auto"/>
          </w:tcPr>
          <w:p w14:paraId="751DDBAF" w14:textId="77777777" w:rsidR="0093419A" w:rsidRPr="00B32EF2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32E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CA"/>
              </w:rPr>
              <w:t>Antigen Sequence</w:t>
            </w:r>
          </w:p>
        </w:tc>
        <w:tc>
          <w:tcPr>
            <w:tcW w:w="1134" w:type="dxa"/>
            <w:shd w:val="clear" w:color="auto" w:fill="auto"/>
            <w:noWrap/>
          </w:tcPr>
          <w:p w14:paraId="1581BAFE" w14:textId="77777777" w:rsidR="0093419A" w:rsidRPr="00B32EF2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32E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CA"/>
              </w:rPr>
              <w:t>Name of Antibody</w:t>
            </w:r>
          </w:p>
        </w:tc>
        <w:tc>
          <w:tcPr>
            <w:tcW w:w="2325" w:type="dxa"/>
            <w:gridSpan w:val="2"/>
            <w:shd w:val="clear" w:color="auto" w:fill="auto"/>
            <w:noWrap/>
          </w:tcPr>
          <w:p w14:paraId="2CEF63D6" w14:textId="77777777" w:rsidR="0093419A" w:rsidRPr="00B32EF2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B32E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CA"/>
              </w:rPr>
              <w:t>Manufacturer, catalog #, and/or name of individual providing the antibody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6D5E01B" w14:textId="77777777" w:rsidR="0093419A" w:rsidRPr="00B32EF2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B32E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CA"/>
              </w:rPr>
              <w:t>Species raised in; monoclonal or polyclonal</w:t>
            </w:r>
          </w:p>
        </w:tc>
        <w:tc>
          <w:tcPr>
            <w:tcW w:w="812" w:type="dxa"/>
            <w:shd w:val="clear" w:color="auto" w:fill="auto"/>
            <w:noWrap/>
          </w:tcPr>
          <w:p w14:paraId="06036413" w14:textId="77777777" w:rsidR="0093419A" w:rsidRPr="00B32EF2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32E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CA"/>
              </w:rPr>
              <w:t>Dilution used</w:t>
            </w:r>
          </w:p>
        </w:tc>
        <w:tc>
          <w:tcPr>
            <w:tcW w:w="1231" w:type="dxa"/>
            <w:shd w:val="clear" w:color="auto" w:fill="auto"/>
          </w:tcPr>
          <w:p w14:paraId="4B22CE8B" w14:textId="77777777" w:rsidR="0093419A" w:rsidRPr="00B32EF2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32E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CA"/>
              </w:rPr>
              <w:t>RRID</w:t>
            </w:r>
          </w:p>
        </w:tc>
      </w:tr>
      <w:tr w:rsidR="0093419A" w:rsidRPr="003F473F" w14:paraId="12B00B05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</w:tcPr>
          <w:p w14:paraId="5BC6E40E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CD3</w:t>
            </w:r>
          </w:p>
        </w:tc>
        <w:tc>
          <w:tcPr>
            <w:tcW w:w="1276" w:type="dxa"/>
            <w:shd w:val="clear" w:color="auto" w:fill="auto"/>
          </w:tcPr>
          <w:p w14:paraId="7827D53C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C-terminus of human CD3</w:t>
            </w:r>
          </w:p>
        </w:tc>
        <w:tc>
          <w:tcPr>
            <w:tcW w:w="1134" w:type="dxa"/>
            <w:shd w:val="clear" w:color="auto" w:fill="auto"/>
            <w:noWrap/>
          </w:tcPr>
          <w:p w14:paraId="2B2C4B12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 anti-CD3</w:t>
            </w:r>
          </w:p>
        </w:tc>
        <w:tc>
          <w:tcPr>
            <w:tcW w:w="1246" w:type="dxa"/>
            <w:shd w:val="clear" w:color="auto" w:fill="auto"/>
            <w:noWrap/>
          </w:tcPr>
          <w:p w14:paraId="5D48B725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3F473F"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  <w:lang w:val="en-US"/>
              </w:rPr>
              <w:t>Anaspec</w:t>
            </w:r>
            <w:proofErr w:type="spellEnd"/>
          </w:p>
        </w:tc>
        <w:tc>
          <w:tcPr>
            <w:tcW w:w="1079" w:type="dxa"/>
            <w:shd w:val="clear" w:color="auto" w:fill="auto"/>
            <w:noWrap/>
          </w:tcPr>
          <w:p w14:paraId="49A6FCD4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  <w:lang w:val="en-US"/>
              </w:rPr>
              <w:t>29588</w:t>
            </w:r>
          </w:p>
        </w:tc>
        <w:tc>
          <w:tcPr>
            <w:tcW w:w="1134" w:type="dxa"/>
            <w:shd w:val="clear" w:color="auto" w:fill="auto"/>
            <w:noWrap/>
          </w:tcPr>
          <w:p w14:paraId="263E2A8F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</w:t>
            </w:r>
          </w:p>
        </w:tc>
        <w:tc>
          <w:tcPr>
            <w:tcW w:w="1134" w:type="dxa"/>
            <w:shd w:val="clear" w:color="auto" w:fill="auto"/>
            <w:noWrap/>
          </w:tcPr>
          <w:p w14:paraId="39F365C0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Polyclonal</w:t>
            </w:r>
          </w:p>
        </w:tc>
        <w:tc>
          <w:tcPr>
            <w:tcW w:w="812" w:type="dxa"/>
            <w:shd w:val="clear" w:color="auto" w:fill="auto"/>
            <w:noWrap/>
          </w:tcPr>
          <w:p w14:paraId="49933A43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50</w:t>
            </w:r>
          </w:p>
        </w:tc>
        <w:tc>
          <w:tcPr>
            <w:tcW w:w="1231" w:type="dxa"/>
            <w:shd w:val="clear" w:color="auto" w:fill="auto"/>
            <w:noWrap/>
          </w:tcPr>
          <w:p w14:paraId="302EE911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AB_2275572</w:t>
            </w:r>
          </w:p>
        </w:tc>
      </w:tr>
      <w:tr w:rsidR="0093419A" w:rsidRPr="003F473F" w14:paraId="7600E465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</w:tcPr>
          <w:p w14:paraId="06A36A21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CD45</w:t>
            </w:r>
          </w:p>
        </w:tc>
        <w:tc>
          <w:tcPr>
            <w:tcW w:w="1276" w:type="dxa"/>
            <w:shd w:val="clear" w:color="auto" w:fill="auto"/>
          </w:tcPr>
          <w:p w14:paraId="462B2704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Unknown</w:t>
            </w:r>
          </w:p>
        </w:tc>
        <w:tc>
          <w:tcPr>
            <w:tcW w:w="1134" w:type="dxa"/>
            <w:shd w:val="clear" w:color="auto" w:fill="auto"/>
            <w:noWrap/>
          </w:tcPr>
          <w:p w14:paraId="008492AF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Rat anti-CD45</w:t>
            </w:r>
          </w:p>
        </w:tc>
        <w:tc>
          <w:tcPr>
            <w:tcW w:w="1246" w:type="dxa"/>
            <w:shd w:val="clear" w:color="auto" w:fill="auto"/>
            <w:noWrap/>
          </w:tcPr>
          <w:p w14:paraId="78FBE8F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  <w:lang w:val="en-US"/>
              </w:rPr>
              <w:t>BD B</w:t>
            </w:r>
            <w:r w:rsidRPr="003F473F">
              <w:rPr>
                <w:rStyle w:val="normaltextrun"/>
                <w:rFonts w:ascii="Arial" w:hAnsi="Arial" w:cs="Arial"/>
                <w:sz w:val="16"/>
                <w:szCs w:val="16"/>
                <w:bdr w:val="none" w:sz="0" w:space="0" w:color="auto" w:frame="1"/>
                <w:lang w:val="en-US"/>
              </w:rPr>
              <w:t>iosciences</w:t>
            </w:r>
          </w:p>
        </w:tc>
        <w:tc>
          <w:tcPr>
            <w:tcW w:w="1079" w:type="dxa"/>
            <w:shd w:val="clear" w:color="auto" w:fill="auto"/>
            <w:noWrap/>
          </w:tcPr>
          <w:p w14:paraId="732517B5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  <w:lang w:val="en-US"/>
              </w:rPr>
              <w:t>550539</w:t>
            </w:r>
          </w:p>
        </w:tc>
        <w:tc>
          <w:tcPr>
            <w:tcW w:w="1134" w:type="dxa"/>
            <w:shd w:val="clear" w:color="auto" w:fill="auto"/>
            <w:noWrap/>
          </w:tcPr>
          <w:p w14:paraId="710B672C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Rat</w:t>
            </w:r>
          </w:p>
        </w:tc>
        <w:tc>
          <w:tcPr>
            <w:tcW w:w="1134" w:type="dxa"/>
            <w:shd w:val="clear" w:color="auto" w:fill="auto"/>
            <w:noWrap/>
          </w:tcPr>
          <w:p w14:paraId="5D81FCE4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Monoclonal</w:t>
            </w:r>
          </w:p>
        </w:tc>
        <w:tc>
          <w:tcPr>
            <w:tcW w:w="812" w:type="dxa"/>
            <w:shd w:val="clear" w:color="auto" w:fill="auto"/>
            <w:noWrap/>
          </w:tcPr>
          <w:p w14:paraId="5ECFA50C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25</w:t>
            </w:r>
          </w:p>
        </w:tc>
        <w:tc>
          <w:tcPr>
            <w:tcW w:w="1231" w:type="dxa"/>
            <w:shd w:val="clear" w:color="auto" w:fill="auto"/>
            <w:noWrap/>
          </w:tcPr>
          <w:p w14:paraId="5EFB9E9D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AB_2174426</w:t>
            </w:r>
          </w:p>
        </w:tc>
      </w:tr>
      <w:tr w:rsidR="0093419A" w:rsidRPr="003F473F" w14:paraId="09C27923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</w:tcPr>
          <w:p w14:paraId="1B46DE18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dsRED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8C30BAC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Unknown</w:t>
            </w:r>
          </w:p>
        </w:tc>
        <w:tc>
          <w:tcPr>
            <w:tcW w:w="1134" w:type="dxa"/>
            <w:shd w:val="clear" w:color="auto" w:fill="auto"/>
            <w:noWrap/>
          </w:tcPr>
          <w:p w14:paraId="3DA38DDE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 anti-</w:t>
            </w:r>
            <w:proofErr w:type="spellStart"/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dsRED</w:t>
            </w:r>
            <w:proofErr w:type="spellEnd"/>
          </w:p>
        </w:tc>
        <w:tc>
          <w:tcPr>
            <w:tcW w:w="1246" w:type="dxa"/>
            <w:shd w:val="clear" w:color="auto" w:fill="auto"/>
            <w:noWrap/>
          </w:tcPr>
          <w:p w14:paraId="468642F5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Clontech</w:t>
            </w:r>
            <w:proofErr w:type="spellEnd"/>
          </w:p>
        </w:tc>
        <w:tc>
          <w:tcPr>
            <w:tcW w:w="1079" w:type="dxa"/>
            <w:shd w:val="clear" w:color="auto" w:fill="auto"/>
            <w:noWrap/>
          </w:tcPr>
          <w:p w14:paraId="27C38B85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632496</w:t>
            </w:r>
          </w:p>
        </w:tc>
        <w:tc>
          <w:tcPr>
            <w:tcW w:w="1134" w:type="dxa"/>
            <w:shd w:val="clear" w:color="auto" w:fill="auto"/>
            <w:noWrap/>
          </w:tcPr>
          <w:p w14:paraId="13CC30FB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</w:t>
            </w:r>
          </w:p>
        </w:tc>
        <w:tc>
          <w:tcPr>
            <w:tcW w:w="1134" w:type="dxa"/>
            <w:shd w:val="clear" w:color="auto" w:fill="auto"/>
            <w:noWrap/>
          </w:tcPr>
          <w:p w14:paraId="1B7FC17C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Polyclonal</w:t>
            </w:r>
          </w:p>
        </w:tc>
        <w:tc>
          <w:tcPr>
            <w:tcW w:w="812" w:type="dxa"/>
            <w:shd w:val="clear" w:color="auto" w:fill="auto"/>
            <w:noWrap/>
          </w:tcPr>
          <w:p w14:paraId="0F2E83A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100</w:t>
            </w:r>
          </w:p>
        </w:tc>
        <w:tc>
          <w:tcPr>
            <w:tcW w:w="1231" w:type="dxa"/>
            <w:shd w:val="clear" w:color="auto" w:fill="auto"/>
            <w:noWrap/>
          </w:tcPr>
          <w:p w14:paraId="067D235E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AB_10013483</w:t>
            </w:r>
          </w:p>
        </w:tc>
      </w:tr>
      <w:tr w:rsidR="0093419A" w:rsidRPr="003F473F" w14:paraId="2AE42448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  <w:hideMark/>
          </w:tcPr>
          <w:p w14:paraId="04ADD8BC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Glucagon</w:t>
            </w:r>
          </w:p>
        </w:tc>
        <w:tc>
          <w:tcPr>
            <w:tcW w:w="1276" w:type="dxa"/>
            <w:shd w:val="clear" w:color="auto" w:fill="auto"/>
            <w:hideMark/>
          </w:tcPr>
          <w:p w14:paraId="1C604D6F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unknown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876A73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Mouse anti-GCG</w:t>
            </w:r>
          </w:p>
        </w:tc>
        <w:tc>
          <w:tcPr>
            <w:tcW w:w="1246" w:type="dxa"/>
            <w:shd w:val="clear" w:color="auto" w:fill="auto"/>
            <w:noWrap/>
            <w:hideMark/>
          </w:tcPr>
          <w:p w14:paraId="270B906D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Sigma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1B0667D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 2654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58886C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Mouse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768E39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Monoclonal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413AFC45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1000</w:t>
            </w:r>
          </w:p>
        </w:tc>
        <w:tc>
          <w:tcPr>
            <w:tcW w:w="1231" w:type="dxa"/>
            <w:shd w:val="clear" w:color="auto" w:fill="auto"/>
            <w:noWrap/>
            <w:hideMark/>
          </w:tcPr>
          <w:p w14:paraId="0EECBB8F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AB_259852</w:t>
            </w:r>
          </w:p>
        </w:tc>
      </w:tr>
      <w:tr w:rsidR="0093419A" w:rsidRPr="003F473F" w14:paraId="2AB96154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  <w:hideMark/>
          </w:tcPr>
          <w:p w14:paraId="0D50B500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Glucose transporter 2</w:t>
            </w:r>
          </w:p>
        </w:tc>
        <w:tc>
          <w:tcPr>
            <w:tcW w:w="1276" w:type="dxa"/>
            <w:shd w:val="clear" w:color="auto" w:fill="auto"/>
            <w:hideMark/>
          </w:tcPr>
          <w:p w14:paraId="6C3C887B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First extracellular loop of Glut2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94CBB7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 anti-GLUT2</w:t>
            </w:r>
          </w:p>
        </w:tc>
        <w:tc>
          <w:tcPr>
            <w:tcW w:w="1246" w:type="dxa"/>
            <w:shd w:val="clear" w:color="auto" w:fill="auto"/>
            <w:noWrap/>
            <w:hideMark/>
          </w:tcPr>
          <w:p w14:paraId="3FC0838C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Millipore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578357FE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07-1402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4D385B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Rabbity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21BD7A2D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Polyclonal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7D04C8C4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500</w:t>
            </w:r>
          </w:p>
        </w:tc>
        <w:tc>
          <w:tcPr>
            <w:tcW w:w="1231" w:type="dxa"/>
            <w:shd w:val="clear" w:color="auto" w:fill="auto"/>
            <w:noWrap/>
            <w:hideMark/>
          </w:tcPr>
          <w:p w14:paraId="3B96FECA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AB_1587076</w:t>
            </w:r>
          </w:p>
        </w:tc>
      </w:tr>
      <w:tr w:rsidR="0093419A" w:rsidRPr="003F473F" w14:paraId="76DC6290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</w:tcPr>
          <w:p w14:paraId="24D7941B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Green fluorescent protein</w:t>
            </w:r>
          </w:p>
        </w:tc>
        <w:tc>
          <w:tcPr>
            <w:tcW w:w="1276" w:type="dxa"/>
            <w:shd w:val="clear" w:color="auto" w:fill="auto"/>
          </w:tcPr>
          <w:p w14:paraId="7D59994F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 xml:space="preserve">Full length </w:t>
            </w:r>
            <w:r w:rsidRPr="003F473F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en-CA"/>
              </w:rPr>
              <w:t xml:space="preserve">Aequorea </w:t>
            </w: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GFP</w:t>
            </w:r>
          </w:p>
        </w:tc>
        <w:tc>
          <w:tcPr>
            <w:tcW w:w="1134" w:type="dxa"/>
            <w:shd w:val="clear" w:color="auto" w:fill="auto"/>
            <w:noWrap/>
          </w:tcPr>
          <w:p w14:paraId="715B732B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Mouse anti- GFP (mono)</w:t>
            </w:r>
          </w:p>
        </w:tc>
        <w:tc>
          <w:tcPr>
            <w:tcW w:w="1246" w:type="dxa"/>
            <w:shd w:val="clear" w:color="auto" w:fill="auto"/>
            <w:noWrap/>
          </w:tcPr>
          <w:p w14:paraId="5C5E220B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Clontech</w:t>
            </w:r>
            <w:proofErr w:type="spellEnd"/>
          </w:p>
        </w:tc>
        <w:tc>
          <w:tcPr>
            <w:tcW w:w="1079" w:type="dxa"/>
            <w:shd w:val="clear" w:color="auto" w:fill="auto"/>
            <w:noWrap/>
          </w:tcPr>
          <w:p w14:paraId="224CEFB7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632375</w:t>
            </w:r>
          </w:p>
        </w:tc>
        <w:tc>
          <w:tcPr>
            <w:tcW w:w="1134" w:type="dxa"/>
            <w:shd w:val="clear" w:color="auto" w:fill="auto"/>
            <w:noWrap/>
          </w:tcPr>
          <w:p w14:paraId="7C9512A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Mouse</w:t>
            </w:r>
          </w:p>
        </w:tc>
        <w:tc>
          <w:tcPr>
            <w:tcW w:w="1134" w:type="dxa"/>
            <w:shd w:val="clear" w:color="auto" w:fill="auto"/>
            <w:noWrap/>
          </w:tcPr>
          <w:p w14:paraId="7DF95BF8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Monoclonal</w:t>
            </w:r>
          </w:p>
        </w:tc>
        <w:tc>
          <w:tcPr>
            <w:tcW w:w="812" w:type="dxa"/>
            <w:shd w:val="clear" w:color="auto" w:fill="auto"/>
            <w:noWrap/>
          </w:tcPr>
          <w:p w14:paraId="624A2810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200</w:t>
            </w:r>
          </w:p>
        </w:tc>
        <w:tc>
          <w:tcPr>
            <w:tcW w:w="1231" w:type="dxa"/>
            <w:shd w:val="clear" w:color="auto" w:fill="auto"/>
            <w:noWrap/>
          </w:tcPr>
          <w:p w14:paraId="51EFC81A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AB_2756343</w:t>
            </w:r>
          </w:p>
        </w:tc>
      </w:tr>
      <w:tr w:rsidR="0093419A" w:rsidRPr="003F473F" w14:paraId="017C0802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</w:tcPr>
          <w:p w14:paraId="7FBE155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Green fluorescent protein</w:t>
            </w:r>
          </w:p>
        </w:tc>
        <w:tc>
          <w:tcPr>
            <w:tcW w:w="1276" w:type="dxa"/>
            <w:shd w:val="clear" w:color="auto" w:fill="auto"/>
          </w:tcPr>
          <w:p w14:paraId="3A457B27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GFP</w:t>
            </w:r>
          </w:p>
        </w:tc>
        <w:tc>
          <w:tcPr>
            <w:tcW w:w="1134" w:type="dxa"/>
            <w:shd w:val="clear" w:color="auto" w:fill="auto"/>
            <w:noWrap/>
          </w:tcPr>
          <w:p w14:paraId="16926B33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GFP (poly)</w:t>
            </w:r>
          </w:p>
        </w:tc>
        <w:tc>
          <w:tcPr>
            <w:tcW w:w="1246" w:type="dxa"/>
            <w:shd w:val="clear" w:color="auto" w:fill="auto"/>
            <w:noWrap/>
          </w:tcPr>
          <w:p w14:paraId="0A2749D0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Life Technologies</w:t>
            </w:r>
          </w:p>
        </w:tc>
        <w:tc>
          <w:tcPr>
            <w:tcW w:w="1079" w:type="dxa"/>
            <w:shd w:val="clear" w:color="auto" w:fill="auto"/>
            <w:noWrap/>
          </w:tcPr>
          <w:p w14:paraId="20477294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A11122</w:t>
            </w:r>
          </w:p>
        </w:tc>
        <w:tc>
          <w:tcPr>
            <w:tcW w:w="1134" w:type="dxa"/>
            <w:shd w:val="clear" w:color="auto" w:fill="auto"/>
            <w:noWrap/>
          </w:tcPr>
          <w:p w14:paraId="70034C3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</w:t>
            </w:r>
          </w:p>
        </w:tc>
        <w:tc>
          <w:tcPr>
            <w:tcW w:w="1134" w:type="dxa"/>
            <w:shd w:val="clear" w:color="auto" w:fill="auto"/>
            <w:noWrap/>
          </w:tcPr>
          <w:p w14:paraId="498FB984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Polyclonal</w:t>
            </w:r>
          </w:p>
        </w:tc>
        <w:tc>
          <w:tcPr>
            <w:tcW w:w="812" w:type="dxa"/>
            <w:shd w:val="clear" w:color="auto" w:fill="auto"/>
            <w:noWrap/>
          </w:tcPr>
          <w:p w14:paraId="29CCC735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500</w:t>
            </w:r>
          </w:p>
        </w:tc>
        <w:tc>
          <w:tcPr>
            <w:tcW w:w="1231" w:type="dxa"/>
            <w:shd w:val="clear" w:color="auto" w:fill="auto"/>
            <w:noWrap/>
          </w:tcPr>
          <w:p w14:paraId="30031652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AB_221569</w:t>
            </w:r>
          </w:p>
        </w:tc>
      </w:tr>
      <w:tr w:rsidR="0093419A" w:rsidRPr="003F473F" w14:paraId="073AFB87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  <w:hideMark/>
          </w:tcPr>
          <w:p w14:paraId="0E4BDB65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Islet amyloid polypeptide</w:t>
            </w:r>
          </w:p>
        </w:tc>
        <w:tc>
          <w:tcPr>
            <w:tcW w:w="1276" w:type="dxa"/>
            <w:shd w:val="clear" w:color="auto" w:fill="auto"/>
            <w:hideMark/>
          </w:tcPr>
          <w:p w14:paraId="0F2C5AAF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unknown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9F91E7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 anti-IAPP</w:t>
            </w:r>
          </w:p>
        </w:tc>
        <w:tc>
          <w:tcPr>
            <w:tcW w:w="1246" w:type="dxa"/>
            <w:shd w:val="clear" w:color="auto" w:fill="auto"/>
            <w:noWrap/>
            <w:hideMark/>
          </w:tcPr>
          <w:p w14:paraId="0BAD0E18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AbCam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9026F4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ab15125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D738345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7FBE0E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Polyclonal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26AAE1ED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50</w:t>
            </w:r>
          </w:p>
        </w:tc>
        <w:tc>
          <w:tcPr>
            <w:tcW w:w="1231" w:type="dxa"/>
            <w:shd w:val="clear" w:color="auto" w:fill="auto"/>
            <w:noWrap/>
            <w:hideMark/>
          </w:tcPr>
          <w:p w14:paraId="04A9F57A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AB_2295631</w:t>
            </w:r>
          </w:p>
        </w:tc>
      </w:tr>
      <w:tr w:rsidR="0093419A" w:rsidRPr="003F473F" w14:paraId="2B228CC6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  <w:hideMark/>
          </w:tcPr>
          <w:p w14:paraId="7CD011FA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Insulin</w:t>
            </w:r>
          </w:p>
        </w:tc>
        <w:tc>
          <w:tcPr>
            <w:tcW w:w="1276" w:type="dxa"/>
            <w:shd w:val="clear" w:color="auto" w:fill="auto"/>
            <w:hideMark/>
          </w:tcPr>
          <w:p w14:paraId="554E9CE7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unknown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E63823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 anti-INS</w:t>
            </w:r>
          </w:p>
        </w:tc>
        <w:tc>
          <w:tcPr>
            <w:tcW w:w="1246" w:type="dxa"/>
            <w:shd w:val="clear" w:color="auto" w:fill="auto"/>
            <w:noWrap/>
            <w:hideMark/>
          </w:tcPr>
          <w:p w14:paraId="720477F8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Cell Signaling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307B5C75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C27C9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96B59F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BC24252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Monoclonal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2677080D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200</w:t>
            </w:r>
          </w:p>
        </w:tc>
        <w:tc>
          <w:tcPr>
            <w:tcW w:w="1231" w:type="dxa"/>
            <w:shd w:val="clear" w:color="auto" w:fill="auto"/>
            <w:noWrap/>
            <w:hideMark/>
          </w:tcPr>
          <w:p w14:paraId="3F7CA068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AB_2126503</w:t>
            </w:r>
          </w:p>
        </w:tc>
      </w:tr>
      <w:tr w:rsidR="0093419A" w:rsidRPr="003F473F" w14:paraId="7D393A04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  <w:hideMark/>
          </w:tcPr>
          <w:p w14:paraId="677F5D59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Insulin</w:t>
            </w:r>
          </w:p>
        </w:tc>
        <w:tc>
          <w:tcPr>
            <w:tcW w:w="1276" w:type="dxa"/>
            <w:shd w:val="clear" w:color="auto" w:fill="auto"/>
            <w:hideMark/>
          </w:tcPr>
          <w:p w14:paraId="1C2CFBDF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Residues surrounding Val36 of human insulin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4C75A01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Mouse anti-INS</w:t>
            </w:r>
          </w:p>
        </w:tc>
        <w:tc>
          <w:tcPr>
            <w:tcW w:w="1246" w:type="dxa"/>
            <w:shd w:val="clear" w:color="auto" w:fill="auto"/>
            <w:noWrap/>
            <w:hideMark/>
          </w:tcPr>
          <w:p w14:paraId="6ED4907B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Cell Signaling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6BB7C0C2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L6B10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6AB8E8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Mouse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0445B72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Monoclonal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497502F9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250</w:t>
            </w:r>
          </w:p>
        </w:tc>
        <w:tc>
          <w:tcPr>
            <w:tcW w:w="1231" w:type="dxa"/>
            <w:shd w:val="clear" w:color="auto" w:fill="auto"/>
            <w:noWrap/>
            <w:hideMark/>
          </w:tcPr>
          <w:p w14:paraId="28FFED24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AB_10949314</w:t>
            </w:r>
          </w:p>
        </w:tc>
      </w:tr>
      <w:tr w:rsidR="0093419A" w:rsidRPr="003F473F" w14:paraId="784991A4" w14:textId="77777777" w:rsidTr="00D9704E">
        <w:trPr>
          <w:trHeight w:val="993"/>
          <w:jc w:val="center"/>
        </w:trPr>
        <w:tc>
          <w:tcPr>
            <w:tcW w:w="1417" w:type="dxa"/>
            <w:shd w:val="clear" w:color="auto" w:fill="auto"/>
            <w:noWrap/>
            <w:hideMark/>
          </w:tcPr>
          <w:p w14:paraId="1773B7A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 xml:space="preserve">V-maf </w:t>
            </w:r>
            <w:proofErr w:type="spellStart"/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muscoloapo</w:t>
            </w:r>
            <w:proofErr w:type="spellEnd"/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-neurotic fibrosarcoma oncogene homolog 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D59091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unknown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BE6A28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 anti-MAFA</w:t>
            </w:r>
          </w:p>
        </w:tc>
        <w:tc>
          <w:tcPr>
            <w:tcW w:w="1246" w:type="dxa"/>
            <w:shd w:val="clear" w:color="auto" w:fill="auto"/>
            <w:noWrap/>
            <w:hideMark/>
          </w:tcPr>
          <w:p w14:paraId="02FB6038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Betalogics</w:t>
            </w:r>
            <w:proofErr w:type="spellEnd"/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 xml:space="preserve"> (Johnson &amp; Johnson)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0A6F62D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LP9872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3EC7D0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Rabbit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3842829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Polyclonal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20057D08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1000</w:t>
            </w:r>
          </w:p>
        </w:tc>
        <w:tc>
          <w:tcPr>
            <w:tcW w:w="1231" w:type="dxa"/>
            <w:shd w:val="clear" w:color="auto" w:fill="auto"/>
            <w:noWrap/>
            <w:hideMark/>
          </w:tcPr>
          <w:p w14:paraId="0D9A6CB8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AB_2665528</w:t>
            </w:r>
          </w:p>
        </w:tc>
      </w:tr>
      <w:tr w:rsidR="0093419A" w:rsidRPr="003F473F" w14:paraId="70A8B5F7" w14:textId="77777777" w:rsidTr="00D9704E">
        <w:trPr>
          <w:trHeight w:val="704"/>
          <w:jc w:val="center"/>
        </w:trPr>
        <w:tc>
          <w:tcPr>
            <w:tcW w:w="1417" w:type="dxa"/>
            <w:shd w:val="clear" w:color="auto" w:fill="auto"/>
            <w:noWrap/>
            <w:hideMark/>
          </w:tcPr>
          <w:p w14:paraId="39652B04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homeodomain transcription factor 6.1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9300002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Human Nkx6.1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7D3879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Goat anti-NKX6.1</w:t>
            </w:r>
          </w:p>
        </w:tc>
        <w:tc>
          <w:tcPr>
            <w:tcW w:w="1246" w:type="dxa"/>
            <w:shd w:val="clear" w:color="auto" w:fill="auto"/>
            <w:noWrap/>
            <w:hideMark/>
          </w:tcPr>
          <w:p w14:paraId="7BEC5B9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R and D Systems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35827D55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AF5857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0EF8D3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Goat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6C936A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Polyclonal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6F601E66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20</w:t>
            </w:r>
          </w:p>
        </w:tc>
        <w:tc>
          <w:tcPr>
            <w:tcW w:w="1231" w:type="dxa"/>
            <w:shd w:val="clear" w:color="auto" w:fill="auto"/>
            <w:noWrap/>
            <w:hideMark/>
          </w:tcPr>
          <w:p w14:paraId="557B278A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AB_1857045</w:t>
            </w:r>
          </w:p>
        </w:tc>
      </w:tr>
      <w:tr w:rsidR="0093419A" w:rsidRPr="003F473F" w14:paraId="3D78421E" w14:textId="77777777" w:rsidTr="00D9704E">
        <w:trPr>
          <w:trHeight w:val="300"/>
          <w:jc w:val="center"/>
        </w:trPr>
        <w:tc>
          <w:tcPr>
            <w:tcW w:w="1417" w:type="dxa"/>
            <w:shd w:val="clear" w:color="auto" w:fill="auto"/>
            <w:noWrap/>
            <w:hideMark/>
          </w:tcPr>
          <w:p w14:paraId="1359C6F5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Somatostatin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6327327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Human somatostatin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788A52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Mouse anti-SST</w:t>
            </w:r>
          </w:p>
        </w:tc>
        <w:tc>
          <w:tcPr>
            <w:tcW w:w="1246" w:type="dxa"/>
            <w:shd w:val="clear" w:color="auto" w:fill="auto"/>
            <w:noWrap/>
            <w:hideMark/>
          </w:tcPr>
          <w:p w14:paraId="135F15AD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Β Cell Biology Consortium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1CF55EE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AB1985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205B42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Mouse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59DDF9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Polyclonal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50A581FB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1 to 500</w:t>
            </w:r>
          </w:p>
        </w:tc>
        <w:tc>
          <w:tcPr>
            <w:tcW w:w="1231" w:type="dxa"/>
            <w:shd w:val="clear" w:color="auto" w:fill="auto"/>
            <w:noWrap/>
            <w:hideMark/>
          </w:tcPr>
          <w:p w14:paraId="787862EE" w14:textId="77777777" w:rsidR="0093419A" w:rsidRPr="003F473F" w:rsidRDefault="0093419A" w:rsidP="00D97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</w:pPr>
            <w:r w:rsidRPr="003F473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CA"/>
              </w:rPr>
              <w:t>AB_10014609</w:t>
            </w:r>
          </w:p>
        </w:tc>
      </w:tr>
    </w:tbl>
    <w:p w14:paraId="498D43E7" w14:textId="77777777" w:rsidR="0093419A" w:rsidRPr="003F473F" w:rsidRDefault="0093419A" w:rsidP="0093419A">
      <w:pPr>
        <w:rPr>
          <w:rFonts w:ascii="Arial" w:hAnsi="Arial" w:cs="Arial"/>
          <w:sz w:val="16"/>
          <w:szCs w:val="16"/>
        </w:rPr>
      </w:pPr>
    </w:p>
    <w:p w14:paraId="4B72C7F0" w14:textId="77777777" w:rsidR="0093419A" w:rsidRPr="003F473F" w:rsidRDefault="0093419A" w:rsidP="0093419A">
      <w:pPr>
        <w:spacing w:after="0" w:line="480" w:lineRule="auto"/>
        <w:rPr>
          <w:rFonts w:ascii="Arial" w:hAnsi="Arial" w:cs="Arial"/>
          <w:sz w:val="16"/>
          <w:szCs w:val="16"/>
        </w:rPr>
      </w:pPr>
    </w:p>
    <w:p w14:paraId="0D6D25EC" w14:textId="77777777" w:rsidR="0093419A" w:rsidRPr="00B32EF2" w:rsidRDefault="0093419A" w:rsidP="0093419A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2F547925" w14:textId="77777777" w:rsidR="0093419A" w:rsidRPr="00B32EF2" w:rsidRDefault="0093419A" w:rsidP="0093419A"/>
    <w:p w14:paraId="56B852F0" w14:textId="77777777" w:rsidR="0093419A" w:rsidRPr="00B32EF2" w:rsidRDefault="0093419A" w:rsidP="0093419A"/>
    <w:p w14:paraId="78529A80" w14:textId="77777777" w:rsidR="0093419A" w:rsidRPr="00B32EF2" w:rsidRDefault="0093419A" w:rsidP="0093419A"/>
    <w:p w14:paraId="13FE0E20" w14:textId="77777777" w:rsidR="0093419A" w:rsidRPr="00B32EF2" w:rsidRDefault="0093419A" w:rsidP="0093419A"/>
    <w:p w14:paraId="0C4A1165" w14:textId="77777777" w:rsidR="00966836" w:rsidRDefault="00966836" w:rsidP="00003FB2">
      <w:pPr>
        <w:spacing w:line="480" w:lineRule="auto"/>
        <w:jc w:val="center"/>
      </w:pPr>
    </w:p>
    <w:sectPr w:rsidR="009668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B2"/>
    <w:rsid w:val="00003FB2"/>
    <w:rsid w:val="00073D0E"/>
    <w:rsid w:val="000A4012"/>
    <w:rsid w:val="000A680E"/>
    <w:rsid w:val="000F08AC"/>
    <w:rsid w:val="001C33CF"/>
    <w:rsid w:val="001E2199"/>
    <w:rsid w:val="00290880"/>
    <w:rsid w:val="002A465F"/>
    <w:rsid w:val="00323B3C"/>
    <w:rsid w:val="003E1C17"/>
    <w:rsid w:val="003F473F"/>
    <w:rsid w:val="0053721C"/>
    <w:rsid w:val="00542951"/>
    <w:rsid w:val="00753CFC"/>
    <w:rsid w:val="00817259"/>
    <w:rsid w:val="00872563"/>
    <w:rsid w:val="0093419A"/>
    <w:rsid w:val="00966836"/>
    <w:rsid w:val="009A7C70"/>
    <w:rsid w:val="00AB561E"/>
    <w:rsid w:val="00B16BD4"/>
    <w:rsid w:val="00B45DC8"/>
    <w:rsid w:val="00BE4A70"/>
    <w:rsid w:val="00BF00E5"/>
    <w:rsid w:val="00C168E5"/>
    <w:rsid w:val="00C5163F"/>
    <w:rsid w:val="00CC42DE"/>
    <w:rsid w:val="00CE5132"/>
    <w:rsid w:val="00D85CA9"/>
    <w:rsid w:val="00DB7781"/>
    <w:rsid w:val="00DC721A"/>
    <w:rsid w:val="00F236F8"/>
    <w:rsid w:val="00F34F14"/>
    <w:rsid w:val="00F4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8BAB3"/>
  <w15:chartTrackingRefBased/>
  <w15:docId w15:val="{0330CA97-BE99-41BC-84A7-A5185C71E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93419A"/>
  </w:style>
  <w:style w:type="paragraph" w:styleId="BalloonText">
    <w:name w:val="Balloon Text"/>
    <w:basedOn w:val="Normal"/>
    <w:link w:val="BalloonTextChar"/>
    <w:uiPriority w:val="99"/>
    <w:semiHidden/>
    <w:unhideWhenUsed/>
    <w:rsid w:val="00B16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B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580</Words>
  <Characters>3504</Characters>
  <Application>Microsoft Office Word</Application>
  <DocSecurity>0</DocSecurity>
  <Lines>233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Ramzy</dc:creator>
  <cp:keywords/>
  <dc:description/>
  <cp:lastModifiedBy>Adam Ramzy</cp:lastModifiedBy>
  <cp:revision>5</cp:revision>
  <dcterms:created xsi:type="dcterms:W3CDTF">2020-04-21T12:24:00Z</dcterms:created>
  <dcterms:modified xsi:type="dcterms:W3CDTF">2020-04-23T19:55:00Z</dcterms:modified>
</cp:coreProperties>
</file>