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b/>
          <w:sz w:val="28"/>
          <w:szCs w:val="28"/>
        </w:rPr>
      </w:pPr>
      <w:r w:rsidRPr="0049696A">
        <w:rPr>
          <w:rFonts w:ascii="Cambria" w:eastAsia="Garamond" w:hAnsi="Cambria" w:cs="Arial"/>
          <w:b/>
          <w:sz w:val="28"/>
          <w:szCs w:val="28"/>
        </w:rPr>
        <w:t>A new island-scale tropical cyclone outlook for southwest Pacific nations and territories</w:t>
      </w: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b/>
        </w:rPr>
      </w:pP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b/>
        </w:rPr>
      </w:pP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vertAlign w:val="superscript"/>
        </w:rPr>
      </w:pPr>
      <w:r w:rsidRPr="0049696A">
        <w:rPr>
          <w:rFonts w:ascii="Cambria" w:eastAsia="Garamond" w:hAnsi="Cambria" w:cs="Arial"/>
        </w:rPr>
        <w:t>Andrew D. Magee</w:t>
      </w:r>
      <w:r w:rsidRPr="0049696A">
        <w:rPr>
          <w:rFonts w:ascii="Cambria" w:eastAsia="Garamond" w:hAnsi="Cambria" w:cs="Arial"/>
          <w:vertAlign w:val="superscript"/>
        </w:rPr>
        <w:t>1*</w:t>
      </w:r>
      <w:r w:rsidRPr="0049696A">
        <w:rPr>
          <w:rFonts w:ascii="Cambria" w:eastAsia="Garamond" w:hAnsi="Cambria" w:cs="Arial"/>
        </w:rPr>
        <w:t>, Andrew M. Lorrey</w:t>
      </w:r>
      <w:r w:rsidRPr="0049696A">
        <w:rPr>
          <w:rFonts w:ascii="Cambria" w:eastAsia="Garamond" w:hAnsi="Cambria" w:cs="Arial"/>
          <w:vertAlign w:val="superscript"/>
        </w:rPr>
        <w:t>2</w:t>
      </w:r>
      <w:r w:rsidRPr="0049696A">
        <w:rPr>
          <w:rFonts w:ascii="Cambria" w:eastAsia="Garamond" w:hAnsi="Cambria" w:cs="Arial"/>
        </w:rPr>
        <w:t>, Anthony S. Kiem</w:t>
      </w:r>
      <w:r w:rsidRPr="0049696A">
        <w:rPr>
          <w:rFonts w:ascii="Cambria" w:eastAsia="Garamond" w:hAnsi="Cambria" w:cs="Arial"/>
          <w:vertAlign w:val="superscript"/>
        </w:rPr>
        <w:t>1</w:t>
      </w:r>
      <w:r w:rsidRPr="0049696A">
        <w:rPr>
          <w:rFonts w:ascii="Cambria" w:eastAsia="Garamond" w:hAnsi="Cambria" w:cs="Arial"/>
        </w:rPr>
        <w:t>, Kim Colyvas</w:t>
      </w:r>
      <w:r w:rsidRPr="0049696A">
        <w:rPr>
          <w:rFonts w:ascii="Cambria" w:eastAsia="Garamond" w:hAnsi="Cambria" w:cs="Arial"/>
          <w:vertAlign w:val="superscript"/>
        </w:rPr>
        <w:t>3</w:t>
      </w: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vertAlign w:val="superscript"/>
        </w:rPr>
      </w:pP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  <w:r w:rsidRPr="0049696A">
        <w:rPr>
          <w:rFonts w:ascii="Cambria" w:eastAsia="Garamond" w:hAnsi="Cambria" w:cs="Arial"/>
          <w:vertAlign w:val="superscript"/>
        </w:rPr>
        <w:t xml:space="preserve">1 </w:t>
      </w:r>
      <w:r w:rsidRPr="0049696A">
        <w:rPr>
          <w:rFonts w:ascii="Cambria" w:eastAsia="Garamond" w:hAnsi="Cambria" w:cs="Arial"/>
        </w:rPr>
        <w:t>Centre for Water, Climate and Land (CWCL), University of Newcastle, Australia</w:t>
      </w: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  <w:r w:rsidRPr="0049696A">
        <w:rPr>
          <w:rFonts w:ascii="Cambria" w:eastAsia="Garamond" w:hAnsi="Cambria" w:cs="Arial"/>
          <w:vertAlign w:val="superscript"/>
        </w:rPr>
        <w:t xml:space="preserve">2 </w:t>
      </w:r>
      <w:r w:rsidRPr="0049696A">
        <w:rPr>
          <w:rFonts w:ascii="Cambria" w:eastAsia="Garamond" w:hAnsi="Cambria" w:cs="Arial"/>
        </w:rPr>
        <w:t>Climate, Atmosphere and Hazards Centre, National Institute for Water and Atmospheric Research (NIWA) LTD, New Zealand</w:t>
      </w: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  <w:r w:rsidRPr="0049696A">
        <w:rPr>
          <w:rFonts w:ascii="Cambria" w:eastAsia="Garamond" w:hAnsi="Cambria" w:cs="Arial"/>
          <w:vertAlign w:val="superscript"/>
        </w:rPr>
        <w:t xml:space="preserve">3 </w:t>
      </w:r>
      <w:r w:rsidRPr="0049696A">
        <w:rPr>
          <w:rFonts w:ascii="Cambria" w:eastAsia="Garamond" w:hAnsi="Cambria" w:cs="Arial"/>
        </w:rPr>
        <w:t>School of Mathematical and Physical Sciences, University of Newcastle, Australia</w:t>
      </w:r>
    </w:p>
    <w:p w:rsidR="00550387" w:rsidRPr="0049696A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</w:p>
    <w:p w:rsidR="00550387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  <w:r w:rsidRPr="0049696A">
        <w:rPr>
          <w:rFonts w:ascii="Cambria" w:eastAsia="Garamond" w:hAnsi="Cambria" w:cs="Arial"/>
        </w:rPr>
        <w:t xml:space="preserve">* Corresponding author: </w:t>
      </w:r>
      <w:hyperlink r:id="rId4" w:history="1">
        <w:r w:rsidRPr="00E57112">
          <w:rPr>
            <w:rStyle w:val="Hyperlink"/>
            <w:rFonts w:ascii="Cambria" w:eastAsia="Garamond" w:hAnsi="Cambria" w:cs="Arial"/>
          </w:rPr>
          <w:t>andrew.magee@newcastle.edu.au</w:t>
        </w:r>
      </w:hyperlink>
    </w:p>
    <w:p w:rsidR="00550387" w:rsidRDefault="00550387" w:rsidP="00550387">
      <w:pPr>
        <w:suppressLineNumbers/>
        <w:spacing w:after="0"/>
        <w:jc w:val="center"/>
        <w:rPr>
          <w:rFonts w:ascii="Cambria" w:eastAsia="Garamond" w:hAnsi="Cambria" w:cs="Arial"/>
        </w:rPr>
      </w:pPr>
    </w:p>
    <w:p w:rsidR="00550387" w:rsidRPr="00550387" w:rsidRDefault="00550387" w:rsidP="00550387">
      <w:pPr>
        <w:suppressLineNumbers/>
        <w:spacing w:after="0"/>
        <w:jc w:val="center"/>
        <w:rPr>
          <w:rFonts w:ascii="Cambria" w:eastAsia="Garamond" w:hAnsi="Cambria" w:cs="Arial"/>
          <w:b/>
        </w:rPr>
      </w:pPr>
      <w:r w:rsidRPr="00550387">
        <w:rPr>
          <w:rFonts w:ascii="Cambria" w:eastAsia="Garamond" w:hAnsi="Cambria" w:cs="Arial"/>
          <w:b/>
        </w:rPr>
        <w:t>Supplementary Material</w:t>
      </w:r>
    </w:p>
    <w:p w:rsidR="00550387" w:rsidRDefault="00550387" w:rsidP="00E726A7">
      <w:pPr>
        <w:pStyle w:val="Caption"/>
        <w:rPr>
          <w:rFonts w:ascii="Cambria" w:hAnsi="Cambria" w:cs="Arial"/>
          <w:b/>
          <w:i w:val="0"/>
          <w:color w:val="000000" w:themeColor="text1"/>
          <w:sz w:val="19"/>
          <w:szCs w:val="19"/>
        </w:rPr>
      </w:pPr>
    </w:p>
    <w:p w:rsidR="00550387" w:rsidRDefault="00550387">
      <w:pPr>
        <w:rPr>
          <w:rFonts w:ascii="Cambria" w:hAnsi="Cambria" w:cs="Arial"/>
          <w:b/>
          <w:iCs/>
          <w:color w:val="000000" w:themeColor="text1"/>
          <w:sz w:val="19"/>
          <w:szCs w:val="19"/>
        </w:rPr>
      </w:pPr>
      <w:r>
        <w:rPr>
          <w:rFonts w:ascii="Cambria" w:hAnsi="Cambria" w:cs="Arial"/>
          <w:b/>
          <w:i/>
          <w:color w:val="000000" w:themeColor="text1"/>
          <w:sz w:val="19"/>
          <w:szCs w:val="19"/>
        </w:rPr>
        <w:br w:type="page"/>
      </w:r>
      <w:bookmarkStart w:id="0" w:name="_GoBack"/>
      <w:bookmarkEnd w:id="0"/>
    </w:p>
    <w:p w:rsidR="00E726A7" w:rsidRDefault="00E726A7" w:rsidP="00550387">
      <w:pPr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</w:pPr>
      <w:r w:rsidRPr="00E726A7">
        <w:rPr>
          <w:rFonts w:ascii="Cambria" w:hAnsi="Cambria" w:cs="Arial"/>
          <w:b/>
          <w:color w:val="000000" w:themeColor="text1"/>
          <w:sz w:val="19"/>
          <w:szCs w:val="19"/>
        </w:rPr>
        <w:lastRenderedPageBreak/>
        <w:t>Table S1.</w:t>
      </w:r>
      <w:r w:rsidRPr="00E726A7">
        <w:rPr>
          <w:rFonts w:ascii="Cambria" w:hAnsi="Cambria" w:cs="Arial"/>
          <w:color w:val="000000" w:themeColor="text1"/>
          <w:sz w:val="19"/>
          <w:szCs w:val="19"/>
        </w:rPr>
        <w:t xml:space="preserve"> Summary statistics for sub-region pre-season outlook models initiated each month between July-October for the November-April TC season and in-season outlook models initiated each month between November, December and January for the remaining December-April, January-April and February-April TC season, respectively. </w:t>
      </w:r>
      <w:proofErr w:type="spellStart"/>
      <w:r w:rsidRPr="00E726A7">
        <w:rPr>
          <w:rFonts w:ascii="Cambria" w:hAnsi="Cambria" w:cs="Arial"/>
          <w:color w:val="000000" w:themeColor="text1"/>
          <w:sz w:val="19"/>
          <w:szCs w:val="19"/>
        </w:rPr>
        <w:t>Pearsons</w:t>
      </w:r>
      <w:proofErr w:type="spellEnd"/>
      <w:r w:rsidRPr="00E726A7">
        <w:rPr>
          <w:rFonts w:ascii="Cambria" w:hAnsi="Cambria" w:cs="Arial"/>
          <w:color w:val="000000" w:themeColor="text1"/>
          <w:sz w:val="19"/>
          <w:szCs w:val="19"/>
        </w:rPr>
        <w:t xml:space="preserve"> correlation coefficient (r), R square, Root Mean Square Error (RMSE), Skill Score (%), Strike rate – exact (%), Strike rate </w:t>
      </w:r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>±1 (%) and Finite Corrected AIC (AIC</w:t>
      </w:r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  <w:vertAlign w:val="subscript"/>
        </w:rPr>
        <w:t>C</w:t>
      </w:r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 xml:space="preserve">) summarise the performance of the derived models. For </w:t>
      </w:r>
      <w:proofErr w:type="spellStart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>AICc</w:t>
      </w:r>
      <w:proofErr w:type="spellEnd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 xml:space="preserve">, model performance (top value) is compared with the intercept only model (bottom value). Four stage two-fold model validation statistics are also summarised. Correlation between </w:t>
      </w:r>
      <w:proofErr w:type="spellStart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>IBTrACS</w:t>
      </w:r>
      <w:proofErr w:type="spellEnd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 xml:space="preserve"> (observed) and predicted TCs (top value) and RMSE (bottom value) summarise model performance. ^ </w:t>
      </w:r>
      <w:proofErr w:type="gramStart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>correlation</w:t>
      </w:r>
      <w:proofErr w:type="gramEnd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 xml:space="preserve"> significant at 95% level. * </w:t>
      </w:r>
      <w:proofErr w:type="gramStart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>correlation</w:t>
      </w:r>
      <w:proofErr w:type="gramEnd"/>
      <w:r w:rsidRPr="00E726A7">
        <w:rPr>
          <w:rFonts w:ascii="Cambria" w:hAnsi="Cambria" w:cs="Arial"/>
          <w:color w:val="000000" w:themeColor="text1"/>
          <w:sz w:val="19"/>
          <w:szCs w:val="19"/>
          <w:shd w:val="clear" w:color="auto" w:fill="FFFFFF"/>
        </w:rPr>
        <w:t xml:space="preserve"> significant at 99% level.</w:t>
      </w:r>
    </w:p>
    <w:tbl>
      <w:tblPr>
        <w:tblStyle w:val="TableGrid"/>
        <w:tblpPr w:leftFromText="180" w:rightFromText="180" w:vertAnchor="page" w:horzAnchor="margin" w:tblpY="3642"/>
        <w:tblW w:w="90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2204"/>
        <w:gridCol w:w="872"/>
        <w:gridCol w:w="872"/>
        <w:gridCol w:w="872"/>
        <w:gridCol w:w="868"/>
        <w:gridCol w:w="878"/>
        <w:gridCol w:w="872"/>
        <w:gridCol w:w="874"/>
      </w:tblGrid>
      <w:tr w:rsidR="00550387" w:rsidRPr="00E726A7" w:rsidTr="000A42E3">
        <w:trPr>
          <w:trHeight w:val="20"/>
        </w:trPr>
        <w:tc>
          <w:tcPr>
            <w:tcW w:w="775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84" w:type="dxa"/>
            <w:gridSpan w:val="4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Pre-Season</w:t>
            </w:r>
          </w:p>
        </w:tc>
        <w:tc>
          <w:tcPr>
            <w:tcW w:w="2624" w:type="dxa"/>
            <w:gridSpan w:val="3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In-Season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Jul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Aug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Sep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Oct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Nov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Dec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Jan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SWP</w:t>
            </w:r>
          </w:p>
        </w:tc>
        <w:tc>
          <w:tcPr>
            <w:tcW w:w="22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0.65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2.67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2.30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2.44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2.32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2.03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61.77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59.23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49.82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62.73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50.39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49.08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42.01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231.12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274.76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234.34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274.76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244.75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274.76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229.87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274.76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235.57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266.24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230.57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260.99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217.32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239.87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43.64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40.42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30.01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44.90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30.67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30.42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22.55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 w:val="restart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 SWP</w:t>
            </w:r>
          </w:p>
        </w:tc>
        <w:tc>
          <w:tcPr>
            <w:tcW w:w="22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0.59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45.11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45.50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56.00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56.74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57.33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55.26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59.00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183.14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202.54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202.54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172.04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202.54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171.24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202.54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150.25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180.91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149.58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173.92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148.15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180.91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19.40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19.74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30.50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31.31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30.66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24.34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32.76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 w:val="restart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 SWP</w:t>
            </w:r>
          </w:p>
        </w:tc>
        <w:tc>
          <w:tcPr>
            <w:tcW w:w="22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0.54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54.10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58.12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49.60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61.91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50.92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48.87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76.23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68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152.57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179.46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148.13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179.46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157.35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179.46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143.26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179.46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152.28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174.48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143.92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159.10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85.44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126.51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26.89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31.33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22.11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36.20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22.19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15.18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41.07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 w:val="restart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NE SWP</w:t>
            </w:r>
          </w:p>
        </w:tc>
        <w:tc>
          <w:tcPr>
            <w:tcW w:w="22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0.95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0.43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85.94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85.12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87.13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82.10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85.39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88.89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90.91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118.78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187.42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119.76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187.42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113.24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187.42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130.86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187.42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112.44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177.71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81.98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155.44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61.37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141.57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68.64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67.66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74.18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56.56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65.27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73.45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80.20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 w:val="restart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 SWP</w:t>
            </w:r>
          </w:p>
        </w:tc>
        <w:tc>
          <w:tcPr>
            <w:tcW w:w="22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0.88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0.77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1.25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0.73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75.45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71.93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59.83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77.25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66.35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64.78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75.68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94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143.67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198.25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150.18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198.25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168.46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198.25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140.35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198.25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153.45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191.93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145.54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177.72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114.63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161.72</w:t>
            </w:r>
          </w:p>
        </w:tc>
      </w:tr>
      <w:tr w:rsidR="00550387" w:rsidRPr="00E726A7" w:rsidTr="000A42E3">
        <w:trPr>
          <w:trHeight w:val="20"/>
        </w:trPr>
        <w:tc>
          <w:tcPr>
            <w:tcW w:w="775" w:type="dxa"/>
            <w:vMerge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04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550387" w:rsidRPr="00E726A7" w:rsidRDefault="00550387" w:rsidP="000A42E3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54.58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48.07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29.78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57.90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38.48</w:t>
            </w:r>
          </w:p>
        </w:tc>
        <w:tc>
          <w:tcPr>
            <w:tcW w:w="872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32.18</w:t>
            </w:r>
          </w:p>
        </w:tc>
        <w:tc>
          <w:tcPr>
            <w:tcW w:w="874" w:type="dxa"/>
            <w:vAlign w:val="center"/>
          </w:tcPr>
          <w:p w:rsidR="00550387" w:rsidRPr="00E726A7" w:rsidRDefault="00550387" w:rsidP="000A42E3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47.08</w:t>
            </w:r>
          </w:p>
        </w:tc>
      </w:tr>
    </w:tbl>
    <w:p w:rsidR="00550387" w:rsidRPr="00550387" w:rsidRDefault="00550387" w:rsidP="00550387">
      <w:pPr>
        <w:rPr>
          <w:rFonts w:ascii="Cambria" w:hAnsi="Cambria" w:cs="Arial"/>
          <w:b/>
          <w:iCs/>
          <w:color w:val="000000" w:themeColor="text1"/>
          <w:sz w:val="19"/>
          <w:szCs w:val="19"/>
        </w:rPr>
      </w:pPr>
    </w:p>
    <w:p w:rsidR="00E726A7" w:rsidRPr="00E726A7" w:rsidRDefault="00B71901" w:rsidP="00E726A7">
      <w:pPr>
        <w:pStyle w:val="Caption"/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</w:pPr>
      <w:r w:rsidRPr="00E726A7">
        <w:rPr>
          <w:rFonts w:ascii="Cambria" w:hAnsi="Cambria" w:cs="Arial"/>
          <w:b/>
          <w:i w:val="0"/>
          <w:color w:val="000000" w:themeColor="text1"/>
          <w:sz w:val="19"/>
          <w:szCs w:val="19"/>
        </w:rPr>
        <w:lastRenderedPageBreak/>
        <w:t>Table S2.</w:t>
      </w:r>
      <w:r w:rsidRPr="00E726A7">
        <w:rPr>
          <w:rFonts w:ascii="Cambria" w:hAnsi="Cambria" w:cs="Arial"/>
          <w:i w:val="0"/>
          <w:color w:val="000000" w:themeColor="text1"/>
          <w:sz w:val="19"/>
          <w:szCs w:val="19"/>
        </w:rPr>
        <w:t xml:space="preserve"> Summary statistics for Island-scale pre-season outlook models in</w:t>
      </w:r>
      <w:r w:rsidR="00A12C06" w:rsidRPr="00E726A7">
        <w:rPr>
          <w:rFonts w:ascii="Cambria" w:hAnsi="Cambria" w:cs="Arial"/>
          <w:i w:val="0"/>
          <w:color w:val="000000" w:themeColor="text1"/>
          <w:sz w:val="19"/>
          <w:szCs w:val="19"/>
        </w:rPr>
        <w:t>itiated each month between July-</w:t>
      </w:r>
      <w:r w:rsidRPr="00E726A7">
        <w:rPr>
          <w:rFonts w:ascii="Cambria" w:hAnsi="Cambria" w:cs="Arial"/>
          <w:i w:val="0"/>
          <w:color w:val="000000" w:themeColor="text1"/>
          <w:sz w:val="19"/>
          <w:szCs w:val="19"/>
        </w:rPr>
        <w:t xml:space="preserve">October for the November-April TC season and in-season outlook models initiated each month between November, December and January for the remaining December-April, January-April and February-April TC season, respectively. </w:t>
      </w:r>
      <w:proofErr w:type="spellStart"/>
      <w:r w:rsidRPr="00E726A7">
        <w:rPr>
          <w:rFonts w:ascii="Cambria" w:hAnsi="Cambria" w:cs="Arial"/>
          <w:i w:val="0"/>
          <w:color w:val="000000" w:themeColor="text1"/>
          <w:sz w:val="19"/>
          <w:szCs w:val="19"/>
        </w:rPr>
        <w:t>Pearsons</w:t>
      </w:r>
      <w:proofErr w:type="spellEnd"/>
      <w:r w:rsidRPr="00E726A7">
        <w:rPr>
          <w:rFonts w:ascii="Cambria" w:hAnsi="Cambria" w:cs="Arial"/>
          <w:i w:val="0"/>
          <w:color w:val="000000" w:themeColor="text1"/>
          <w:sz w:val="19"/>
          <w:szCs w:val="19"/>
        </w:rPr>
        <w:t xml:space="preserve"> correlation coefficient (r), R square, Root Mean Square Error (RMSE), Skill Score (%), Strike rate – exact (%), Strike rate </w:t>
      </w:r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>±1 (%) and Finite Corrected AIC (AIC</w:t>
      </w:r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  <w:vertAlign w:val="subscript"/>
        </w:rPr>
        <w:t>C</w:t>
      </w:r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 xml:space="preserve">) summarise the performance of the derived models. For </w:t>
      </w:r>
      <w:proofErr w:type="spellStart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>AICc</w:t>
      </w:r>
      <w:proofErr w:type="spellEnd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 xml:space="preserve">, model performance (top value) is compared with the intercept only model (bottom value). Four stage two-fold model validation statistics are also summarised. Correlation between </w:t>
      </w:r>
      <w:proofErr w:type="spellStart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>IBTrACS</w:t>
      </w:r>
      <w:proofErr w:type="spellEnd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 xml:space="preserve"> (observed) and predicted TCs (top value) and RMSE (bottom value) summarise model performance. ^ </w:t>
      </w:r>
      <w:proofErr w:type="gramStart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>correlation</w:t>
      </w:r>
      <w:proofErr w:type="gramEnd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 xml:space="preserve"> significant at 95% level. * </w:t>
      </w:r>
      <w:proofErr w:type="gramStart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>correlation</w:t>
      </w:r>
      <w:proofErr w:type="gramEnd"/>
      <w:r w:rsidRPr="00E726A7">
        <w:rPr>
          <w:rFonts w:ascii="Cambria" w:hAnsi="Cambria" w:cs="Arial"/>
          <w:i w:val="0"/>
          <w:color w:val="000000" w:themeColor="text1"/>
          <w:sz w:val="19"/>
          <w:szCs w:val="19"/>
          <w:shd w:val="clear" w:color="auto" w:fill="FFFFFF"/>
        </w:rPr>
        <w:t xml:space="preserve"> significant at 99% level.</w:t>
      </w:r>
    </w:p>
    <w:tbl>
      <w:tblPr>
        <w:tblStyle w:val="TableGrid"/>
        <w:tblpPr w:leftFromText="180" w:rightFromText="180" w:vertAnchor="page" w:horzAnchor="margin" w:tblpY="4021"/>
        <w:tblW w:w="90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989"/>
        <w:gridCol w:w="872"/>
        <w:gridCol w:w="872"/>
        <w:gridCol w:w="872"/>
        <w:gridCol w:w="868"/>
        <w:gridCol w:w="878"/>
        <w:gridCol w:w="872"/>
        <w:gridCol w:w="874"/>
      </w:tblGrid>
      <w:tr w:rsidR="00B71901" w:rsidRPr="00E726A7" w:rsidTr="00B71901">
        <w:trPr>
          <w:trHeight w:val="20"/>
        </w:trPr>
        <w:tc>
          <w:tcPr>
            <w:tcW w:w="990" w:type="dxa"/>
            <w:tcBorders>
              <w:bottom w:val="single" w:sz="2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84" w:type="dxa"/>
            <w:gridSpan w:val="4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Pre-Season</w:t>
            </w:r>
          </w:p>
        </w:tc>
        <w:tc>
          <w:tcPr>
            <w:tcW w:w="2624" w:type="dxa"/>
            <w:gridSpan w:val="3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In-Season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Jul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Aug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Sep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Oct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Nov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Dec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Jan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Fiji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0.33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1.30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29.71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34.16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53.56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46.69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48.47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45.58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32.83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175.90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188.07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172.64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188.07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155.13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188.07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162.08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188.07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160.99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188.85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163.74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188.85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148.12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160.98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12.18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15.43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32.94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27.86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25.11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12.86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 New Zealand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0.80</w:t>
            </w:r>
          </w:p>
        </w:tc>
      </w:tr>
      <w:tr w:rsidR="00B71901" w:rsidRPr="00E726A7" w:rsidTr="000538B6">
        <w:trPr>
          <w:trHeight w:val="453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77.58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56.08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62.14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68.38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58.15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64.04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64.13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74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61.27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113.19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94.52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113.19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87.70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113.19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78.48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113.19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92.67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113.19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78.05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105.78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46.21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84.68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51.92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18.67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25.49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34.71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20.52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27.73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38.46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New Caledonia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0.75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72" w:type="dxa"/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60.27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60.27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55.07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61.08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54.63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52.99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55.87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72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874" w:type="dxa"/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156.85</w:t>
            </w:r>
          </w:p>
          <w:p w:rsidR="00CE3020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196.41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156.85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196.41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163.10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196.41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155.38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196.41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158.42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192.25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153.59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186.35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122.72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160.49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39.56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39.56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33.31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41.03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33.83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32.76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37.77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Papua New Guinea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0.80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37.58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31.59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32.31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41.67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44.76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73.50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54.46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148.66</w:t>
            </w:r>
          </w:p>
          <w:p w:rsidR="006F7E67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163.80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153.24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163.80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152.65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163.80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145.27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163.80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145.86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164.98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110.07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162.41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123.87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149.668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6F7E67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15.14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10.56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11.15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18.53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19.13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52.35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25.81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top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Solomon Islands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50.91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58.11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65.78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63.05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64.04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54.69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51.86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181.94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210.32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174.05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210.32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163.91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210.32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167.77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210.32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157.66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201.46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164.54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196.20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143.03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169.84</w:t>
            </w:r>
          </w:p>
        </w:tc>
      </w:tr>
      <w:tr w:rsidR="00B71901" w:rsidRPr="00E726A7" w:rsidTr="00A12C06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A12C06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A12C06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28.38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36.27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46.42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42.55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43.81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31.66</w:t>
            </w:r>
          </w:p>
        </w:tc>
        <w:tc>
          <w:tcPr>
            <w:tcW w:w="874" w:type="dxa"/>
            <w:vAlign w:val="center"/>
          </w:tcPr>
          <w:p w:rsidR="00A12C06" w:rsidRPr="00E726A7" w:rsidRDefault="007244F2" w:rsidP="00A12C06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26.81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Tonga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0.61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0.37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30.08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40.61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45.39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38.04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35.76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38.80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36.59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74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175.93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182.58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167.79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182.58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163.58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182.58</w:t>
            </w:r>
          </w:p>
        </w:tc>
        <w:tc>
          <w:tcPr>
            <w:tcW w:w="868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169.90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182.58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170.22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182.26</w:t>
            </w:r>
          </w:p>
        </w:tc>
        <w:tc>
          <w:tcPr>
            <w:tcW w:w="872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164.99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178.49</w:t>
            </w:r>
          </w:p>
        </w:tc>
        <w:tc>
          <w:tcPr>
            <w:tcW w:w="874" w:type="dxa"/>
            <w:tcBorders>
              <w:bottom w:val="single" w:sz="2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144.80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155.43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tcBorders>
              <w:bottom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6.66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14.79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19.00</w:t>
            </w:r>
          </w:p>
        </w:tc>
        <w:tc>
          <w:tcPr>
            <w:tcW w:w="8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12.68</w:t>
            </w:r>
          </w:p>
        </w:tc>
        <w:tc>
          <w:tcPr>
            <w:tcW w:w="8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12.04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13.50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10.63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 w:val="restart"/>
            <w:tcBorders>
              <w:top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Vanuatu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Model Number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4" w:type="dxa"/>
            <w:tcBorders>
              <w:top w:val="single" w:sz="8" w:space="0" w:color="auto"/>
            </w:tcBorders>
            <w:vAlign w:val="center"/>
          </w:tcPr>
          <w:p w:rsidR="00B71901" w:rsidRPr="00E726A7" w:rsidRDefault="00CE3020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Correlation (r)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0.59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R-square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0.35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RMSE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1.01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0.81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Skill Score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42.48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50.92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47.79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49.63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52.70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53.70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35.02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Strike Rate – exact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46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Strike Rate - 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1 (%)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92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162.98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182.62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155.09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182.62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158.21</w:t>
            </w:r>
          </w:p>
          <w:p w:rsidR="007244F2" w:rsidRPr="00E726A7" w:rsidRDefault="007244F2" w:rsidP="007244F2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182.62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156.41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182.62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147.24</w:t>
            </w:r>
          </w:p>
          <w:p w:rsidR="007244F2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178.34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140.40</w:t>
            </w:r>
          </w:p>
          <w:p w:rsidR="00E772C9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172.03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125.12</w:t>
            </w:r>
          </w:p>
          <w:p w:rsidR="00E772C9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143.44</w:t>
            </w:r>
          </w:p>
        </w:tc>
      </w:tr>
      <w:tr w:rsidR="00B71901" w:rsidRPr="00E726A7" w:rsidTr="00B71901">
        <w:trPr>
          <w:trHeight w:val="20"/>
        </w:trPr>
        <w:tc>
          <w:tcPr>
            <w:tcW w:w="990" w:type="dxa"/>
            <w:vMerge/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AICc</w:t>
            </w:r>
            <w:proofErr w:type="spellEnd"/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difference</w:t>
            </w:r>
          </w:p>
          <w:p w:rsidR="00B71901" w:rsidRPr="00E726A7" w:rsidRDefault="00B71901" w:rsidP="00B71901">
            <w:pPr>
              <w:jc w:val="center"/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(model-intercept only)</w:t>
            </w:r>
          </w:p>
        </w:tc>
        <w:tc>
          <w:tcPr>
            <w:tcW w:w="872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19.64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27.53</w:t>
            </w:r>
          </w:p>
        </w:tc>
        <w:tc>
          <w:tcPr>
            <w:tcW w:w="872" w:type="dxa"/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24.42</w:t>
            </w:r>
          </w:p>
        </w:tc>
        <w:tc>
          <w:tcPr>
            <w:tcW w:w="868" w:type="dxa"/>
            <w:tcBorders>
              <w:righ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26.22</w:t>
            </w:r>
          </w:p>
        </w:tc>
        <w:tc>
          <w:tcPr>
            <w:tcW w:w="878" w:type="dxa"/>
            <w:tcBorders>
              <w:left w:val="single" w:sz="8" w:space="0" w:color="auto"/>
            </w:tcBorders>
            <w:vAlign w:val="center"/>
          </w:tcPr>
          <w:p w:rsidR="00B71901" w:rsidRPr="00E726A7" w:rsidRDefault="007244F2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31.10</w:t>
            </w:r>
          </w:p>
        </w:tc>
        <w:tc>
          <w:tcPr>
            <w:tcW w:w="872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31.63</w:t>
            </w:r>
          </w:p>
        </w:tc>
        <w:tc>
          <w:tcPr>
            <w:tcW w:w="874" w:type="dxa"/>
            <w:vAlign w:val="center"/>
          </w:tcPr>
          <w:p w:rsidR="00B71901" w:rsidRPr="00E726A7" w:rsidRDefault="00E772C9" w:rsidP="00B71901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E726A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18.32</w:t>
            </w:r>
          </w:p>
        </w:tc>
      </w:tr>
    </w:tbl>
    <w:p w:rsidR="00A12C06" w:rsidRPr="00E726A7" w:rsidRDefault="00A12C06">
      <w:pPr>
        <w:rPr>
          <w:rFonts w:ascii="Cambria" w:hAnsi="Cambria"/>
        </w:rPr>
      </w:pPr>
    </w:p>
    <w:p w:rsidR="00A12C06" w:rsidRPr="00E726A7" w:rsidRDefault="00A12C06">
      <w:pPr>
        <w:rPr>
          <w:rFonts w:ascii="Cambria" w:hAnsi="Cambria"/>
        </w:rPr>
      </w:pPr>
      <w:r w:rsidRPr="00E726A7">
        <w:rPr>
          <w:rFonts w:ascii="Cambria" w:hAnsi="Cambria"/>
        </w:rPr>
        <w:br w:type="page"/>
      </w:r>
    </w:p>
    <w:p w:rsidR="003258DC" w:rsidRPr="00E726A7" w:rsidRDefault="000546D0">
      <w:pPr>
        <w:rPr>
          <w:rFonts w:ascii="Cambria" w:hAnsi="Cambria"/>
        </w:rPr>
      </w:pPr>
      <w:r w:rsidRPr="00E726A7">
        <w:rPr>
          <w:rFonts w:ascii="Cambria" w:hAnsi="Cambria"/>
          <w:noProof/>
          <w:lang w:eastAsia="en-AU"/>
        </w:rPr>
        <w:lastRenderedPageBreak/>
        <w:drawing>
          <wp:inline distT="0" distB="0" distL="0" distR="0">
            <wp:extent cx="5731510" cy="64293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420_Indices_timeseri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9D8" w:rsidRPr="00E726A7" w:rsidRDefault="00B979D8">
      <w:pPr>
        <w:rPr>
          <w:rFonts w:ascii="Cambria" w:hAnsi="Cambria" w:cs="Arial"/>
          <w:sz w:val="20"/>
          <w:szCs w:val="20"/>
        </w:rPr>
      </w:pPr>
      <w:r w:rsidRPr="00E726A7">
        <w:rPr>
          <w:rFonts w:ascii="Cambria" w:hAnsi="Cambria" w:cs="Arial"/>
          <w:b/>
          <w:sz w:val="20"/>
          <w:szCs w:val="20"/>
        </w:rPr>
        <w:t>Figure S1.</w:t>
      </w:r>
      <w:r w:rsidRPr="00E726A7">
        <w:rPr>
          <w:rFonts w:ascii="Cambria" w:hAnsi="Cambria" w:cs="Arial"/>
          <w:sz w:val="20"/>
          <w:szCs w:val="20"/>
        </w:rPr>
        <w:t xml:space="preserve"> Time series of monthly indices </w:t>
      </w:r>
      <w:proofErr w:type="gramStart"/>
      <w:r w:rsidRPr="00E726A7">
        <w:rPr>
          <w:rFonts w:ascii="Cambria" w:hAnsi="Cambria" w:cs="Arial"/>
          <w:sz w:val="20"/>
          <w:szCs w:val="20"/>
        </w:rPr>
        <w:t>between 1970-2019 for all indices considered in this analysis</w:t>
      </w:r>
      <w:proofErr w:type="gramEnd"/>
      <w:r w:rsidRPr="00E726A7">
        <w:rPr>
          <w:rFonts w:ascii="Cambria" w:hAnsi="Cambria" w:cs="Arial"/>
          <w:sz w:val="20"/>
          <w:szCs w:val="20"/>
        </w:rPr>
        <w:t xml:space="preserve">. </w:t>
      </w:r>
      <w:proofErr w:type="gramStart"/>
      <w:r w:rsidR="000546D0" w:rsidRPr="00E726A7">
        <w:rPr>
          <w:rFonts w:ascii="Cambria" w:hAnsi="Cambria" w:cs="Arial"/>
          <w:sz w:val="20"/>
          <w:szCs w:val="20"/>
        </w:rPr>
        <w:t>Panels</w:t>
      </w:r>
      <w:proofErr w:type="gramEnd"/>
      <w:r w:rsidR="000546D0" w:rsidRPr="00E726A7">
        <w:rPr>
          <w:rFonts w:ascii="Cambria" w:hAnsi="Cambria" w:cs="Arial"/>
          <w:sz w:val="20"/>
          <w:szCs w:val="20"/>
        </w:rPr>
        <w:t xml:space="preserve"> a-j are ENSO Indices. See Data and Model Development section for more det</w:t>
      </w:r>
      <w:r w:rsidR="00FB2B8B" w:rsidRPr="00E726A7">
        <w:rPr>
          <w:rFonts w:ascii="Cambria" w:hAnsi="Cambria" w:cs="Arial"/>
          <w:sz w:val="20"/>
          <w:szCs w:val="20"/>
        </w:rPr>
        <w:t>ails on each of these indices.</w:t>
      </w:r>
      <w:r w:rsidRPr="00E726A7">
        <w:rPr>
          <w:rFonts w:ascii="Cambria" w:hAnsi="Cambria" w:cs="Arial"/>
          <w:sz w:val="20"/>
          <w:szCs w:val="20"/>
        </w:rPr>
        <w:t xml:space="preserve"> </w:t>
      </w:r>
    </w:p>
    <w:sectPr w:rsidR="00B979D8" w:rsidRPr="00E726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0MLc0MzQ2MTW3tDBQ0lEKTi0uzszPAykwqQUAsHeJUSwAAAA="/>
  </w:docVars>
  <w:rsids>
    <w:rsidRoot w:val="00B979D8"/>
    <w:rsid w:val="000538B6"/>
    <w:rsid w:val="000546D0"/>
    <w:rsid w:val="00063635"/>
    <w:rsid w:val="00200A1B"/>
    <w:rsid w:val="00252326"/>
    <w:rsid w:val="0026334D"/>
    <w:rsid w:val="003258DC"/>
    <w:rsid w:val="003A7366"/>
    <w:rsid w:val="00457B3F"/>
    <w:rsid w:val="00491C4C"/>
    <w:rsid w:val="00492017"/>
    <w:rsid w:val="00550387"/>
    <w:rsid w:val="005B40BC"/>
    <w:rsid w:val="005D2084"/>
    <w:rsid w:val="006F7E67"/>
    <w:rsid w:val="007244F2"/>
    <w:rsid w:val="00836297"/>
    <w:rsid w:val="00867C18"/>
    <w:rsid w:val="00886ED4"/>
    <w:rsid w:val="009F05D2"/>
    <w:rsid w:val="00A12C06"/>
    <w:rsid w:val="00B234C6"/>
    <w:rsid w:val="00B504E7"/>
    <w:rsid w:val="00B71901"/>
    <w:rsid w:val="00B979D8"/>
    <w:rsid w:val="00C62271"/>
    <w:rsid w:val="00CE3020"/>
    <w:rsid w:val="00D942FD"/>
    <w:rsid w:val="00DB6937"/>
    <w:rsid w:val="00DC23E1"/>
    <w:rsid w:val="00DD5753"/>
    <w:rsid w:val="00E726A7"/>
    <w:rsid w:val="00E772C9"/>
    <w:rsid w:val="00FB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8076"/>
  <w15:chartTrackingRefBased/>
  <w15:docId w15:val="{170E1932-47E0-46EB-B29A-61DBE6A4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7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6E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03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ndrew.magee@newcastle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Magee</dc:creator>
  <cp:keywords/>
  <dc:description/>
  <cp:lastModifiedBy>Andrew Magee</cp:lastModifiedBy>
  <cp:revision>10</cp:revision>
  <dcterms:created xsi:type="dcterms:W3CDTF">2020-04-21T03:39:00Z</dcterms:created>
  <dcterms:modified xsi:type="dcterms:W3CDTF">2020-04-30T10:19:00Z</dcterms:modified>
</cp:coreProperties>
</file>