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BCC" w:rsidRPr="001C1AB7" w:rsidRDefault="00B50BCC" w:rsidP="00B50BCC">
      <w:pPr>
        <w:rPr>
          <w:lang w:val="en-US"/>
        </w:rPr>
      </w:pPr>
      <w:r w:rsidRPr="003645ED">
        <w:rPr>
          <w:b/>
          <w:lang w:val="en-US"/>
        </w:rPr>
        <w:t>Supplementary Methods S1.</w:t>
      </w:r>
      <w:r w:rsidRPr="001C1AB7">
        <w:rPr>
          <w:lang w:val="en-US"/>
        </w:rPr>
        <w:t xml:space="preserve"> Development of CAPS (Cleaved Amplified Polymorphic Sequence) markers for the distinction of disease resistant and susceptible progenies of a population of CRP segregating for resistance to late blight</w:t>
      </w:r>
      <w:r w:rsidR="001C1AB7" w:rsidRPr="001C1AB7">
        <w:rPr>
          <w:lang w:val="en-US"/>
        </w:rPr>
        <w:t>.</w:t>
      </w:r>
    </w:p>
    <w:p w:rsidR="00B50BCC" w:rsidRDefault="00B50BCC" w:rsidP="00B50BCC">
      <w:pPr>
        <w:rPr>
          <w:lang w:val="en-US"/>
        </w:rPr>
      </w:pPr>
      <w:r w:rsidRPr="00A17159">
        <w:rPr>
          <w:lang w:val="en-US"/>
        </w:rPr>
        <w:t xml:space="preserve">SNPs </w:t>
      </w:r>
      <w:r>
        <w:rPr>
          <w:lang w:val="en-US"/>
        </w:rPr>
        <w:t>observed o</w:t>
      </w:r>
      <w:r w:rsidRPr="00A17159">
        <w:rPr>
          <w:lang w:val="en-US"/>
        </w:rPr>
        <w:t xml:space="preserve">n the Illumina reads </w:t>
      </w:r>
      <w:r>
        <w:rPr>
          <w:lang w:val="en-US"/>
        </w:rPr>
        <w:t>for</w:t>
      </w:r>
      <w:r w:rsidRPr="00A17159">
        <w:rPr>
          <w:lang w:val="en-US"/>
        </w:rPr>
        <w:t xml:space="preserve"> locus PGSC0003DMG402020585 were </w:t>
      </w:r>
      <w:r>
        <w:rPr>
          <w:lang w:val="en-US"/>
        </w:rPr>
        <w:t xml:space="preserve">chosen to design specific </w:t>
      </w:r>
      <w:r w:rsidRPr="00A17159">
        <w:rPr>
          <w:lang w:val="en-US"/>
        </w:rPr>
        <w:t>primer</w:t>
      </w:r>
      <w:r>
        <w:rPr>
          <w:lang w:val="en-US"/>
        </w:rPr>
        <w:t>s</w:t>
      </w:r>
      <w:r w:rsidRPr="00A17159">
        <w:rPr>
          <w:lang w:val="en-US"/>
        </w:rPr>
        <w:t xml:space="preserve"> based on the DM genome </w:t>
      </w:r>
      <w:r>
        <w:rPr>
          <w:lang w:val="en-US"/>
        </w:rPr>
        <w:t>reference that could</w:t>
      </w:r>
      <w:r w:rsidRPr="00A17159">
        <w:rPr>
          <w:lang w:val="en-US"/>
        </w:rPr>
        <w:t xml:space="preserve"> amplify exclusively this locus. T</w:t>
      </w:r>
      <w:r>
        <w:rPr>
          <w:lang w:val="en-US"/>
        </w:rPr>
        <w:t>wo</w:t>
      </w:r>
      <w:r w:rsidRPr="00A17159">
        <w:rPr>
          <w:lang w:val="en-US"/>
        </w:rPr>
        <w:t xml:space="preserve"> primer</w:t>
      </w:r>
      <w:r>
        <w:rPr>
          <w:lang w:val="en-US"/>
        </w:rPr>
        <w:t>s,</w:t>
      </w:r>
      <w:r w:rsidRPr="00A17159">
        <w:rPr>
          <w:lang w:val="en-US"/>
        </w:rPr>
        <w:t xml:space="preserve"> 2020585_F (TGTTCCGTTCTTTCTCTTGC) and 2020585_R (CATTCCATTGGACCAGAGAG)</w:t>
      </w:r>
      <w:r>
        <w:rPr>
          <w:lang w:val="en-US"/>
        </w:rPr>
        <w:t>, were applie</w:t>
      </w:r>
      <w:r w:rsidRPr="00A17159">
        <w:rPr>
          <w:lang w:val="en-US"/>
        </w:rPr>
        <w:t>d in a 50</w:t>
      </w:r>
      <w:r>
        <w:rPr>
          <w:lang w:val="en-US"/>
        </w:rPr>
        <w:t>-</w:t>
      </w:r>
      <w:r w:rsidRPr="00A17159">
        <w:rPr>
          <w:lang w:val="en-US"/>
        </w:rPr>
        <w:t>µl PCR reaction containing 10</w:t>
      </w:r>
      <w:r>
        <w:rPr>
          <w:lang w:val="en-US"/>
        </w:rPr>
        <w:t xml:space="preserve"> </w:t>
      </w:r>
      <w:r w:rsidRPr="00A17159">
        <w:rPr>
          <w:lang w:val="en-US"/>
        </w:rPr>
        <w:t xml:space="preserve">µl of Blend Master Mix (Solis </w:t>
      </w:r>
      <w:proofErr w:type="spellStart"/>
      <w:r w:rsidRPr="00A17159">
        <w:rPr>
          <w:lang w:val="en-US"/>
        </w:rPr>
        <w:t>BioDyne</w:t>
      </w:r>
      <w:proofErr w:type="spellEnd"/>
      <w:r w:rsidRPr="00A17159">
        <w:rPr>
          <w:lang w:val="en-US"/>
        </w:rPr>
        <w:t>), 0.75</w:t>
      </w:r>
      <w:r>
        <w:rPr>
          <w:lang w:val="en-US"/>
        </w:rPr>
        <w:t xml:space="preserve"> </w:t>
      </w:r>
      <w:r w:rsidRPr="00A17159">
        <w:rPr>
          <w:lang w:val="en-US"/>
        </w:rPr>
        <w:t>µM of each primer and 100</w:t>
      </w:r>
      <w:r>
        <w:rPr>
          <w:lang w:val="en-US"/>
        </w:rPr>
        <w:t xml:space="preserve"> </w:t>
      </w:r>
      <w:r w:rsidRPr="00A17159">
        <w:rPr>
          <w:lang w:val="en-US"/>
        </w:rPr>
        <w:t xml:space="preserve">ng of genomic DNA. The PCR was </w:t>
      </w:r>
      <w:r>
        <w:rPr>
          <w:lang w:val="en-US"/>
        </w:rPr>
        <w:t>set to an initial 15-</w:t>
      </w:r>
      <w:r w:rsidRPr="00A17159">
        <w:rPr>
          <w:lang w:val="en-US"/>
        </w:rPr>
        <w:t>min</w:t>
      </w:r>
      <w:r>
        <w:rPr>
          <w:lang w:val="en-US"/>
        </w:rPr>
        <w:t xml:space="preserve"> step</w:t>
      </w:r>
      <w:r w:rsidRPr="00A17159">
        <w:rPr>
          <w:lang w:val="en-US"/>
        </w:rPr>
        <w:t xml:space="preserve"> at 95°C</w:t>
      </w:r>
      <w:r>
        <w:rPr>
          <w:lang w:val="en-US"/>
        </w:rPr>
        <w:t>,</w:t>
      </w:r>
      <w:r w:rsidRPr="00A17159">
        <w:rPr>
          <w:lang w:val="en-US"/>
        </w:rPr>
        <w:t xml:space="preserve"> followed by 35 cycles of 95°C for 20 sec, 57°C for 30 sec and 72°C for 1 min. PCR product</w:t>
      </w:r>
      <w:r>
        <w:rPr>
          <w:lang w:val="en-US"/>
        </w:rPr>
        <w:t>s</w:t>
      </w:r>
      <w:r w:rsidRPr="00A17159">
        <w:rPr>
          <w:lang w:val="en-US"/>
        </w:rPr>
        <w:t xml:space="preserve"> w</w:t>
      </w:r>
      <w:r>
        <w:rPr>
          <w:lang w:val="en-US"/>
        </w:rPr>
        <w:t>ere</w:t>
      </w:r>
      <w:r w:rsidRPr="00A17159">
        <w:rPr>
          <w:lang w:val="en-US"/>
        </w:rPr>
        <w:t xml:space="preserve"> </w:t>
      </w:r>
      <w:r>
        <w:rPr>
          <w:lang w:val="en-US"/>
        </w:rPr>
        <w:t>visualized</w:t>
      </w:r>
      <w:r w:rsidRPr="00A17159">
        <w:rPr>
          <w:lang w:val="en-US"/>
        </w:rPr>
        <w:t xml:space="preserve"> on </w:t>
      </w:r>
      <w:r>
        <w:rPr>
          <w:lang w:val="en-US"/>
        </w:rPr>
        <w:t xml:space="preserve">standard </w:t>
      </w:r>
      <w:r w:rsidRPr="00A17159">
        <w:rPr>
          <w:lang w:val="en-US"/>
        </w:rPr>
        <w:t>1% agarose gel</w:t>
      </w:r>
      <w:r>
        <w:rPr>
          <w:lang w:val="en-US"/>
        </w:rPr>
        <w:t>s</w:t>
      </w:r>
      <w:r w:rsidRPr="00A17159">
        <w:rPr>
          <w:lang w:val="en-US"/>
        </w:rPr>
        <w:t xml:space="preserve">. For verification of the </w:t>
      </w:r>
      <w:r>
        <w:rPr>
          <w:lang w:val="en-US"/>
        </w:rPr>
        <w:t xml:space="preserve">predicted </w:t>
      </w:r>
      <w:r w:rsidRPr="00A17159">
        <w:rPr>
          <w:lang w:val="en-US"/>
        </w:rPr>
        <w:t>SNP</w:t>
      </w:r>
      <w:r>
        <w:rPr>
          <w:lang w:val="en-US"/>
        </w:rPr>
        <w:t>-dependent restriction sites (allelic differences)</w:t>
      </w:r>
      <w:r w:rsidRPr="00A17159">
        <w:rPr>
          <w:lang w:val="en-US"/>
        </w:rPr>
        <w:t xml:space="preserve"> the PCR product was cut with </w:t>
      </w:r>
      <w:proofErr w:type="spellStart"/>
      <w:r w:rsidRPr="00C15A3E">
        <w:rPr>
          <w:i/>
          <w:lang w:val="en-US"/>
        </w:rPr>
        <w:t>Dde</w:t>
      </w:r>
      <w:r w:rsidRPr="00A17159">
        <w:rPr>
          <w:lang w:val="en-US"/>
        </w:rPr>
        <w:t>I</w:t>
      </w:r>
      <w:proofErr w:type="spellEnd"/>
      <w:r w:rsidRPr="00A17159">
        <w:rPr>
          <w:lang w:val="en-US"/>
        </w:rPr>
        <w:t xml:space="preserve"> (New England </w:t>
      </w:r>
      <w:proofErr w:type="spellStart"/>
      <w:r w:rsidRPr="00A17159">
        <w:rPr>
          <w:lang w:val="en-US"/>
        </w:rPr>
        <w:t>Biolabs</w:t>
      </w:r>
      <w:proofErr w:type="spellEnd"/>
      <w:r w:rsidRPr="00A17159">
        <w:rPr>
          <w:lang w:val="en-US"/>
        </w:rPr>
        <w:t xml:space="preserve">) </w:t>
      </w:r>
      <w:r>
        <w:rPr>
          <w:lang w:val="en-US"/>
        </w:rPr>
        <w:t>or</w:t>
      </w:r>
      <w:r w:rsidRPr="00A17159">
        <w:rPr>
          <w:lang w:val="en-US"/>
        </w:rPr>
        <w:t xml:space="preserve"> </w:t>
      </w:r>
      <w:proofErr w:type="spellStart"/>
      <w:r w:rsidRPr="00C15A3E">
        <w:rPr>
          <w:i/>
          <w:lang w:val="en-US"/>
        </w:rPr>
        <w:t>Tai</w:t>
      </w:r>
      <w:r w:rsidRPr="00A17159">
        <w:rPr>
          <w:lang w:val="en-US"/>
        </w:rPr>
        <w:t>I</w:t>
      </w:r>
      <w:proofErr w:type="spellEnd"/>
      <w:r w:rsidRPr="00A17159">
        <w:rPr>
          <w:lang w:val="en-US"/>
        </w:rPr>
        <w:t xml:space="preserve"> (</w:t>
      </w:r>
      <w:proofErr w:type="spellStart"/>
      <w:r w:rsidRPr="00A17159">
        <w:rPr>
          <w:lang w:val="en-US"/>
        </w:rPr>
        <w:t>Thermo</w:t>
      </w:r>
      <w:proofErr w:type="spellEnd"/>
      <w:r w:rsidRPr="00A17159">
        <w:rPr>
          <w:lang w:val="en-US"/>
        </w:rPr>
        <w:t xml:space="preserve"> Fisher Scientific) in a 15</w:t>
      </w:r>
      <w:r>
        <w:rPr>
          <w:lang w:val="en-US"/>
        </w:rPr>
        <w:t>-</w:t>
      </w:r>
      <w:r w:rsidRPr="00A17159">
        <w:rPr>
          <w:lang w:val="en-US"/>
        </w:rPr>
        <w:t>µl reaction containing 10</w:t>
      </w:r>
      <w:r>
        <w:rPr>
          <w:lang w:val="en-US"/>
        </w:rPr>
        <w:t xml:space="preserve"> </w:t>
      </w:r>
      <w:r w:rsidRPr="00A17159">
        <w:rPr>
          <w:lang w:val="en-US"/>
        </w:rPr>
        <w:t>µl of the PCR product, 1x the corresponding digestion buffer and 5</w:t>
      </w:r>
      <w:r>
        <w:rPr>
          <w:lang w:val="en-US"/>
        </w:rPr>
        <w:t xml:space="preserve"> </w:t>
      </w:r>
      <w:r w:rsidRPr="00A17159">
        <w:rPr>
          <w:lang w:val="en-US"/>
        </w:rPr>
        <w:t xml:space="preserve">U of the restriction enzyme. The mixture was incubated for two hours at 37°C for </w:t>
      </w:r>
      <w:proofErr w:type="spellStart"/>
      <w:r w:rsidRPr="00A17159">
        <w:rPr>
          <w:i/>
          <w:lang w:val="en-US"/>
        </w:rPr>
        <w:t>Dde</w:t>
      </w:r>
      <w:r w:rsidRPr="00A17159">
        <w:rPr>
          <w:lang w:val="en-US"/>
        </w:rPr>
        <w:t>I</w:t>
      </w:r>
      <w:proofErr w:type="spellEnd"/>
      <w:r w:rsidRPr="00A17159">
        <w:rPr>
          <w:lang w:val="en-US"/>
        </w:rPr>
        <w:t xml:space="preserve"> and </w:t>
      </w:r>
      <w:r>
        <w:rPr>
          <w:lang w:val="en-US"/>
        </w:rPr>
        <w:t xml:space="preserve">at </w:t>
      </w:r>
      <w:r w:rsidRPr="00A17159">
        <w:rPr>
          <w:lang w:val="en-US"/>
        </w:rPr>
        <w:t xml:space="preserve">65°C for </w:t>
      </w:r>
      <w:proofErr w:type="spellStart"/>
      <w:r w:rsidRPr="00A17159">
        <w:rPr>
          <w:i/>
          <w:lang w:val="en-US"/>
        </w:rPr>
        <w:t>Tai</w:t>
      </w:r>
      <w:r w:rsidRPr="00A17159">
        <w:rPr>
          <w:lang w:val="en-US"/>
        </w:rPr>
        <w:t>I</w:t>
      </w:r>
      <w:proofErr w:type="spellEnd"/>
      <w:r w:rsidRPr="00A17159">
        <w:rPr>
          <w:lang w:val="en-US"/>
        </w:rPr>
        <w:t xml:space="preserve">. </w:t>
      </w:r>
      <w:r>
        <w:rPr>
          <w:lang w:val="en-US"/>
        </w:rPr>
        <w:t>D</w:t>
      </w:r>
      <w:r w:rsidRPr="00A17159">
        <w:rPr>
          <w:lang w:val="en-US"/>
        </w:rPr>
        <w:t>igestion product</w:t>
      </w:r>
      <w:r>
        <w:rPr>
          <w:lang w:val="en-US"/>
        </w:rPr>
        <w:t>s</w:t>
      </w:r>
      <w:r w:rsidRPr="00A17159">
        <w:rPr>
          <w:lang w:val="en-US"/>
        </w:rPr>
        <w:t xml:space="preserve"> w</w:t>
      </w:r>
      <w:r>
        <w:rPr>
          <w:lang w:val="en-US"/>
        </w:rPr>
        <w:t>ere run and scored on standard</w:t>
      </w:r>
      <w:r w:rsidRPr="00A17159">
        <w:rPr>
          <w:lang w:val="en-US"/>
        </w:rPr>
        <w:t xml:space="preserve"> 2% agarose gel</w:t>
      </w:r>
      <w:r>
        <w:rPr>
          <w:lang w:val="en-US"/>
        </w:rPr>
        <w:t>s</w:t>
      </w:r>
      <w:r w:rsidRPr="00A17159">
        <w:rPr>
          <w:lang w:val="en-US"/>
        </w:rPr>
        <w:t>.</w:t>
      </w:r>
    </w:p>
    <w:p w:rsidR="00B50BCC" w:rsidRDefault="00B50BCC" w:rsidP="00B50BCC">
      <w:pPr>
        <w:rPr>
          <w:lang w:val="en-US"/>
        </w:rPr>
      </w:pPr>
    </w:p>
    <w:p w:rsidR="00B50BCC" w:rsidRPr="001C1AB7" w:rsidRDefault="00B50BCC" w:rsidP="00B50BCC">
      <w:pPr>
        <w:rPr>
          <w:lang w:val="en-US"/>
        </w:rPr>
      </w:pPr>
      <w:r w:rsidRPr="003645ED">
        <w:rPr>
          <w:b/>
          <w:lang w:val="en-US"/>
        </w:rPr>
        <w:t>Supplementary Methods S2.</w:t>
      </w:r>
      <w:r w:rsidRPr="001C1AB7">
        <w:rPr>
          <w:lang w:val="en-US"/>
        </w:rPr>
        <w:t xml:space="preserve"> Generation of a draft AB (</w:t>
      </w:r>
      <w:proofErr w:type="spellStart"/>
      <w:r w:rsidRPr="001C1AB7">
        <w:rPr>
          <w:lang w:val="en-US"/>
        </w:rPr>
        <w:t>Alegria</w:t>
      </w:r>
      <w:proofErr w:type="spellEnd"/>
      <w:r w:rsidRPr="001C1AB7">
        <w:rPr>
          <w:lang w:val="en-US"/>
        </w:rPr>
        <w:t xml:space="preserve"> x </w:t>
      </w:r>
      <w:proofErr w:type="spellStart"/>
      <w:r w:rsidRPr="001C1AB7">
        <w:rPr>
          <w:lang w:val="en-US"/>
        </w:rPr>
        <w:t>Baltica</w:t>
      </w:r>
      <w:proofErr w:type="spellEnd"/>
      <w:r w:rsidRPr="001C1AB7">
        <w:rPr>
          <w:lang w:val="en-US"/>
        </w:rPr>
        <w:t xml:space="preserve">) linkage map and fine-mapping of </w:t>
      </w:r>
      <w:proofErr w:type="spellStart"/>
      <w:r w:rsidRPr="001C1AB7">
        <w:rPr>
          <w:lang w:val="en-US"/>
        </w:rPr>
        <w:t>Alegria</w:t>
      </w:r>
      <w:proofErr w:type="spellEnd"/>
      <w:r w:rsidRPr="001C1AB7">
        <w:rPr>
          <w:lang w:val="en-US"/>
        </w:rPr>
        <w:t xml:space="preserve"> chromosome IX</w:t>
      </w:r>
      <w:r w:rsidR="001C1AB7" w:rsidRPr="001C1AB7">
        <w:rPr>
          <w:lang w:val="en-US"/>
        </w:rPr>
        <w:t>.</w:t>
      </w:r>
    </w:p>
    <w:p w:rsidR="00B50BCC" w:rsidRDefault="00B50BCC" w:rsidP="00B50BCC">
      <w:pPr>
        <w:rPr>
          <w:lang w:val="en-US"/>
        </w:rPr>
      </w:pPr>
      <w:r>
        <w:rPr>
          <w:lang w:val="en-US"/>
        </w:rPr>
        <w:t>For framework genetic mapping of the PVY resistance, a set of 45 potato-specific Simple Sequence Repeat (SSR) markers (Supplementary Table S4), three or four per chromosome, was applied on samples of genomic DNA of all 250 AB progenies and the parents, kindly provided by NORIKA (</w:t>
      </w:r>
      <w:proofErr w:type="spellStart"/>
      <w:r>
        <w:rPr>
          <w:lang w:val="en-US"/>
        </w:rPr>
        <w:t>Nordring</w:t>
      </w:r>
      <w:proofErr w:type="spellEnd"/>
      <w:r>
        <w:rPr>
          <w:lang w:val="en-US"/>
        </w:rPr>
        <w:t>-</w:t>
      </w:r>
      <w:proofErr w:type="spellStart"/>
      <w:r>
        <w:rPr>
          <w:lang w:val="en-US"/>
        </w:rPr>
        <w:t>Kartoffelzucht</w:t>
      </w:r>
      <w:proofErr w:type="spellEnd"/>
      <w:r>
        <w:rPr>
          <w:lang w:val="en-US"/>
        </w:rPr>
        <w:t xml:space="preserve">-und </w:t>
      </w:r>
      <w:proofErr w:type="spellStart"/>
      <w:r>
        <w:rPr>
          <w:lang w:val="en-US"/>
        </w:rPr>
        <w:t>Vermehrungs</w:t>
      </w:r>
      <w:proofErr w:type="spellEnd"/>
      <w:r>
        <w:rPr>
          <w:lang w:val="en-US"/>
        </w:rPr>
        <w:t xml:space="preserve">-GmbH, </w:t>
      </w:r>
      <w:proofErr w:type="spellStart"/>
      <w:r>
        <w:rPr>
          <w:lang w:val="en-US"/>
        </w:rPr>
        <w:t>Groß</w:t>
      </w:r>
      <w:proofErr w:type="spellEnd"/>
      <w:r>
        <w:rPr>
          <w:lang w:val="en-US"/>
        </w:rPr>
        <w:t xml:space="preserve"> </w:t>
      </w:r>
      <w:proofErr w:type="spellStart"/>
      <w:r>
        <w:rPr>
          <w:lang w:val="en-US"/>
        </w:rPr>
        <w:t>Lüsewitz</w:t>
      </w:r>
      <w:proofErr w:type="spellEnd"/>
      <w:r>
        <w:rPr>
          <w:lang w:val="en-US"/>
        </w:rPr>
        <w:t>, Germany)</w:t>
      </w:r>
      <w:r w:rsidRPr="00253F80">
        <w:rPr>
          <w:lang w:val="en-US"/>
        </w:rPr>
        <w:t xml:space="preserve"> following the procedure of </w:t>
      </w:r>
      <w:proofErr w:type="spellStart"/>
      <w:r w:rsidRPr="00253F80">
        <w:rPr>
          <w:lang w:val="en-US"/>
        </w:rPr>
        <w:t>Milbourne</w:t>
      </w:r>
      <w:proofErr w:type="spellEnd"/>
      <w:r w:rsidRPr="00253F80">
        <w:rPr>
          <w:lang w:val="en-US"/>
        </w:rPr>
        <w:t xml:space="preserve"> </w:t>
      </w:r>
      <w:r w:rsidRPr="001D7DC5">
        <w:rPr>
          <w:i/>
          <w:lang w:val="en-US"/>
        </w:rPr>
        <w:t>et al.</w:t>
      </w:r>
      <w:r>
        <w:rPr>
          <w:lang w:val="en-US"/>
        </w:rPr>
        <w:fldChar w:fldCharType="begin"/>
      </w:r>
      <w:r>
        <w:rPr>
          <w:lang w:val="en-US"/>
        </w:rPr>
        <w:instrText xml:space="preserve"> ADDIN ZOTERO_ITEM CSL_CITATION {"citationID":"NGoYcaO5","properties":{"formattedCitation":"\\super 34\\nosupersub{}","plainCitation":"34","noteIndex":0},"citationItems":[{"id":6940,"uris":["http://zotero.org/users/5908972/items/W9LSI4RP"],"uri":["http://zotero.org/users/5908972/items/W9LSI4RP"],"itemData":{"id":6940,"type":"article-journal","abstract":"Solanum tuberosum DNA sequences containing simple sequence repeat (SSR) motifs were extracted from the EMBL database, and from cDNA and selectively enriched small-insert DNA libraries. Enrichment was achieved using either triplex affinity capture or single-strand hybridization selection. Some 112 primer pairs which successfully amplified products of the correct size from potato DNA were ultimately designed and synthesized. Ninety-eight of these revealed length polymorphisms in a panel of four diploid and two tetraploid clones, in agreement with the high information content of this class of markers which has been found in other species. All of the markers were assigned a quality score of 1-5 based on their potential usefulness. Eighty-nine loci from 65 of the primer pairs were located on two genetic linkage maps of potato by segregation analysis of the amplified alleles. Fifty-two of the SSRs were clearly single loci. The maps were aligned using 23 SSR primer pairs and 13 RFLP loci mapped in both populations.","container-title":"Mol Gen Genet","page":"233-245","title":"Isolation, characterisation and mapping of simple sequence repeat loci in potato","volume":"259","author":[{"family":"Milbourne","given":"D."},{"family":"Meyer","given":"R. C."},{"family":"Collins","given":"A. J."},{"family":"Ramsay","given":"L. D."},{"family":"Gebhardt","given":"C."},{"family":"Waugh","given":"R."}],"issued":{"date-parts":[["1998"]]}}}],"schema":"https://github.com/citation-style-language/schema/raw/master/csl-citation.json"} </w:instrText>
      </w:r>
      <w:r>
        <w:rPr>
          <w:lang w:val="en-US"/>
        </w:rPr>
        <w:fldChar w:fldCharType="separate"/>
      </w:r>
      <w:r w:rsidRPr="00B50BCC">
        <w:rPr>
          <w:rFonts w:ascii="Calibri" w:hAnsi="Calibri" w:cs="Calibri"/>
          <w:szCs w:val="24"/>
          <w:vertAlign w:val="superscript"/>
          <w:lang w:val="en-US"/>
        </w:rPr>
        <w:t>34</w:t>
      </w:r>
      <w:r>
        <w:rPr>
          <w:lang w:val="en-US"/>
        </w:rPr>
        <w:fldChar w:fldCharType="end"/>
      </w:r>
      <w:r w:rsidRPr="00253F80">
        <w:rPr>
          <w:lang w:val="en-US"/>
        </w:rPr>
        <w:t xml:space="preserve">. In brief, PCR was performed in a 20-µl reaction volume containing 1 U </w:t>
      </w:r>
      <w:proofErr w:type="spellStart"/>
      <w:r w:rsidRPr="00253F80">
        <w:rPr>
          <w:lang w:val="en-US"/>
        </w:rPr>
        <w:t>FIREPol</w:t>
      </w:r>
      <w:proofErr w:type="spellEnd"/>
      <w:r w:rsidRPr="00253F80">
        <w:rPr>
          <w:lang w:val="en-US"/>
        </w:rPr>
        <w:t xml:space="preserve"> polymerase (Solis </w:t>
      </w:r>
      <w:proofErr w:type="spellStart"/>
      <w:r w:rsidRPr="00253F80">
        <w:rPr>
          <w:lang w:val="en-US"/>
        </w:rPr>
        <w:t>Biodyne</w:t>
      </w:r>
      <w:proofErr w:type="spellEnd"/>
      <w:r w:rsidRPr="00253F80">
        <w:rPr>
          <w:lang w:val="en-US"/>
        </w:rPr>
        <w:t xml:space="preserve">), 1x BD buffer, 0.2 </w:t>
      </w:r>
      <w:proofErr w:type="spellStart"/>
      <w:r w:rsidRPr="00253F80">
        <w:rPr>
          <w:lang w:val="en-US"/>
        </w:rPr>
        <w:t>mM</w:t>
      </w:r>
      <w:proofErr w:type="spellEnd"/>
      <w:r w:rsidRPr="00253F80">
        <w:rPr>
          <w:lang w:val="en-US"/>
        </w:rPr>
        <w:t xml:space="preserve"> dNTPs (Solis </w:t>
      </w:r>
      <w:proofErr w:type="spellStart"/>
      <w:r w:rsidRPr="00253F80">
        <w:rPr>
          <w:lang w:val="en-US"/>
        </w:rPr>
        <w:t>Biodyne</w:t>
      </w:r>
      <w:proofErr w:type="spellEnd"/>
      <w:r w:rsidRPr="00253F80">
        <w:rPr>
          <w:lang w:val="en-US"/>
        </w:rPr>
        <w:t xml:space="preserve">) and 0.5 µM of each </w:t>
      </w:r>
      <w:r>
        <w:rPr>
          <w:lang w:val="en-US"/>
        </w:rPr>
        <w:t xml:space="preserve">(forward and reverse) </w:t>
      </w:r>
      <w:r w:rsidRPr="00253F80">
        <w:rPr>
          <w:lang w:val="en-US"/>
        </w:rPr>
        <w:t>primer. The cycling conditions were 1 min at 95°C followed by 30 cycles of 1 min at 94</w:t>
      </w:r>
      <w:r>
        <w:rPr>
          <w:lang w:val="en-US"/>
        </w:rPr>
        <w:t>°</w:t>
      </w:r>
      <w:r w:rsidRPr="00253F80">
        <w:rPr>
          <w:lang w:val="en-US"/>
        </w:rPr>
        <w:t>C and 1 min at the corresponding primer-specific an</w:t>
      </w:r>
      <w:r>
        <w:rPr>
          <w:lang w:val="en-US"/>
        </w:rPr>
        <w:t>nealing temperature, and finally</w:t>
      </w:r>
      <w:r w:rsidRPr="00253F80">
        <w:rPr>
          <w:lang w:val="en-US"/>
        </w:rPr>
        <w:t xml:space="preserve"> 1.5 min at 72°C. The forward primer was 5’-end fluorescence labeled (FAM or HEX, Sigma)</w:t>
      </w:r>
      <w:r>
        <w:rPr>
          <w:lang w:val="en-US"/>
        </w:rPr>
        <w:t>,</w:t>
      </w:r>
      <w:r w:rsidRPr="00253F80">
        <w:rPr>
          <w:lang w:val="en-US"/>
        </w:rPr>
        <w:t xml:space="preserve"> and 1 µl of the 1:25 or 1:50 diluted amplicon was mixed with 0.3 µl 350 ROX size standard and 10 µl </w:t>
      </w:r>
      <w:proofErr w:type="spellStart"/>
      <w:r w:rsidRPr="00253F80">
        <w:rPr>
          <w:lang w:val="en-US"/>
        </w:rPr>
        <w:t>HiDi</w:t>
      </w:r>
      <w:proofErr w:type="spellEnd"/>
      <w:r w:rsidRPr="00253F80">
        <w:rPr>
          <w:lang w:val="en-US"/>
        </w:rPr>
        <w:t xml:space="preserve"> </w:t>
      </w:r>
      <w:proofErr w:type="spellStart"/>
      <w:r w:rsidRPr="00253F80">
        <w:rPr>
          <w:lang w:val="en-US"/>
        </w:rPr>
        <w:t>formamide</w:t>
      </w:r>
      <w:proofErr w:type="spellEnd"/>
      <w:r w:rsidRPr="00253F80">
        <w:rPr>
          <w:lang w:val="en-US"/>
        </w:rPr>
        <w:t xml:space="preserve"> (Applied Biosystems) and run on an AB3100 automated sequencer (Applied Biosystems) equipped with a 22-cm capillary, Pop4 polymer and settings; IV 6, IT 3, 15 V, run time 600. The resulting data was analyzed in Genotyper_3.7_0125 software (Applied Biosystems).</w:t>
      </w:r>
      <w:r>
        <w:rPr>
          <w:lang w:val="en-US"/>
        </w:rPr>
        <w:t xml:space="preserve"> </w:t>
      </w:r>
      <w:r w:rsidRPr="00253F80">
        <w:rPr>
          <w:lang w:val="en-US"/>
        </w:rPr>
        <w:t>Genetic linkage maps were calculated based on the segregating markers detected, using the Tetraploid Map program package</w:t>
      </w:r>
      <w:r>
        <w:rPr>
          <w:lang w:val="en-US"/>
        </w:rPr>
        <w:fldChar w:fldCharType="begin"/>
      </w:r>
      <w:r>
        <w:rPr>
          <w:lang w:val="en-US"/>
        </w:rPr>
        <w:instrText xml:space="preserve"> ADDIN ZOTERO_ITEM CSL_CITATION {"citationID":"fhy7R0L6","properties":{"formattedCitation":"\\super 53\\nosupersub{}","plainCitation":"53","noteIndex":0},"citationItems":[{"id":2343,"uris":["http://zotero.org/users/5908972/items/DMITN2UR"],"uri":["http://zotero.org/users/5908972/items/DMITN2UR"],"itemData":{"id":2343,"type":"article-journal","abstract":"TetraploidMap is a suite of Fortran 90 routines run from Microsoft Windows with a text-based input and output. TetraploidMap enables the user to assemble a linkage map from dominant and codominant (multiallelic) marker loci scored for the parents and full-sib progeny of a cross in an autotetraploid species. It includes routines for the inference of the parental genotypes, identification of linkage groups, two-point analysis to estimate the recombination frequency and LOD score between all pairs of marker in a linkage group, and locus ordering by simulated annealing.","container-title":"Journal of Heredity","DOI":"10.1093/jhered/esg066","issue":"4","page":"358-359","title":"TetraploidMap: Construction of a Linkage Map in Autotetraploid Species","volume":"94","author":[{"family":"Hackett","given":"C. A."},{"family":"Luo","given":"Z. W."}],"issued":{"date-parts":[["2003",7,1]]}}}],"schema":"https://github.com/citation-style-language/schema/raw/master/csl-citation.json"} </w:instrText>
      </w:r>
      <w:r>
        <w:rPr>
          <w:lang w:val="en-US"/>
        </w:rPr>
        <w:fldChar w:fldCharType="separate"/>
      </w:r>
      <w:r w:rsidR="006668A6">
        <w:rPr>
          <w:rFonts w:ascii="Calibri" w:hAnsi="Calibri" w:cs="Calibri"/>
          <w:szCs w:val="24"/>
          <w:vertAlign w:val="superscript"/>
          <w:lang w:val="en-US"/>
        </w:rPr>
        <w:t>54</w:t>
      </w:r>
      <w:r>
        <w:rPr>
          <w:lang w:val="en-US"/>
        </w:rPr>
        <w:fldChar w:fldCharType="end"/>
      </w:r>
      <w:r w:rsidRPr="00253F80">
        <w:rPr>
          <w:lang w:val="en-US"/>
        </w:rPr>
        <w:t xml:space="preserve"> with default settings.</w:t>
      </w:r>
      <w:r>
        <w:rPr>
          <w:lang w:val="en-US"/>
        </w:rPr>
        <w:t xml:space="preserve"> The SSR markers yielded haplotypes segregating 1:0 (22 markers), 3:1 (20), 5:1 (2) and 35:1 (2) and these, together with the qualitative phenotype of response to PVY (provided by NORIKA) scored as a single dominant marker,</w:t>
      </w:r>
      <w:r w:rsidRPr="002C36B2">
        <w:rPr>
          <w:lang w:val="en-US"/>
        </w:rPr>
        <w:t xml:space="preserve"> </w:t>
      </w:r>
      <w:r>
        <w:rPr>
          <w:lang w:val="en-US"/>
        </w:rPr>
        <w:t xml:space="preserve">were used to generate a genetic framework map of cv. </w:t>
      </w:r>
      <w:proofErr w:type="spellStart"/>
      <w:r>
        <w:rPr>
          <w:lang w:val="en-US"/>
        </w:rPr>
        <w:t>Alegria</w:t>
      </w:r>
      <w:proofErr w:type="spellEnd"/>
      <w:r>
        <w:rPr>
          <w:lang w:val="en-US"/>
        </w:rPr>
        <w:t>.</w:t>
      </w:r>
    </w:p>
    <w:p w:rsidR="001D7DC5" w:rsidRDefault="001D7DC5" w:rsidP="00B50BCC">
      <w:pPr>
        <w:rPr>
          <w:lang w:val="en-US"/>
        </w:rPr>
      </w:pPr>
    </w:p>
    <w:p w:rsidR="001D7DC5" w:rsidRPr="003645ED" w:rsidRDefault="001D7DC5" w:rsidP="001D7DC5">
      <w:pPr>
        <w:rPr>
          <w:b/>
          <w:lang w:val="en-US"/>
        </w:rPr>
      </w:pPr>
      <w:r w:rsidRPr="003645ED">
        <w:rPr>
          <w:b/>
          <w:lang w:val="en-US"/>
        </w:rPr>
        <w:t xml:space="preserve">Fine mapping of cultivar </w:t>
      </w:r>
      <w:proofErr w:type="spellStart"/>
      <w:r w:rsidRPr="003645ED">
        <w:rPr>
          <w:b/>
          <w:lang w:val="en-US"/>
        </w:rPr>
        <w:t>Alegria</w:t>
      </w:r>
      <w:proofErr w:type="spellEnd"/>
      <w:r w:rsidRPr="003645ED">
        <w:rPr>
          <w:b/>
          <w:lang w:val="en-US"/>
        </w:rPr>
        <w:t xml:space="preserve"> chromosome IX</w:t>
      </w:r>
    </w:p>
    <w:p w:rsidR="001D7DC5" w:rsidRPr="00253F80" w:rsidRDefault="001D7DC5" w:rsidP="001D7DC5">
      <w:pPr>
        <w:rPr>
          <w:lang w:val="en-US"/>
        </w:rPr>
      </w:pPr>
      <w:r w:rsidRPr="00253F80">
        <w:rPr>
          <w:lang w:val="en-US"/>
        </w:rPr>
        <w:t xml:space="preserve">PCR primers were designed based on single nucleotide polymorphisms (SNPs) distinguishing the </w:t>
      </w:r>
      <w:r>
        <w:rPr>
          <w:lang w:val="en-US"/>
        </w:rPr>
        <w:t xml:space="preserve">NBS </w:t>
      </w:r>
      <w:r w:rsidRPr="00253F80">
        <w:rPr>
          <w:lang w:val="en-US"/>
        </w:rPr>
        <w:t xml:space="preserve">tags for chromosome IX of </w:t>
      </w:r>
      <w:proofErr w:type="spellStart"/>
      <w:r w:rsidRPr="00253F80">
        <w:rPr>
          <w:lang w:val="en-US"/>
        </w:rPr>
        <w:t>cvs</w:t>
      </w:r>
      <w:proofErr w:type="spellEnd"/>
      <w:r w:rsidRPr="00253F80">
        <w:rPr>
          <w:lang w:val="en-US"/>
        </w:rPr>
        <w:t xml:space="preserve">. </w:t>
      </w:r>
      <w:proofErr w:type="spellStart"/>
      <w:r w:rsidRPr="00253F80">
        <w:rPr>
          <w:lang w:val="en-US"/>
        </w:rPr>
        <w:t>Alegria</w:t>
      </w:r>
      <w:proofErr w:type="spellEnd"/>
      <w:r w:rsidRPr="00253F80">
        <w:rPr>
          <w:lang w:val="en-US"/>
        </w:rPr>
        <w:t xml:space="preserve"> </w:t>
      </w:r>
      <w:r>
        <w:rPr>
          <w:lang w:val="en-US"/>
        </w:rPr>
        <w:t xml:space="preserve">and </w:t>
      </w:r>
      <w:proofErr w:type="spellStart"/>
      <w:r>
        <w:rPr>
          <w:lang w:val="en-US"/>
        </w:rPr>
        <w:t>Baltica</w:t>
      </w:r>
      <w:proofErr w:type="spellEnd"/>
      <w:r>
        <w:rPr>
          <w:lang w:val="en-US"/>
        </w:rPr>
        <w:t>, as obtained via HiS</w:t>
      </w:r>
      <w:r w:rsidRPr="00253F80">
        <w:rPr>
          <w:lang w:val="en-US"/>
        </w:rPr>
        <w:t xml:space="preserve">eq-2000 sequencing, relative to the reference genome; DM </w:t>
      </w:r>
      <w:r>
        <w:rPr>
          <w:lang w:val="en-US"/>
        </w:rPr>
        <w:t xml:space="preserve">v </w:t>
      </w:r>
      <w:r w:rsidRPr="00253F80">
        <w:rPr>
          <w:lang w:val="en-US"/>
        </w:rPr>
        <w:t xml:space="preserve">4.03. All primers were made to detect just </w:t>
      </w:r>
      <w:proofErr w:type="spellStart"/>
      <w:r w:rsidRPr="00253F80">
        <w:rPr>
          <w:lang w:val="en-US"/>
        </w:rPr>
        <w:t>Alegria</w:t>
      </w:r>
      <w:proofErr w:type="spellEnd"/>
      <w:r w:rsidRPr="00253F80">
        <w:rPr>
          <w:lang w:val="en-US"/>
        </w:rPr>
        <w:t xml:space="preserve">-specific SNPs. A SNP to be analyzed should occur in cv. </w:t>
      </w:r>
      <w:proofErr w:type="spellStart"/>
      <w:r w:rsidRPr="00253F80">
        <w:rPr>
          <w:lang w:val="en-US"/>
        </w:rPr>
        <w:t>Alegria</w:t>
      </w:r>
      <w:proofErr w:type="spellEnd"/>
      <w:r w:rsidRPr="00253F80">
        <w:rPr>
          <w:lang w:val="en-US"/>
        </w:rPr>
        <w:t xml:space="preserve"> and not in </w:t>
      </w:r>
      <w:proofErr w:type="spellStart"/>
      <w:r w:rsidRPr="00253F80">
        <w:rPr>
          <w:lang w:val="en-US"/>
        </w:rPr>
        <w:t>Baltica</w:t>
      </w:r>
      <w:proofErr w:type="spellEnd"/>
      <w:r w:rsidRPr="00253F80">
        <w:rPr>
          <w:lang w:val="en-US"/>
        </w:rPr>
        <w:t xml:space="preserve"> and optimally it should occur as an allele in simplex frequency. Therefore, the total of fragments carrying an alternate vs. the reference base at the SNP position should fit a 1:3 ratio (as determined by a chi-square test for goodness-of-fit), relative to the total number of reads analyzed for that genomic position of cv. </w:t>
      </w:r>
      <w:proofErr w:type="spellStart"/>
      <w:r w:rsidRPr="00253F80">
        <w:rPr>
          <w:lang w:val="en-US"/>
        </w:rPr>
        <w:t>Alegria</w:t>
      </w:r>
      <w:proofErr w:type="spellEnd"/>
      <w:r w:rsidRPr="00253F80">
        <w:rPr>
          <w:lang w:val="en-US"/>
        </w:rPr>
        <w:t xml:space="preserve"> (minimum 20 </w:t>
      </w:r>
      <w:r w:rsidRPr="00253F80">
        <w:rPr>
          <w:lang w:val="en-US"/>
        </w:rPr>
        <w:lastRenderedPageBreak/>
        <w:t>reads covering the SNP). The map</w:t>
      </w:r>
      <w:r>
        <w:rPr>
          <w:lang w:val="en-US"/>
        </w:rPr>
        <w:t>ped</w:t>
      </w:r>
      <w:r w:rsidRPr="00253F80">
        <w:rPr>
          <w:lang w:val="en-US"/>
        </w:rPr>
        <w:t xml:space="preserve"> position of the SNPs was visualized </w:t>
      </w:r>
      <w:r>
        <w:rPr>
          <w:lang w:val="en-US"/>
        </w:rPr>
        <w:t>in</w:t>
      </w:r>
      <w:r w:rsidRPr="00253F80">
        <w:rPr>
          <w:lang w:val="en-US"/>
        </w:rPr>
        <w:t xml:space="preserve"> the IGV Interactive Genome Viewer</w:t>
      </w:r>
      <w:r>
        <w:rPr>
          <w:lang w:val="en-US"/>
        </w:rPr>
        <w:fldChar w:fldCharType="begin"/>
      </w:r>
      <w:r>
        <w:rPr>
          <w:lang w:val="en-US"/>
        </w:rPr>
        <w:instrText xml:space="preserve"> ADDIN ZOTERO_ITEM CSL_CITATION {"citationID":"j6B9CHUS","properties":{"formattedCitation":"\\super 54\\nosupersub{}","plainCitation":"54","noteIndex":0},"citationItems":[{"id":2341,"uris":["http://zotero.org/users/5908972/items/52F7E7YG"],"uri":["http://zotero.org/users/5908972/items/52F7E7YG"],"itemData":{"id":2341,"type":"article-journal","abstract":"Data visualization is an essential component of genomic data analysis. However, the size and diversity of the data sets produced by today’s sequencing and array-based profiling methods present major challenges to visualization tools. The Integrative Genomics Viewer (IGV) is a high-performance viewer that efficiently handles large heterogeneous data sets, while providing a smooth and intuitive user experience at all levels of genome resolution. A key characteristic of IGV is its focus on the integrative nature of genomic studies, with support for both array-based and next-generation sequencing data, and the integration of clinical and phenotypic data. Although IGV is often used to view genomic data from public sources, its primary emphasis is to support researchers who wish to visualize and explore their own data sets or those from colleagues. To that end, IGV supports flexible loading of local and remote data sets, and is optimized to provide high-performance data visualization and exploration on standard desktop systems. IGV is freely available for download from http://www.broadinstitute.org/igv, under a GNU LGPL open-source license.","container-title":"Briefings in Bioinformatics","DOI":"10.1093/bib/bbs017","issue":"2","page":"178-192","title":"Integrative Genomics Viewer (IGV): high-performance genomics data visualization and exploration","volume":"14","author":[{"family":"Thorvaldsdóttir","given":"Helga"},{"family":"Robinson","given":"James T."},{"family":"Mesirov","given":"Jill P."}],"issued":{"date-parts":[["2013",3,1]]}}}],"schema":"https://github.com/citation-style-language/schema/raw/master/csl-citation.json"} </w:instrText>
      </w:r>
      <w:r>
        <w:rPr>
          <w:lang w:val="en-US"/>
        </w:rPr>
        <w:fldChar w:fldCharType="separate"/>
      </w:r>
      <w:r w:rsidRPr="00857435">
        <w:rPr>
          <w:rFonts w:ascii="Calibri" w:hAnsi="Calibri" w:cs="Calibri"/>
          <w:szCs w:val="24"/>
          <w:vertAlign w:val="superscript"/>
          <w:lang w:val="en-US"/>
        </w:rPr>
        <w:t>5</w:t>
      </w:r>
      <w:r w:rsidR="006668A6">
        <w:rPr>
          <w:rFonts w:ascii="Calibri" w:hAnsi="Calibri" w:cs="Calibri"/>
          <w:szCs w:val="24"/>
          <w:vertAlign w:val="superscript"/>
          <w:lang w:val="en-US"/>
        </w:rPr>
        <w:t>5</w:t>
      </w:r>
      <w:r>
        <w:rPr>
          <w:lang w:val="en-US"/>
        </w:rPr>
        <w:fldChar w:fldCharType="end"/>
      </w:r>
      <w:r>
        <w:rPr>
          <w:lang w:val="en-US"/>
        </w:rPr>
        <w:t>.</w:t>
      </w:r>
    </w:p>
    <w:p w:rsidR="001D7DC5" w:rsidRPr="00253F80" w:rsidRDefault="001D7DC5" w:rsidP="001D7DC5">
      <w:pPr>
        <w:rPr>
          <w:lang w:val="en-US"/>
        </w:rPr>
      </w:pPr>
      <w:r w:rsidRPr="00253F80">
        <w:rPr>
          <w:lang w:val="en-US"/>
        </w:rPr>
        <w:t>Allele-specific primers containing the selective SNP at their outer 3’ position were designed using the Primer3 online tool</w:t>
      </w:r>
      <w:r>
        <w:rPr>
          <w:lang w:val="en-US"/>
        </w:rPr>
        <w:fldChar w:fldCharType="begin"/>
      </w:r>
      <w:r>
        <w:rPr>
          <w:lang w:val="en-US"/>
        </w:rPr>
        <w:instrText xml:space="preserve"> ADDIN ZOTERO_ITEM CSL_CITATION {"citationID":"bSJX7nyj","properties":{"formattedCitation":"\\super 55\\nosupersub{}","plainCitation":"55","noteIndex":0},"citationItems":[{"id":7408,"uris":["http://zotero.org/users/5908972/items/M3KF47Y8"],"uri":["http://zotero.org/users/5908972/items/M3KF47Y8"],"itemData":{"id":7408,"type":"article-journal","abstract":"The determination of annealing temperature is a critical step in PCR design. This parameter is typically derived from the melting temperature of the PCR primers, so for successful PCR work it is important to determine the melting temperature of primer accurately. We introduced several enhancements in the widely used primer design program Primer3. The improvements include a formula for calculating melting temperature and a salt correction formula. Also, the new version can take into account the effects of divalent cations, which are included in most PCR buffers. Another modification enables using lowercase masked template sequences for primer design.\nAVAILABILITY: Features described in this article have been implemented into the development code of Primer3 and will be available in future versions (version 1.1 and newer) of Primer3. Also, a modified version is compiled under the name of mPrimer3 which is distributed independently. The web-based version of mPrimer3 is available at http://bioinfo.ebc.ee/mprimer3/ and the binary code is freely downloadable from the URL http://bioinfo.ebc.ee/download/.","container-title":"Bioinformatics (Oxford, England)","DOI":"10.1093/bioinformatics/btm091","ISSN":"1367-4811","issue":"10","journalAbbreviation":"Bioinformatics","language":"eng","note":"PMID: 17379693","page":"1289-1291","source":"PubMed","title":"Enhancements and modifications of primer design program Primer3","volume":"23","author":[{"family":"Koressaar","given":"Triinu"},{"family":"Remm","given":"Maido"}],"issued":{"date-parts":[["2007",5,15]]}},"locator":"3"}],"schema":"https://github.com/citation-style-language/schema/raw/master/csl-citation.json"} </w:instrText>
      </w:r>
      <w:r>
        <w:rPr>
          <w:lang w:val="en-US"/>
        </w:rPr>
        <w:fldChar w:fldCharType="separate"/>
      </w:r>
      <w:r w:rsidRPr="00857435">
        <w:rPr>
          <w:rFonts w:ascii="Calibri" w:hAnsi="Calibri" w:cs="Calibri"/>
          <w:szCs w:val="24"/>
          <w:vertAlign w:val="superscript"/>
          <w:lang w:val="en-US"/>
        </w:rPr>
        <w:t>5</w:t>
      </w:r>
      <w:r w:rsidR="006668A6">
        <w:rPr>
          <w:rFonts w:ascii="Calibri" w:hAnsi="Calibri" w:cs="Calibri"/>
          <w:szCs w:val="24"/>
          <w:vertAlign w:val="superscript"/>
          <w:lang w:val="en-US"/>
        </w:rPr>
        <w:t>6</w:t>
      </w:r>
      <w:r>
        <w:rPr>
          <w:lang w:val="en-US"/>
        </w:rPr>
        <w:fldChar w:fldCharType="end"/>
      </w:r>
      <w:r w:rsidRPr="00253F80">
        <w:rPr>
          <w:lang w:val="en-US"/>
        </w:rPr>
        <w:t>. Mismatches were introduced at the second position adjacent to the selective nucleotide at the 3’ end to boost primer selectivity following the criteria described by Liu et al.</w:t>
      </w:r>
      <w:r>
        <w:rPr>
          <w:lang w:val="en-US"/>
        </w:rPr>
        <w:fldChar w:fldCharType="begin"/>
      </w:r>
      <w:r>
        <w:rPr>
          <w:lang w:val="en-US"/>
        </w:rPr>
        <w:instrText xml:space="preserve"> ADDIN ZOTERO_ITEM CSL_CITATION {"citationID":"Jeuu1Rmn","properties":{"formattedCitation":"\\super 56\\nosupersub{}","plainCitation":"56","noteIndex":0},"citationItems":[{"id":2338,"uris":["http://zotero.org/users/5908972/items/B86K5YMA"],"uri":["http://zotero.org/users/5908972/items/B86K5YMA"],"itemData":{"id":2338,"type":"article-journal","container-title":"Plant Methods","DOI":"10.1186/1746-4811-8-34","issue":"1","journalAbbreviation":"Plant methods","language":"English","page":"1-9","title":"An improved allele-specific PCR primer design method for SNP marker analysis and its application","volume":"8","author":[{"family":"Liu","given":"Jing"},{"family":"Huang","given":"Shunmou"},{"family":"Sun","given":"Meiyu"},{"family":"Liu","given":"Shengyi"},{"family":"Liu","given":"Yumei"},{"family":"Wang","given":"Wanxing"},{"family":"Zhang","given":"Xiurong"},{"family":"Wang","given":"Hanzhong"},{"family":"Hua","given":"Wei"}],"issued":{"date-parts":[["2012",8,24]]}}}],"schema":"https://github.com/citation-style-language/schema/raw/master/csl-citation.json"} </w:instrText>
      </w:r>
      <w:r>
        <w:rPr>
          <w:lang w:val="en-US"/>
        </w:rPr>
        <w:fldChar w:fldCharType="separate"/>
      </w:r>
      <w:r w:rsidRPr="001D7DC5">
        <w:rPr>
          <w:rFonts w:ascii="Calibri" w:hAnsi="Calibri" w:cs="Calibri"/>
          <w:szCs w:val="24"/>
          <w:vertAlign w:val="superscript"/>
          <w:lang w:val="en-US"/>
        </w:rPr>
        <w:t>5</w:t>
      </w:r>
      <w:r w:rsidR="006668A6">
        <w:rPr>
          <w:rFonts w:ascii="Calibri" w:hAnsi="Calibri" w:cs="Calibri"/>
          <w:szCs w:val="24"/>
          <w:vertAlign w:val="superscript"/>
          <w:lang w:val="en-US"/>
        </w:rPr>
        <w:t>7</w:t>
      </w:r>
      <w:r>
        <w:rPr>
          <w:lang w:val="en-US"/>
        </w:rPr>
        <w:fldChar w:fldCharType="end"/>
      </w:r>
      <w:bookmarkStart w:id="0" w:name="_GoBack"/>
      <w:bookmarkEnd w:id="0"/>
      <w:r w:rsidRPr="00253F80">
        <w:rPr>
          <w:lang w:val="en-US"/>
        </w:rPr>
        <w:t>. Allele-specific PCRs were performed on a C1000 thermocycler (</w:t>
      </w:r>
      <w:proofErr w:type="spellStart"/>
      <w:r w:rsidRPr="00253F80">
        <w:rPr>
          <w:lang w:val="en-US"/>
        </w:rPr>
        <w:t>BioRad</w:t>
      </w:r>
      <w:proofErr w:type="spellEnd"/>
      <w:r w:rsidRPr="00253F80">
        <w:rPr>
          <w:lang w:val="en-US"/>
        </w:rPr>
        <w:t>). Optimal reaction conditions for each primer pair were determined via gradient PCR using 0.5 µM of each primer, primer-specific concentrations of MgCl</w:t>
      </w:r>
      <w:r w:rsidRPr="0025607A">
        <w:rPr>
          <w:vertAlign w:val="subscript"/>
          <w:lang w:val="en-US"/>
        </w:rPr>
        <w:t>2</w:t>
      </w:r>
      <w:r w:rsidRPr="00253F80">
        <w:rPr>
          <w:lang w:val="en-US"/>
        </w:rPr>
        <w:t xml:space="preserve"> and dNTP as given in </w:t>
      </w:r>
      <w:r>
        <w:rPr>
          <w:lang w:val="en-US"/>
        </w:rPr>
        <w:t xml:space="preserve">Supplementary </w:t>
      </w:r>
      <w:r w:rsidRPr="00CB7095">
        <w:rPr>
          <w:lang w:val="en-US"/>
        </w:rPr>
        <w:t>Table S</w:t>
      </w:r>
      <w:r>
        <w:rPr>
          <w:lang w:val="en-US"/>
        </w:rPr>
        <w:t>6</w:t>
      </w:r>
      <w:r w:rsidRPr="00253F80">
        <w:rPr>
          <w:lang w:val="en-US"/>
        </w:rPr>
        <w:t xml:space="preserve">, 1.25 U HOT </w:t>
      </w:r>
      <w:proofErr w:type="spellStart"/>
      <w:r w:rsidRPr="00253F80">
        <w:rPr>
          <w:lang w:val="en-US"/>
        </w:rPr>
        <w:t>FIREPol</w:t>
      </w:r>
      <w:proofErr w:type="spellEnd"/>
      <w:r w:rsidRPr="00253F80">
        <w:rPr>
          <w:lang w:val="en-US"/>
        </w:rPr>
        <w:t xml:space="preserve"> polymerase (Solis </w:t>
      </w:r>
      <w:proofErr w:type="spellStart"/>
      <w:r w:rsidRPr="00253F80">
        <w:rPr>
          <w:lang w:val="en-US"/>
        </w:rPr>
        <w:t>BioDyne</w:t>
      </w:r>
      <w:proofErr w:type="spellEnd"/>
      <w:r w:rsidRPr="00253F80">
        <w:rPr>
          <w:lang w:val="en-US"/>
        </w:rPr>
        <w:t>) and 10 ng of DNA in a total 20-µl volume. Cyclin</w:t>
      </w:r>
      <w:r>
        <w:rPr>
          <w:lang w:val="en-US"/>
        </w:rPr>
        <w:t>g conditions were; 15 min at 95°</w:t>
      </w:r>
      <w:r w:rsidRPr="00253F80">
        <w:rPr>
          <w:lang w:val="en-US"/>
        </w:rPr>
        <w:t>C, follow</w:t>
      </w:r>
      <w:r>
        <w:rPr>
          <w:lang w:val="en-US"/>
        </w:rPr>
        <w:t>ed by 40 cycles of 30 sec at 95°</w:t>
      </w:r>
      <w:r w:rsidRPr="00253F80">
        <w:rPr>
          <w:lang w:val="en-US"/>
        </w:rPr>
        <w:t>C, 30 sec at the corresponding annealing temper</w:t>
      </w:r>
      <w:r>
        <w:rPr>
          <w:lang w:val="en-US"/>
        </w:rPr>
        <w:t>ature of the individual primer, and 1 min at 72°</w:t>
      </w:r>
      <w:r w:rsidRPr="00253F80">
        <w:rPr>
          <w:lang w:val="en-US"/>
        </w:rPr>
        <w:t>C, and a final</w:t>
      </w:r>
      <w:r>
        <w:rPr>
          <w:lang w:val="en-US"/>
        </w:rPr>
        <w:t xml:space="preserve"> elongation during 10 min at 72°</w:t>
      </w:r>
      <w:r w:rsidRPr="00253F80">
        <w:rPr>
          <w:lang w:val="en-US"/>
        </w:rPr>
        <w:t>C. Amplification products were assessed on standard 1% agarose gels.</w:t>
      </w:r>
    </w:p>
    <w:p w:rsidR="00C8645E" w:rsidRDefault="00C8645E">
      <w:pPr>
        <w:rPr>
          <w:lang w:val="en-US"/>
        </w:rPr>
      </w:pPr>
    </w:p>
    <w:p w:rsidR="004D3FC4" w:rsidRDefault="00C8645E">
      <w:pPr>
        <w:rPr>
          <w:lang w:val="en-US"/>
        </w:rPr>
      </w:pPr>
      <w:r>
        <w:rPr>
          <w:lang w:val="en-US"/>
        </w:rPr>
        <w:t>34.</w:t>
      </w:r>
      <w:r>
        <w:rPr>
          <w:lang w:val="en-US"/>
        </w:rPr>
        <w:tab/>
      </w:r>
      <w:proofErr w:type="spellStart"/>
      <w:r w:rsidR="004D61C6" w:rsidRPr="00B47F88">
        <w:rPr>
          <w:lang w:val="en-US"/>
        </w:rPr>
        <w:t>Milbourne</w:t>
      </w:r>
      <w:proofErr w:type="spellEnd"/>
      <w:r w:rsidR="004D61C6" w:rsidRPr="00B47F88">
        <w:rPr>
          <w:lang w:val="en-US"/>
        </w:rPr>
        <w:t xml:space="preserve">, D. </w:t>
      </w:r>
      <w:r w:rsidR="004D61C6" w:rsidRPr="00B47F88">
        <w:rPr>
          <w:i/>
          <w:iCs/>
          <w:lang w:val="en-US"/>
        </w:rPr>
        <w:t>et al.</w:t>
      </w:r>
      <w:r w:rsidR="004D61C6" w:rsidRPr="00B47F88">
        <w:rPr>
          <w:lang w:val="en-US"/>
        </w:rPr>
        <w:t xml:space="preserve"> Isolation, </w:t>
      </w:r>
      <w:proofErr w:type="spellStart"/>
      <w:r w:rsidR="004D61C6" w:rsidRPr="00B47F88">
        <w:rPr>
          <w:lang w:val="en-US"/>
        </w:rPr>
        <w:t>characterisation</w:t>
      </w:r>
      <w:proofErr w:type="spellEnd"/>
      <w:r w:rsidR="004D61C6" w:rsidRPr="00B47F88">
        <w:rPr>
          <w:lang w:val="en-US"/>
        </w:rPr>
        <w:t xml:space="preserve"> and mapping of simple sequence repeat loci in potato. </w:t>
      </w:r>
      <w:proofErr w:type="spellStart"/>
      <w:r w:rsidR="004D61C6" w:rsidRPr="00B47F88">
        <w:rPr>
          <w:i/>
          <w:iCs/>
          <w:lang w:val="en-US"/>
        </w:rPr>
        <w:t>Mol</w:t>
      </w:r>
      <w:proofErr w:type="spellEnd"/>
      <w:r w:rsidR="004D61C6" w:rsidRPr="00B47F88">
        <w:rPr>
          <w:i/>
          <w:iCs/>
          <w:lang w:val="en-US"/>
        </w:rPr>
        <w:t xml:space="preserve"> Gen Genet</w:t>
      </w:r>
      <w:r w:rsidR="004D61C6" w:rsidRPr="00B47F88">
        <w:rPr>
          <w:lang w:val="en-US"/>
        </w:rPr>
        <w:t xml:space="preserve"> </w:t>
      </w:r>
      <w:r w:rsidR="004D61C6" w:rsidRPr="00B47F88">
        <w:rPr>
          <w:b/>
          <w:bCs/>
          <w:lang w:val="en-US"/>
        </w:rPr>
        <w:t>259</w:t>
      </w:r>
      <w:r w:rsidR="004D61C6" w:rsidRPr="00B47F88">
        <w:rPr>
          <w:lang w:val="en-US"/>
        </w:rPr>
        <w:t>, 233–245 (1998).</w:t>
      </w:r>
    </w:p>
    <w:p w:rsidR="00C8645E" w:rsidRPr="00B47F88" w:rsidRDefault="006668A6" w:rsidP="00C8645E">
      <w:pPr>
        <w:pStyle w:val="Literaturverzeichnis"/>
        <w:rPr>
          <w:lang w:val="en-US"/>
        </w:rPr>
      </w:pPr>
      <w:r>
        <w:rPr>
          <w:lang w:val="en-US"/>
        </w:rPr>
        <w:t>54</w:t>
      </w:r>
      <w:r w:rsidR="00C8645E" w:rsidRPr="00B47F88">
        <w:rPr>
          <w:lang w:val="en-US"/>
        </w:rPr>
        <w:t>.</w:t>
      </w:r>
      <w:r w:rsidR="00C8645E" w:rsidRPr="00B47F88">
        <w:rPr>
          <w:lang w:val="en-US"/>
        </w:rPr>
        <w:tab/>
        <w:t xml:space="preserve">Hackett, C. A. &amp; Luo, Z. W. </w:t>
      </w:r>
      <w:proofErr w:type="spellStart"/>
      <w:r w:rsidR="00C8645E" w:rsidRPr="00B47F88">
        <w:rPr>
          <w:lang w:val="en-US"/>
        </w:rPr>
        <w:t>TetraploidMap</w:t>
      </w:r>
      <w:proofErr w:type="spellEnd"/>
      <w:r w:rsidR="00C8645E" w:rsidRPr="00B47F88">
        <w:rPr>
          <w:lang w:val="en-US"/>
        </w:rPr>
        <w:t xml:space="preserve">: Construction of a linkage map in </w:t>
      </w:r>
      <w:proofErr w:type="spellStart"/>
      <w:r w:rsidR="00C8645E" w:rsidRPr="00B47F88">
        <w:rPr>
          <w:lang w:val="en-US"/>
        </w:rPr>
        <w:t>autotetraploid</w:t>
      </w:r>
      <w:proofErr w:type="spellEnd"/>
      <w:r w:rsidR="00C8645E" w:rsidRPr="00B47F88">
        <w:rPr>
          <w:lang w:val="en-US"/>
        </w:rPr>
        <w:t xml:space="preserve"> species. </w:t>
      </w:r>
      <w:r w:rsidR="00C8645E" w:rsidRPr="00B47F88">
        <w:rPr>
          <w:i/>
          <w:iCs/>
          <w:lang w:val="en-US"/>
        </w:rPr>
        <w:t>Journal of Heredity</w:t>
      </w:r>
      <w:r w:rsidR="00C8645E" w:rsidRPr="00B47F88">
        <w:rPr>
          <w:lang w:val="en-US"/>
        </w:rPr>
        <w:t xml:space="preserve"> </w:t>
      </w:r>
      <w:r w:rsidR="00C8645E" w:rsidRPr="00B47F88">
        <w:rPr>
          <w:b/>
          <w:bCs/>
          <w:lang w:val="en-US"/>
        </w:rPr>
        <w:t>94</w:t>
      </w:r>
      <w:r w:rsidR="00C8645E" w:rsidRPr="00B47F88">
        <w:rPr>
          <w:lang w:val="en-US"/>
        </w:rPr>
        <w:t>, 358–359 (2003).</w:t>
      </w:r>
    </w:p>
    <w:p w:rsidR="00C8645E" w:rsidRPr="00B47F88" w:rsidRDefault="006668A6" w:rsidP="00C8645E">
      <w:pPr>
        <w:pStyle w:val="Literaturverzeichnis"/>
        <w:rPr>
          <w:lang w:val="en-US"/>
        </w:rPr>
      </w:pPr>
      <w:r>
        <w:rPr>
          <w:lang w:val="en-US"/>
        </w:rPr>
        <w:t>55</w:t>
      </w:r>
      <w:r w:rsidR="00C8645E" w:rsidRPr="00B47F88">
        <w:rPr>
          <w:lang w:val="en-US"/>
        </w:rPr>
        <w:t>.</w:t>
      </w:r>
      <w:r w:rsidR="00C8645E" w:rsidRPr="00B47F88">
        <w:rPr>
          <w:lang w:val="en-US"/>
        </w:rPr>
        <w:tab/>
      </w:r>
      <w:proofErr w:type="spellStart"/>
      <w:r w:rsidR="00C8645E" w:rsidRPr="00B47F88">
        <w:rPr>
          <w:lang w:val="en-US"/>
        </w:rPr>
        <w:t>Thorvaldsdóttir</w:t>
      </w:r>
      <w:proofErr w:type="spellEnd"/>
      <w:r w:rsidR="00C8645E" w:rsidRPr="00B47F88">
        <w:rPr>
          <w:lang w:val="en-US"/>
        </w:rPr>
        <w:t xml:space="preserve">, H., Robinson, J. T. &amp; </w:t>
      </w:r>
      <w:proofErr w:type="spellStart"/>
      <w:r w:rsidR="00C8645E" w:rsidRPr="00B47F88">
        <w:rPr>
          <w:lang w:val="en-US"/>
        </w:rPr>
        <w:t>Mesirov</w:t>
      </w:r>
      <w:proofErr w:type="spellEnd"/>
      <w:r w:rsidR="00C8645E" w:rsidRPr="00B47F88">
        <w:rPr>
          <w:lang w:val="en-US"/>
        </w:rPr>
        <w:t xml:space="preserve">, J. P. Integrative Genomics Viewer (IGV): high-performance genomics data visualization and exploration. </w:t>
      </w:r>
      <w:r w:rsidR="00C8645E" w:rsidRPr="00B47F88">
        <w:rPr>
          <w:i/>
          <w:iCs/>
          <w:lang w:val="en-US"/>
        </w:rPr>
        <w:t>Briefings in Bioinformatics</w:t>
      </w:r>
      <w:r w:rsidR="00C8645E" w:rsidRPr="00B47F88">
        <w:rPr>
          <w:lang w:val="en-US"/>
        </w:rPr>
        <w:t xml:space="preserve"> </w:t>
      </w:r>
      <w:r w:rsidR="00C8645E" w:rsidRPr="00B47F88">
        <w:rPr>
          <w:b/>
          <w:bCs/>
          <w:lang w:val="en-US"/>
        </w:rPr>
        <w:t>14</w:t>
      </w:r>
      <w:r w:rsidR="00C8645E" w:rsidRPr="00B47F88">
        <w:rPr>
          <w:lang w:val="en-US"/>
        </w:rPr>
        <w:t>, 178–192 (2013).</w:t>
      </w:r>
    </w:p>
    <w:p w:rsidR="00C8645E" w:rsidRPr="00B47F88" w:rsidRDefault="006668A6" w:rsidP="00C8645E">
      <w:pPr>
        <w:pStyle w:val="Literaturverzeichnis"/>
        <w:rPr>
          <w:lang w:val="en-US"/>
        </w:rPr>
      </w:pPr>
      <w:r>
        <w:rPr>
          <w:lang w:val="en-US"/>
        </w:rPr>
        <w:t>56</w:t>
      </w:r>
      <w:r w:rsidR="00C8645E" w:rsidRPr="00B47F88">
        <w:rPr>
          <w:lang w:val="en-US"/>
        </w:rPr>
        <w:t>.</w:t>
      </w:r>
      <w:r w:rsidR="00C8645E" w:rsidRPr="00B47F88">
        <w:rPr>
          <w:lang w:val="en-US"/>
        </w:rPr>
        <w:tab/>
      </w:r>
      <w:proofErr w:type="spellStart"/>
      <w:r w:rsidR="00C8645E" w:rsidRPr="00B47F88">
        <w:rPr>
          <w:lang w:val="en-US"/>
        </w:rPr>
        <w:t>Koressaar</w:t>
      </w:r>
      <w:proofErr w:type="spellEnd"/>
      <w:r w:rsidR="00C8645E" w:rsidRPr="00B47F88">
        <w:rPr>
          <w:lang w:val="en-US"/>
        </w:rPr>
        <w:t xml:space="preserve">, T. &amp; </w:t>
      </w:r>
      <w:proofErr w:type="spellStart"/>
      <w:r w:rsidR="00C8645E" w:rsidRPr="00B47F88">
        <w:rPr>
          <w:lang w:val="en-US"/>
        </w:rPr>
        <w:t>Remm</w:t>
      </w:r>
      <w:proofErr w:type="spellEnd"/>
      <w:r w:rsidR="00C8645E" w:rsidRPr="00B47F88">
        <w:rPr>
          <w:lang w:val="en-US"/>
        </w:rPr>
        <w:t xml:space="preserve">, M. Enhancements and modifications of primer design program Primer3. </w:t>
      </w:r>
      <w:r w:rsidR="00C8645E" w:rsidRPr="00B47F88">
        <w:rPr>
          <w:i/>
          <w:iCs/>
          <w:lang w:val="en-US"/>
        </w:rPr>
        <w:t>Bioinformatics</w:t>
      </w:r>
      <w:r w:rsidR="00C8645E" w:rsidRPr="00B47F88">
        <w:rPr>
          <w:lang w:val="en-US"/>
        </w:rPr>
        <w:t xml:space="preserve"> </w:t>
      </w:r>
      <w:r w:rsidR="00C8645E" w:rsidRPr="00B47F88">
        <w:rPr>
          <w:b/>
          <w:bCs/>
          <w:lang w:val="en-US"/>
        </w:rPr>
        <w:t>23</w:t>
      </w:r>
      <w:r w:rsidR="00C8645E" w:rsidRPr="00B47F88">
        <w:rPr>
          <w:lang w:val="en-US"/>
        </w:rPr>
        <w:t>, 1289–1291 (2007).</w:t>
      </w:r>
    </w:p>
    <w:p w:rsidR="00C8645E" w:rsidRPr="001D7DC5" w:rsidRDefault="006668A6">
      <w:pPr>
        <w:rPr>
          <w:lang w:val="en-US"/>
        </w:rPr>
      </w:pPr>
      <w:r>
        <w:rPr>
          <w:lang w:val="en-US"/>
        </w:rPr>
        <w:t>57</w:t>
      </w:r>
      <w:r w:rsidR="00840254">
        <w:rPr>
          <w:lang w:val="en-US"/>
        </w:rPr>
        <w:t>.</w:t>
      </w:r>
      <w:r w:rsidR="00840254">
        <w:rPr>
          <w:lang w:val="en-US"/>
        </w:rPr>
        <w:tab/>
      </w:r>
      <w:r w:rsidR="00840254" w:rsidRPr="00B47F88">
        <w:rPr>
          <w:lang w:val="en-US"/>
        </w:rPr>
        <w:t xml:space="preserve">Liu, J. </w:t>
      </w:r>
      <w:r w:rsidR="00840254" w:rsidRPr="00B47F88">
        <w:rPr>
          <w:i/>
          <w:iCs/>
          <w:lang w:val="en-US"/>
        </w:rPr>
        <w:t>et al.</w:t>
      </w:r>
      <w:r w:rsidR="00840254" w:rsidRPr="00B47F88">
        <w:rPr>
          <w:lang w:val="en-US"/>
        </w:rPr>
        <w:t xml:space="preserve"> An improved allele-specific PCR primer design method for SNP marker analysis and its application. </w:t>
      </w:r>
      <w:r w:rsidR="00840254" w:rsidRPr="000F583D">
        <w:rPr>
          <w:i/>
          <w:iCs/>
          <w:lang w:val="en-US"/>
        </w:rPr>
        <w:t>Plant Methods</w:t>
      </w:r>
      <w:r w:rsidR="00840254" w:rsidRPr="000F583D">
        <w:rPr>
          <w:lang w:val="en-US"/>
        </w:rPr>
        <w:t xml:space="preserve"> </w:t>
      </w:r>
      <w:r w:rsidR="00840254" w:rsidRPr="000F583D">
        <w:rPr>
          <w:b/>
          <w:bCs/>
          <w:lang w:val="en-US"/>
        </w:rPr>
        <w:t>8</w:t>
      </w:r>
      <w:r w:rsidR="00840254" w:rsidRPr="000F583D">
        <w:rPr>
          <w:lang w:val="en-US"/>
        </w:rPr>
        <w:t>, 1–9 (2012).</w:t>
      </w:r>
    </w:p>
    <w:sectPr w:rsidR="00C8645E" w:rsidRPr="001D7DC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BCC"/>
    <w:rsid w:val="0000466D"/>
    <w:rsid w:val="00004C4A"/>
    <w:rsid w:val="000066C1"/>
    <w:rsid w:val="00007E94"/>
    <w:rsid w:val="00012045"/>
    <w:rsid w:val="0001605F"/>
    <w:rsid w:val="00017C95"/>
    <w:rsid w:val="000210C7"/>
    <w:rsid w:val="00021ECD"/>
    <w:rsid w:val="000245DF"/>
    <w:rsid w:val="00024909"/>
    <w:rsid w:val="000277A6"/>
    <w:rsid w:val="00030794"/>
    <w:rsid w:val="00030C54"/>
    <w:rsid w:val="00035ACE"/>
    <w:rsid w:val="00036885"/>
    <w:rsid w:val="00037B43"/>
    <w:rsid w:val="0004080E"/>
    <w:rsid w:val="000419E0"/>
    <w:rsid w:val="00054E81"/>
    <w:rsid w:val="00060136"/>
    <w:rsid w:val="00062761"/>
    <w:rsid w:val="00064A03"/>
    <w:rsid w:val="00066A1B"/>
    <w:rsid w:val="00066CFF"/>
    <w:rsid w:val="0007209D"/>
    <w:rsid w:val="00073FE3"/>
    <w:rsid w:val="000744FC"/>
    <w:rsid w:val="00075628"/>
    <w:rsid w:val="0007659B"/>
    <w:rsid w:val="00077AAF"/>
    <w:rsid w:val="00077EC5"/>
    <w:rsid w:val="00080B36"/>
    <w:rsid w:val="000818D2"/>
    <w:rsid w:val="00082617"/>
    <w:rsid w:val="00083009"/>
    <w:rsid w:val="00083BF8"/>
    <w:rsid w:val="000903A2"/>
    <w:rsid w:val="00090528"/>
    <w:rsid w:val="00090B34"/>
    <w:rsid w:val="00092A74"/>
    <w:rsid w:val="00095BD7"/>
    <w:rsid w:val="00097122"/>
    <w:rsid w:val="00097875"/>
    <w:rsid w:val="000A31E9"/>
    <w:rsid w:val="000A3A43"/>
    <w:rsid w:val="000A4681"/>
    <w:rsid w:val="000A4A97"/>
    <w:rsid w:val="000B03A9"/>
    <w:rsid w:val="000B0A18"/>
    <w:rsid w:val="000B115F"/>
    <w:rsid w:val="000B2C19"/>
    <w:rsid w:val="000B4690"/>
    <w:rsid w:val="000B53DC"/>
    <w:rsid w:val="000B76A0"/>
    <w:rsid w:val="000C2FE3"/>
    <w:rsid w:val="000C4241"/>
    <w:rsid w:val="000C45F6"/>
    <w:rsid w:val="000C6BCB"/>
    <w:rsid w:val="000D21FA"/>
    <w:rsid w:val="000D3122"/>
    <w:rsid w:val="000D46C4"/>
    <w:rsid w:val="000E0FF9"/>
    <w:rsid w:val="000E28BD"/>
    <w:rsid w:val="000E66A1"/>
    <w:rsid w:val="000F0572"/>
    <w:rsid w:val="000F1F82"/>
    <w:rsid w:val="000F2CB3"/>
    <w:rsid w:val="000F73DE"/>
    <w:rsid w:val="000F74A9"/>
    <w:rsid w:val="001105DD"/>
    <w:rsid w:val="001256F6"/>
    <w:rsid w:val="0013149D"/>
    <w:rsid w:val="00132C8B"/>
    <w:rsid w:val="00135694"/>
    <w:rsid w:val="00136B91"/>
    <w:rsid w:val="00136CD5"/>
    <w:rsid w:val="001409DB"/>
    <w:rsid w:val="00140EFA"/>
    <w:rsid w:val="001429F4"/>
    <w:rsid w:val="00145EBE"/>
    <w:rsid w:val="00147864"/>
    <w:rsid w:val="0015188B"/>
    <w:rsid w:val="00151F67"/>
    <w:rsid w:val="001557E4"/>
    <w:rsid w:val="00155A07"/>
    <w:rsid w:val="001567AD"/>
    <w:rsid w:val="00165864"/>
    <w:rsid w:val="00166C65"/>
    <w:rsid w:val="001673D3"/>
    <w:rsid w:val="00174990"/>
    <w:rsid w:val="001762EB"/>
    <w:rsid w:val="00181E3A"/>
    <w:rsid w:val="00181F20"/>
    <w:rsid w:val="0018376A"/>
    <w:rsid w:val="00184E4F"/>
    <w:rsid w:val="00190706"/>
    <w:rsid w:val="001956FA"/>
    <w:rsid w:val="00196FF4"/>
    <w:rsid w:val="001A183B"/>
    <w:rsid w:val="001B322E"/>
    <w:rsid w:val="001B44E2"/>
    <w:rsid w:val="001B59CE"/>
    <w:rsid w:val="001B6280"/>
    <w:rsid w:val="001B7F82"/>
    <w:rsid w:val="001C0399"/>
    <w:rsid w:val="001C1259"/>
    <w:rsid w:val="001C1AB7"/>
    <w:rsid w:val="001C40F4"/>
    <w:rsid w:val="001D7DC5"/>
    <w:rsid w:val="001E2FC2"/>
    <w:rsid w:val="001E46A8"/>
    <w:rsid w:val="001E6CE1"/>
    <w:rsid w:val="001F2416"/>
    <w:rsid w:val="00215863"/>
    <w:rsid w:val="0021591F"/>
    <w:rsid w:val="00215E9B"/>
    <w:rsid w:val="0021657C"/>
    <w:rsid w:val="00217A50"/>
    <w:rsid w:val="0022293F"/>
    <w:rsid w:val="00224DC5"/>
    <w:rsid w:val="002255C5"/>
    <w:rsid w:val="00226755"/>
    <w:rsid w:val="00230A68"/>
    <w:rsid w:val="0023111E"/>
    <w:rsid w:val="00235B8B"/>
    <w:rsid w:val="0023760C"/>
    <w:rsid w:val="00241B36"/>
    <w:rsid w:val="00244E97"/>
    <w:rsid w:val="00247966"/>
    <w:rsid w:val="00250F20"/>
    <w:rsid w:val="002538A0"/>
    <w:rsid w:val="002570B9"/>
    <w:rsid w:val="002603D1"/>
    <w:rsid w:val="00261DB9"/>
    <w:rsid w:val="00270C4C"/>
    <w:rsid w:val="00271D64"/>
    <w:rsid w:val="00271FE5"/>
    <w:rsid w:val="00272BFA"/>
    <w:rsid w:val="002731D5"/>
    <w:rsid w:val="00277A88"/>
    <w:rsid w:val="002802CE"/>
    <w:rsid w:val="0028063A"/>
    <w:rsid w:val="00280C7B"/>
    <w:rsid w:val="00283155"/>
    <w:rsid w:val="00287B19"/>
    <w:rsid w:val="00293092"/>
    <w:rsid w:val="00295948"/>
    <w:rsid w:val="00296EE4"/>
    <w:rsid w:val="00297768"/>
    <w:rsid w:val="00297F0A"/>
    <w:rsid w:val="002A1775"/>
    <w:rsid w:val="002A276D"/>
    <w:rsid w:val="002A3EEF"/>
    <w:rsid w:val="002A607A"/>
    <w:rsid w:val="002A77ED"/>
    <w:rsid w:val="002B475E"/>
    <w:rsid w:val="002B487D"/>
    <w:rsid w:val="002B66DB"/>
    <w:rsid w:val="002C2D98"/>
    <w:rsid w:val="002C35C6"/>
    <w:rsid w:val="002C5173"/>
    <w:rsid w:val="002D14C4"/>
    <w:rsid w:val="002E1989"/>
    <w:rsid w:val="002E2D69"/>
    <w:rsid w:val="002E3EF2"/>
    <w:rsid w:val="002E429E"/>
    <w:rsid w:val="002E51D1"/>
    <w:rsid w:val="002F455E"/>
    <w:rsid w:val="002F720D"/>
    <w:rsid w:val="00300542"/>
    <w:rsid w:val="0030443D"/>
    <w:rsid w:val="00305B46"/>
    <w:rsid w:val="0030734B"/>
    <w:rsid w:val="0031152B"/>
    <w:rsid w:val="00311B50"/>
    <w:rsid w:val="00312046"/>
    <w:rsid w:val="003134F7"/>
    <w:rsid w:val="00313B4D"/>
    <w:rsid w:val="00320ED4"/>
    <w:rsid w:val="00323374"/>
    <w:rsid w:val="00331F57"/>
    <w:rsid w:val="00333779"/>
    <w:rsid w:val="003378AB"/>
    <w:rsid w:val="00343D56"/>
    <w:rsid w:val="00344C92"/>
    <w:rsid w:val="00350572"/>
    <w:rsid w:val="0035083F"/>
    <w:rsid w:val="00351344"/>
    <w:rsid w:val="003530CE"/>
    <w:rsid w:val="00356253"/>
    <w:rsid w:val="00360C38"/>
    <w:rsid w:val="003612BC"/>
    <w:rsid w:val="003628C3"/>
    <w:rsid w:val="00362E0C"/>
    <w:rsid w:val="003676BB"/>
    <w:rsid w:val="00377895"/>
    <w:rsid w:val="003821D2"/>
    <w:rsid w:val="00385E96"/>
    <w:rsid w:val="00393121"/>
    <w:rsid w:val="0039494C"/>
    <w:rsid w:val="00394B37"/>
    <w:rsid w:val="003A3992"/>
    <w:rsid w:val="003A7445"/>
    <w:rsid w:val="003A79BA"/>
    <w:rsid w:val="003B097F"/>
    <w:rsid w:val="003B1A5B"/>
    <w:rsid w:val="003B1AE1"/>
    <w:rsid w:val="003B3524"/>
    <w:rsid w:val="003B4EE6"/>
    <w:rsid w:val="003C4C32"/>
    <w:rsid w:val="003C5550"/>
    <w:rsid w:val="003C7B17"/>
    <w:rsid w:val="003D1504"/>
    <w:rsid w:val="003D16F7"/>
    <w:rsid w:val="003D2845"/>
    <w:rsid w:val="003E21AF"/>
    <w:rsid w:val="003E7E5C"/>
    <w:rsid w:val="003F290E"/>
    <w:rsid w:val="003F3B4F"/>
    <w:rsid w:val="003F3BAA"/>
    <w:rsid w:val="003F4265"/>
    <w:rsid w:val="003F4763"/>
    <w:rsid w:val="004012EE"/>
    <w:rsid w:val="00405F7C"/>
    <w:rsid w:val="00412BE5"/>
    <w:rsid w:val="00413634"/>
    <w:rsid w:val="004142C2"/>
    <w:rsid w:val="00416661"/>
    <w:rsid w:val="0041773B"/>
    <w:rsid w:val="0043367C"/>
    <w:rsid w:val="0043407C"/>
    <w:rsid w:val="00435B25"/>
    <w:rsid w:val="004419F6"/>
    <w:rsid w:val="00442DD8"/>
    <w:rsid w:val="004440EC"/>
    <w:rsid w:val="00445751"/>
    <w:rsid w:val="004465A8"/>
    <w:rsid w:val="0044795C"/>
    <w:rsid w:val="00450012"/>
    <w:rsid w:val="00452E7B"/>
    <w:rsid w:val="004543D5"/>
    <w:rsid w:val="0045536C"/>
    <w:rsid w:val="004567D7"/>
    <w:rsid w:val="00460C5C"/>
    <w:rsid w:val="0047138F"/>
    <w:rsid w:val="00472115"/>
    <w:rsid w:val="00474624"/>
    <w:rsid w:val="00475C99"/>
    <w:rsid w:val="00476ECA"/>
    <w:rsid w:val="00480940"/>
    <w:rsid w:val="00482892"/>
    <w:rsid w:val="0048337C"/>
    <w:rsid w:val="004836A6"/>
    <w:rsid w:val="004915F2"/>
    <w:rsid w:val="004957D5"/>
    <w:rsid w:val="004979E2"/>
    <w:rsid w:val="004A040F"/>
    <w:rsid w:val="004A1831"/>
    <w:rsid w:val="004A1D3C"/>
    <w:rsid w:val="004A5152"/>
    <w:rsid w:val="004B00D5"/>
    <w:rsid w:val="004B3C99"/>
    <w:rsid w:val="004B6AB5"/>
    <w:rsid w:val="004B7362"/>
    <w:rsid w:val="004B78F4"/>
    <w:rsid w:val="004C16FD"/>
    <w:rsid w:val="004C6869"/>
    <w:rsid w:val="004C7DD3"/>
    <w:rsid w:val="004D25C4"/>
    <w:rsid w:val="004D3FC4"/>
    <w:rsid w:val="004D4502"/>
    <w:rsid w:val="004D61C6"/>
    <w:rsid w:val="004D692E"/>
    <w:rsid w:val="004D6973"/>
    <w:rsid w:val="004F120C"/>
    <w:rsid w:val="004F41ED"/>
    <w:rsid w:val="00500E1C"/>
    <w:rsid w:val="005024C0"/>
    <w:rsid w:val="005031F4"/>
    <w:rsid w:val="0051299F"/>
    <w:rsid w:val="00522E73"/>
    <w:rsid w:val="00524EA0"/>
    <w:rsid w:val="00531815"/>
    <w:rsid w:val="005360C1"/>
    <w:rsid w:val="005366FC"/>
    <w:rsid w:val="00536B59"/>
    <w:rsid w:val="00540DB3"/>
    <w:rsid w:val="0054197D"/>
    <w:rsid w:val="005442DC"/>
    <w:rsid w:val="00547A23"/>
    <w:rsid w:val="00550FFD"/>
    <w:rsid w:val="00556193"/>
    <w:rsid w:val="00556C00"/>
    <w:rsid w:val="00557622"/>
    <w:rsid w:val="005607C5"/>
    <w:rsid w:val="00560A16"/>
    <w:rsid w:val="00565F94"/>
    <w:rsid w:val="00573152"/>
    <w:rsid w:val="00574FFC"/>
    <w:rsid w:val="0058090F"/>
    <w:rsid w:val="00581FBC"/>
    <w:rsid w:val="00584EB3"/>
    <w:rsid w:val="00587503"/>
    <w:rsid w:val="0059255B"/>
    <w:rsid w:val="005956DC"/>
    <w:rsid w:val="005A2892"/>
    <w:rsid w:val="005A3674"/>
    <w:rsid w:val="005A4DA8"/>
    <w:rsid w:val="005A5904"/>
    <w:rsid w:val="005A67ED"/>
    <w:rsid w:val="005B0EB1"/>
    <w:rsid w:val="005B1336"/>
    <w:rsid w:val="005B1B0A"/>
    <w:rsid w:val="005B3986"/>
    <w:rsid w:val="005B4FF3"/>
    <w:rsid w:val="005B5CDD"/>
    <w:rsid w:val="005C0661"/>
    <w:rsid w:val="005C22C1"/>
    <w:rsid w:val="005C2B82"/>
    <w:rsid w:val="005C3348"/>
    <w:rsid w:val="005C4646"/>
    <w:rsid w:val="005C5B2D"/>
    <w:rsid w:val="005C6D69"/>
    <w:rsid w:val="005D1465"/>
    <w:rsid w:val="005D14E8"/>
    <w:rsid w:val="005D1DE2"/>
    <w:rsid w:val="005D4AE0"/>
    <w:rsid w:val="005D544C"/>
    <w:rsid w:val="005D760D"/>
    <w:rsid w:val="005D7AED"/>
    <w:rsid w:val="005E4517"/>
    <w:rsid w:val="005E69EF"/>
    <w:rsid w:val="005E797F"/>
    <w:rsid w:val="005F50E9"/>
    <w:rsid w:val="005F66C4"/>
    <w:rsid w:val="00600A17"/>
    <w:rsid w:val="00600B08"/>
    <w:rsid w:val="006011DE"/>
    <w:rsid w:val="0060395D"/>
    <w:rsid w:val="00605EFD"/>
    <w:rsid w:val="00611C41"/>
    <w:rsid w:val="006148F1"/>
    <w:rsid w:val="00614B2A"/>
    <w:rsid w:val="00615FF9"/>
    <w:rsid w:val="00616C9D"/>
    <w:rsid w:val="0062220A"/>
    <w:rsid w:val="00622D1A"/>
    <w:rsid w:val="0063022B"/>
    <w:rsid w:val="006412AE"/>
    <w:rsid w:val="00641F28"/>
    <w:rsid w:val="00643315"/>
    <w:rsid w:val="00643FB0"/>
    <w:rsid w:val="006450C5"/>
    <w:rsid w:val="00664C12"/>
    <w:rsid w:val="00665D93"/>
    <w:rsid w:val="006668A6"/>
    <w:rsid w:val="00667A48"/>
    <w:rsid w:val="0067599C"/>
    <w:rsid w:val="00675D62"/>
    <w:rsid w:val="00684036"/>
    <w:rsid w:val="00690716"/>
    <w:rsid w:val="0069473F"/>
    <w:rsid w:val="006970A0"/>
    <w:rsid w:val="006A0A62"/>
    <w:rsid w:val="006A3A53"/>
    <w:rsid w:val="006A6062"/>
    <w:rsid w:val="006B35F7"/>
    <w:rsid w:val="006B3911"/>
    <w:rsid w:val="006B6CAA"/>
    <w:rsid w:val="006C357B"/>
    <w:rsid w:val="006C6E8C"/>
    <w:rsid w:val="006C7211"/>
    <w:rsid w:val="006D1AB2"/>
    <w:rsid w:val="006D1D4B"/>
    <w:rsid w:val="006D2B76"/>
    <w:rsid w:val="006D4360"/>
    <w:rsid w:val="006E0A24"/>
    <w:rsid w:val="006E638D"/>
    <w:rsid w:val="006E6F26"/>
    <w:rsid w:val="006F0A55"/>
    <w:rsid w:val="006F0B16"/>
    <w:rsid w:val="006F0C3C"/>
    <w:rsid w:val="006F3F00"/>
    <w:rsid w:val="006F5397"/>
    <w:rsid w:val="006F6ED2"/>
    <w:rsid w:val="006F7CD7"/>
    <w:rsid w:val="00703950"/>
    <w:rsid w:val="00703DF8"/>
    <w:rsid w:val="007058E2"/>
    <w:rsid w:val="007177DF"/>
    <w:rsid w:val="00721049"/>
    <w:rsid w:val="007273A2"/>
    <w:rsid w:val="007358F5"/>
    <w:rsid w:val="007379AB"/>
    <w:rsid w:val="00737A6E"/>
    <w:rsid w:val="00743666"/>
    <w:rsid w:val="00743BB0"/>
    <w:rsid w:val="00743D11"/>
    <w:rsid w:val="00744A42"/>
    <w:rsid w:val="00745352"/>
    <w:rsid w:val="0074579C"/>
    <w:rsid w:val="007473EA"/>
    <w:rsid w:val="0074787E"/>
    <w:rsid w:val="00751093"/>
    <w:rsid w:val="0075150C"/>
    <w:rsid w:val="00754A9F"/>
    <w:rsid w:val="0076084B"/>
    <w:rsid w:val="00763462"/>
    <w:rsid w:val="007651F9"/>
    <w:rsid w:val="00765C15"/>
    <w:rsid w:val="00771809"/>
    <w:rsid w:val="007730ED"/>
    <w:rsid w:val="0078123F"/>
    <w:rsid w:val="00785F56"/>
    <w:rsid w:val="007906C9"/>
    <w:rsid w:val="007910C1"/>
    <w:rsid w:val="00793ADE"/>
    <w:rsid w:val="0079447D"/>
    <w:rsid w:val="00795D9E"/>
    <w:rsid w:val="007969C9"/>
    <w:rsid w:val="007A1376"/>
    <w:rsid w:val="007A1CFF"/>
    <w:rsid w:val="007A27DE"/>
    <w:rsid w:val="007A343E"/>
    <w:rsid w:val="007B1DFD"/>
    <w:rsid w:val="007B7E00"/>
    <w:rsid w:val="007C5B09"/>
    <w:rsid w:val="007C5E39"/>
    <w:rsid w:val="007C7A83"/>
    <w:rsid w:val="007C7FC8"/>
    <w:rsid w:val="007D0D74"/>
    <w:rsid w:val="007D1099"/>
    <w:rsid w:val="007D478A"/>
    <w:rsid w:val="007E1007"/>
    <w:rsid w:val="007E3C89"/>
    <w:rsid w:val="007F7843"/>
    <w:rsid w:val="008013DE"/>
    <w:rsid w:val="00804B9A"/>
    <w:rsid w:val="00805054"/>
    <w:rsid w:val="008076E1"/>
    <w:rsid w:val="0081313A"/>
    <w:rsid w:val="00813FA0"/>
    <w:rsid w:val="00820634"/>
    <w:rsid w:val="0082157E"/>
    <w:rsid w:val="00822597"/>
    <w:rsid w:val="0082271E"/>
    <w:rsid w:val="00822BAA"/>
    <w:rsid w:val="008231FB"/>
    <w:rsid w:val="0082344E"/>
    <w:rsid w:val="00825CF8"/>
    <w:rsid w:val="008267BC"/>
    <w:rsid w:val="00830ADA"/>
    <w:rsid w:val="00830E78"/>
    <w:rsid w:val="00836D00"/>
    <w:rsid w:val="00840254"/>
    <w:rsid w:val="008420E2"/>
    <w:rsid w:val="0084255F"/>
    <w:rsid w:val="00843245"/>
    <w:rsid w:val="00845241"/>
    <w:rsid w:val="00851E6B"/>
    <w:rsid w:val="00852C4B"/>
    <w:rsid w:val="00856A8E"/>
    <w:rsid w:val="00856C2F"/>
    <w:rsid w:val="00865A03"/>
    <w:rsid w:val="0087175D"/>
    <w:rsid w:val="0087284B"/>
    <w:rsid w:val="00873A49"/>
    <w:rsid w:val="00875E6F"/>
    <w:rsid w:val="00876EB4"/>
    <w:rsid w:val="0087753E"/>
    <w:rsid w:val="00877D8F"/>
    <w:rsid w:val="008859E8"/>
    <w:rsid w:val="008867E9"/>
    <w:rsid w:val="00890612"/>
    <w:rsid w:val="008909DE"/>
    <w:rsid w:val="00890B76"/>
    <w:rsid w:val="00890C84"/>
    <w:rsid w:val="00891D4A"/>
    <w:rsid w:val="0089399A"/>
    <w:rsid w:val="008941F7"/>
    <w:rsid w:val="00895B63"/>
    <w:rsid w:val="00896332"/>
    <w:rsid w:val="00897E9D"/>
    <w:rsid w:val="008A135E"/>
    <w:rsid w:val="008A16F3"/>
    <w:rsid w:val="008A22F7"/>
    <w:rsid w:val="008A385C"/>
    <w:rsid w:val="008A4ABB"/>
    <w:rsid w:val="008A4F32"/>
    <w:rsid w:val="008B0E4A"/>
    <w:rsid w:val="008B26D9"/>
    <w:rsid w:val="008B272F"/>
    <w:rsid w:val="008B3FBF"/>
    <w:rsid w:val="008C1731"/>
    <w:rsid w:val="008C5786"/>
    <w:rsid w:val="008D14F6"/>
    <w:rsid w:val="008D20B1"/>
    <w:rsid w:val="008D2832"/>
    <w:rsid w:val="008D3259"/>
    <w:rsid w:val="008E21E1"/>
    <w:rsid w:val="008E3E88"/>
    <w:rsid w:val="008F127B"/>
    <w:rsid w:val="008F23F9"/>
    <w:rsid w:val="00903841"/>
    <w:rsid w:val="00916525"/>
    <w:rsid w:val="00916DE1"/>
    <w:rsid w:val="00921465"/>
    <w:rsid w:val="009235FF"/>
    <w:rsid w:val="00926505"/>
    <w:rsid w:val="00926F6E"/>
    <w:rsid w:val="009316C3"/>
    <w:rsid w:val="00931E7E"/>
    <w:rsid w:val="009347B1"/>
    <w:rsid w:val="009353E5"/>
    <w:rsid w:val="009360B3"/>
    <w:rsid w:val="0094085B"/>
    <w:rsid w:val="00940F46"/>
    <w:rsid w:val="00942903"/>
    <w:rsid w:val="009435D3"/>
    <w:rsid w:val="009460A1"/>
    <w:rsid w:val="009555CE"/>
    <w:rsid w:val="009629B5"/>
    <w:rsid w:val="00966ED3"/>
    <w:rsid w:val="00967DE2"/>
    <w:rsid w:val="0097325E"/>
    <w:rsid w:val="009757E2"/>
    <w:rsid w:val="00977EFD"/>
    <w:rsid w:val="00982F3E"/>
    <w:rsid w:val="00983B72"/>
    <w:rsid w:val="009871AF"/>
    <w:rsid w:val="00993970"/>
    <w:rsid w:val="00993BD8"/>
    <w:rsid w:val="009A06FF"/>
    <w:rsid w:val="009A0933"/>
    <w:rsid w:val="009A2941"/>
    <w:rsid w:val="009A68A5"/>
    <w:rsid w:val="009B037C"/>
    <w:rsid w:val="009B1C8B"/>
    <w:rsid w:val="009B2DDA"/>
    <w:rsid w:val="009B344A"/>
    <w:rsid w:val="009C3023"/>
    <w:rsid w:val="009C35E6"/>
    <w:rsid w:val="009C39EB"/>
    <w:rsid w:val="009D0CCC"/>
    <w:rsid w:val="009D10E3"/>
    <w:rsid w:val="009D11E1"/>
    <w:rsid w:val="009D320A"/>
    <w:rsid w:val="009D57C8"/>
    <w:rsid w:val="009D57E5"/>
    <w:rsid w:val="009E0AA4"/>
    <w:rsid w:val="009E1EF1"/>
    <w:rsid w:val="009F4553"/>
    <w:rsid w:val="009F7573"/>
    <w:rsid w:val="009F7725"/>
    <w:rsid w:val="00A04298"/>
    <w:rsid w:val="00A05A1F"/>
    <w:rsid w:val="00A06DB2"/>
    <w:rsid w:val="00A1024F"/>
    <w:rsid w:val="00A10830"/>
    <w:rsid w:val="00A15A6E"/>
    <w:rsid w:val="00A15BFC"/>
    <w:rsid w:val="00A16E1C"/>
    <w:rsid w:val="00A16F89"/>
    <w:rsid w:val="00A245BB"/>
    <w:rsid w:val="00A27A8E"/>
    <w:rsid w:val="00A304AE"/>
    <w:rsid w:val="00A359D0"/>
    <w:rsid w:val="00A371F8"/>
    <w:rsid w:val="00A4203A"/>
    <w:rsid w:val="00A4323B"/>
    <w:rsid w:val="00A46796"/>
    <w:rsid w:val="00A46A43"/>
    <w:rsid w:val="00A475CE"/>
    <w:rsid w:val="00A47A66"/>
    <w:rsid w:val="00A47D82"/>
    <w:rsid w:val="00A51107"/>
    <w:rsid w:val="00A52CCB"/>
    <w:rsid w:val="00A532C9"/>
    <w:rsid w:val="00A5515B"/>
    <w:rsid w:val="00A55533"/>
    <w:rsid w:val="00A56ACC"/>
    <w:rsid w:val="00A60050"/>
    <w:rsid w:val="00A629C8"/>
    <w:rsid w:val="00A63ADE"/>
    <w:rsid w:val="00A63AEA"/>
    <w:rsid w:val="00A703F0"/>
    <w:rsid w:val="00A7258D"/>
    <w:rsid w:val="00A72F75"/>
    <w:rsid w:val="00A760E0"/>
    <w:rsid w:val="00A764BE"/>
    <w:rsid w:val="00A76BA5"/>
    <w:rsid w:val="00A80614"/>
    <w:rsid w:val="00A820DD"/>
    <w:rsid w:val="00AA0AE8"/>
    <w:rsid w:val="00AA0C83"/>
    <w:rsid w:val="00AA0E1C"/>
    <w:rsid w:val="00AA13CD"/>
    <w:rsid w:val="00AA2415"/>
    <w:rsid w:val="00AA5641"/>
    <w:rsid w:val="00AA5FFF"/>
    <w:rsid w:val="00AB0261"/>
    <w:rsid w:val="00AB71F3"/>
    <w:rsid w:val="00AC23D0"/>
    <w:rsid w:val="00AC3708"/>
    <w:rsid w:val="00AC4568"/>
    <w:rsid w:val="00AC5F58"/>
    <w:rsid w:val="00AC666E"/>
    <w:rsid w:val="00AC73A4"/>
    <w:rsid w:val="00AD366B"/>
    <w:rsid w:val="00AD3F1B"/>
    <w:rsid w:val="00AD4267"/>
    <w:rsid w:val="00AD4FE0"/>
    <w:rsid w:val="00AD7CAE"/>
    <w:rsid w:val="00AD7DC1"/>
    <w:rsid w:val="00AE05B8"/>
    <w:rsid w:val="00AE3EBE"/>
    <w:rsid w:val="00AE5212"/>
    <w:rsid w:val="00AE6BB3"/>
    <w:rsid w:val="00AF09DC"/>
    <w:rsid w:val="00B02BD8"/>
    <w:rsid w:val="00B07709"/>
    <w:rsid w:val="00B07F0E"/>
    <w:rsid w:val="00B12744"/>
    <w:rsid w:val="00B13CBE"/>
    <w:rsid w:val="00B13D0C"/>
    <w:rsid w:val="00B20271"/>
    <w:rsid w:val="00B20852"/>
    <w:rsid w:val="00B20FF9"/>
    <w:rsid w:val="00B21576"/>
    <w:rsid w:val="00B240BA"/>
    <w:rsid w:val="00B2435E"/>
    <w:rsid w:val="00B30687"/>
    <w:rsid w:val="00B33978"/>
    <w:rsid w:val="00B3520B"/>
    <w:rsid w:val="00B4108C"/>
    <w:rsid w:val="00B42CEB"/>
    <w:rsid w:val="00B45273"/>
    <w:rsid w:val="00B4701F"/>
    <w:rsid w:val="00B50BCC"/>
    <w:rsid w:val="00B545FA"/>
    <w:rsid w:val="00B555FE"/>
    <w:rsid w:val="00B56A2F"/>
    <w:rsid w:val="00B60790"/>
    <w:rsid w:val="00B60CA3"/>
    <w:rsid w:val="00B60D3F"/>
    <w:rsid w:val="00B616E5"/>
    <w:rsid w:val="00B6280F"/>
    <w:rsid w:val="00B63376"/>
    <w:rsid w:val="00B63B84"/>
    <w:rsid w:val="00B71A71"/>
    <w:rsid w:val="00B72AF6"/>
    <w:rsid w:val="00B762D2"/>
    <w:rsid w:val="00B7730F"/>
    <w:rsid w:val="00B77A58"/>
    <w:rsid w:val="00B82E89"/>
    <w:rsid w:val="00B834AE"/>
    <w:rsid w:val="00B85FBA"/>
    <w:rsid w:val="00B87328"/>
    <w:rsid w:val="00B94441"/>
    <w:rsid w:val="00B95DD3"/>
    <w:rsid w:val="00B96970"/>
    <w:rsid w:val="00BA6A78"/>
    <w:rsid w:val="00BB3611"/>
    <w:rsid w:val="00BB3B77"/>
    <w:rsid w:val="00BB54E9"/>
    <w:rsid w:val="00BB5BCE"/>
    <w:rsid w:val="00BC05F5"/>
    <w:rsid w:val="00BC1450"/>
    <w:rsid w:val="00BC2EA5"/>
    <w:rsid w:val="00BC3255"/>
    <w:rsid w:val="00BC5019"/>
    <w:rsid w:val="00BD0D22"/>
    <w:rsid w:val="00BD2629"/>
    <w:rsid w:val="00BD2A5D"/>
    <w:rsid w:val="00BD52F0"/>
    <w:rsid w:val="00BD6A13"/>
    <w:rsid w:val="00BE2DE1"/>
    <w:rsid w:val="00BE5308"/>
    <w:rsid w:val="00BE6AE1"/>
    <w:rsid w:val="00BE6B69"/>
    <w:rsid w:val="00BE7249"/>
    <w:rsid w:val="00BF3B1D"/>
    <w:rsid w:val="00BF61AD"/>
    <w:rsid w:val="00BF6420"/>
    <w:rsid w:val="00BF67B9"/>
    <w:rsid w:val="00BF7601"/>
    <w:rsid w:val="00C0019E"/>
    <w:rsid w:val="00C03641"/>
    <w:rsid w:val="00C036B1"/>
    <w:rsid w:val="00C04017"/>
    <w:rsid w:val="00C11D6B"/>
    <w:rsid w:val="00C13675"/>
    <w:rsid w:val="00C20048"/>
    <w:rsid w:val="00C203C3"/>
    <w:rsid w:val="00C24F91"/>
    <w:rsid w:val="00C25445"/>
    <w:rsid w:val="00C30A88"/>
    <w:rsid w:val="00C3173F"/>
    <w:rsid w:val="00C33F01"/>
    <w:rsid w:val="00C34D58"/>
    <w:rsid w:val="00C36657"/>
    <w:rsid w:val="00C40AF5"/>
    <w:rsid w:val="00C448BE"/>
    <w:rsid w:val="00C51061"/>
    <w:rsid w:val="00C5167E"/>
    <w:rsid w:val="00C526A6"/>
    <w:rsid w:val="00C56102"/>
    <w:rsid w:val="00C653EB"/>
    <w:rsid w:val="00C6556D"/>
    <w:rsid w:val="00C6794C"/>
    <w:rsid w:val="00C67E88"/>
    <w:rsid w:val="00C7296F"/>
    <w:rsid w:val="00C7612D"/>
    <w:rsid w:val="00C83FF0"/>
    <w:rsid w:val="00C8645E"/>
    <w:rsid w:val="00C8735E"/>
    <w:rsid w:val="00C91A80"/>
    <w:rsid w:val="00C948D1"/>
    <w:rsid w:val="00C94EDB"/>
    <w:rsid w:val="00C96E68"/>
    <w:rsid w:val="00CA1E44"/>
    <w:rsid w:val="00CA715A"/>
    <w:rsid w:val="00CB068B"/>
    <w:rsid w:val="00CB0763"/>
    <w:rsid w:val="00CB4500"/>
    <w:rsid w:val="00CB6656"/>
    <w:rsid w:val="00CB696F"/>
    <w:rsid w:val="00CB6FF3"/>
    <w:rsid w:val="00CC2BE7"/>
    <w:rsid w:val="00CC4F1C"/>
    <w:rsid w:val="00CD5BBE"/>
    <w:rsid w:val="00CD6D42"/>
    <w:rsid w:val="00CD6D4F"/>
    <w:rsid w:val="00CE1BF1"/>
    <w:rsid w:val="00CE5724"/>
    <w:rsid w:val="00CE7965"/>
    <w:rsid w:val="00CF0E2C"/>
    <w:rsid w:val="00CF2B71"/>
    <w:rsid w:val="00D01F89"/>
    <w:rsid w:val="00D029DE"/>
    <w:rsid w:val="00D04E59"/>
    <w:rsid w:val="00D07907"/>
    <w:rsid w:val="00D168C3"/>
    <w:rsid w:val="00D20411"/>
    <w:rsid w:val="00D24AFF"/>
    <w:rsid w:val="00D264D8"/>
    <w:rsid w:val="00D3038F"/>
    <w:rsid w:val="00D30988"/>
    <w:rsid w:val="00D31578"/>
    <w:rsid w:val="00D31876"/>
    <w:rsid w:val="00D33A60"/>
    <w:rsid w:val="00D36AA2"/>
    <w:rsid w:val="00D42218"/>
    <w:rsid w:val="00D458DA"/>
    <w:rsid w:val="00D46CDD"/>
    <w:rsid w:val="00D472B5"/>
    <w:rsid w:val="00D4790B"/>
    <w:rsid w:val="00D503D5"/>
    <w:rsid w:val="00D51F76"/>
    <w:rsid w:val="00D562DC"/>
    <w:rsid w:val="00D573F9"/>
    <w:rsid w:val="00D6038C"/>
    <w:rsid w:val="00D6566E"/>
    <w:rsid w:val="00D65698"/>
    <w:rsid w:val="00D71B40"/>
    <w:rsid w:val="00D73A5B"/>
    <w:rsid w:val="00D73E51"/>
    <w:rsid w:val="00D7656B"/>
    <w:rsid w:val="00D76AF9"/>
    <w:rsid w:val="00D823C8"/>
    <w:rsid w:val="00D831A6"/>
    <w:rsid w:val="00D863CA"/>
    <w:rsid w:val="00D9038E"/>
    <w:rsid w:val="00D90814"/>
    <w:rsid w:val="00D908D4"/>
    <w:rsid w:val="00D93BD4"/>
    <w:rsid w:val="00D93C1A"/>
    <w:rsid w:val="00D945B3"/>
    <w:rsid w:val="00D94903"/>
    <w:rsid w:val="00D954C3"/>
    <w:rsid w:val="00D95F2F"/>
    <w:rsid w:val="00D96EA0"/>
    <w:rsid w:val="00DA1E62"/>
    <w:rsid w:val="00DA2F7A"/>
    <w:rsid w:val="00DA422D"/>
    <w:rsid w:val="00DA621A"/>
    <w:rsid w:val="00DB1298"/>
    <w:rsid w:val="00DB4FBC"/>
    <w:rsid w:val="00DB52C6"/>
    <w:rsid w:val="00DB7134"/>
    <w:rsid w:val="00DB77A0"/>
    <w:rsid w:val="00DC1208"/>
    <w:rsid w:val="00DC35CD"/>
    <w:rsid w:val="00DC5BE5"/>
    <w:rsid w:val="00DD1604"/>
    <w:rsid w:val="00DD7C84"/>
    <w:rsid w:val="00DE0D39"/>
    <w:rsid w:val="00DE35ED"/>
    <w:rsid w:val="00DE3774"/>
    <w:rsid w:val="00DF0D2B"/>
    <w:rsid w:val="00DF2370"/>
    <w:rsid w:val="00DF5DE6"/>
    <w:rsid w:val="00DF68FD"/>
    <w:rsid w:val="00DF7D3E"/>
    <w:rsid w:val="00E0131C"/>
    <w:rsid w:val="00E01DDE"/>
    <w:rsid w:val="00E02DDB"/>
    <w:rsid w:val="00E032D4"/>
    <w:rsid w:val="00E07771"/>
    <w:rsid w:val="00E11C3C"/>
    <w:rsid w:val="00E1759D"/>
    <w:rsid w:val="00E21FF8"/>
    <w:rsid w:val="00E26CF7"/>
    <w:rsid w:val="00E27AE4"/>
    <w:rsid w:val="00E31E3A"/>
    <w:rsid w:val="00E34209"/>
    <w:rsid w:val="00E36D65"/>
    <w:rsid w:val="00E37F50"/>
    <w:rsid w:val="00E448D1"/>
    <w:rsid w:val="00E45D46"/>
    <w:rsid w:val="00E51D48"/>
    <w:rsid w:val="00E52740"/>
    <w:rsid w:val="00E52F3B"/>
    <w:rsid w:val="00E54DFB"/>
    <w:rsid w:val="00E557A2"/>
    <w:rsid w:val="00E57B3E"/>
    <w:rsid w:val="00E616C3"/>
    <w:rsid w:val="00E702B5"/>
    <w:rsid w:val="00E7132F"/>
    <w:rsid w:val="00E7283C"/>
    <w:rsid w:val="00E73F30"/>
    <w:rsid w:val="00E80684"/>
    <w:rsid w:val="00E839F5"/>
    <w:rsid w:val="00E86F99"/>
    <w:rsid w:val="00E91012"/>
    <w:rsid w:val="00E91282"/>
    <w:rsid w:val="00E96ADC"/>
    <w:rsid w:val="00E971F1"/>
    <w:rsid w:val="00EA2D5B"/>
    <w:rsid w:val="00EA59EF"/>
    <w:rsid w:val="00EA7C98"/>
    <w:rsid w:val="00EB0A52"/>
    <w:rsid w:val="00EB0B2D"/>
    <w:rsid w:val="00EB3F0E"/>
    <w:rsid w:val="00EC00B9"/>
    <w:rsid w:val="00EC0852"/>
    <w:rsid w:val="00EC1E60"/>
    <w:rsid w:val="00EC227D"/>
    <w:rsid w:val="00EC2382"/>
    <w:rsid w:val="00EC3046"/>
    <w:rsid w:val="00EC419A"/>
    <w:rsid w:val="00ED4EF2"/>
    <w:rsid w:val="00EE253E"/>
    <w:rsid w:val="00EE32C6"/>
    <w:rsid w:val="00EE4814"/>
    <w:rsid w:val="00EF3593"/>
    <w:rsid w:val="00F074F4"/>
    <w:rsid w:val="00F140F7"/>
    <w:rsid w:val="00F17B73"/>
    <w:rsid w:val="00F21A8A"/>
    <w:rsid w:val="00F21C3F"/>
    <w:rsid w:val="00F24311"/>
    <w:rsid w:val="00F27F84"/>
    <w:rsid w:val="00F30619"/>
    <w:rsid w:val="00F31691"/>
    <w:rsid w:val="00F32CB1"/>
    <w:rsid w:val="00F34CDF"/>
    <w:rsid w:val="00F35244"/>
    <w:rsid w:val="00F41CC9"/>
    <w:rsid w:val="00F44F90"/>
    <w:rsid w:val="00F4514F"/>
    <w:rsid w:val="00F459B7"/>
    <w:rsid w:val="00F45AF2"/>
    <w:rsid w:val="00F45D50"/>
    <w:rsid w:val="00F47F3D"/>
    <w:rsid w:val="00F51622"/>
    <w:rsid w:val="00F52476"/>
    <w:rsid w:val="00F53E66"/>
    <w:rsid w:val="00F5725A"/>
    <w:rsid w:val="00F632DC"/>
    <w:rsid w:val="00F7021B"/>
    <w:rsid w:val="00F837FF"/>
    <w:rsid w:val="00F84492"/>
    <w:rsid w:val="00F8600D"/>
    <w:rsid w:val="00F8603C"/>
    <w:rsid w:val="00F8756D"/>
    <w:rsid w:val="00F87EDF"/>
    <w:rsid w:val="00F906A4"/>
    <w:rsid w:val="00F91244"/>
    <w:rsid w:val="00F91377"/>
    <w:rsid w:val="00F91ACC"/>
    <w:rsid w:val="00F95975"/>
    <w:rsid w:val="00F9627D"/>
    <w:rsid w:val="00F96D8B"/>
    <w:rsid w:val="00FA01B5"/>
    <w:rsid w:val="00FA4104"/>
    <w:rsid w:val="00FA76CE"/>
    <w:rsid w:val="00FB028D"/>
    <w:rsid w:val="00FB05AC"/>
    <w:rsid w:val="00FB1753"/>
    <w:rsid w:val="00FB3AC1"/>
    <w:rsid w:val="00FB4C0F"/>
    <w:rsid w:val="00FB5778"/>
    <w:rsid w:val="00FB6F67"/>
    <w:rsid w:val="00FC30B7"/>
    <w:rsid w:val="00FC4F89"/>
    <w:rsid w:val="00FC7828"/>
    <w:rsid w:val="00FC7B8B"/>
    <w:rsid w:val="00FC7C4F"/>
    <w:rsid w:val="00FD3947"/>
    <w:rsid w:val="00FD3BE2"/>
    <w:rsid w:val="00FD5BEA"/>
    <w:rsid w:val="00FE041B"/>
    <w:rsid w:val="00FE1643"/>
    <w:rsid w:val="00FE2356"/>
    <w:rsid w:val="00FE27A5"/>
    <w:rsid w:val="00FE2A5D"/>
    <w:rsid w:val="00FE3DFC"/>
    <w:rsid w:val="00FF1EFE"/>
    <w:rsid w:val="00FF2786"/>
    <w:rsid w:val="00FF45AD"/>
    <w:rsid w:val="00FF60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2DA62D-C9F0-432D-89AE-764158F40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50BC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teraturverzeichnis">
    <w:name w:val="Bibliography"/>
    <w:basedOn w:val="Standard"/>
    <w:next w:val="Standard"/>
    <w:uiPriority w:val="37"/>
    <w:semiHidden/>
    <w:unhideWhenUsed/>
    <w:rsid w:val="00C86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1916</Words>
  <Characters>12071</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dc:creator>
  <cp:keywords/>
  <dc:description/>
  <cp:lastModifiedBy>BT</cp:lastModifiedBy>
  <cp:revision>2</cp:revision>
  <dcterms:created xsi:type="dcterms:W3CDTF">2020-04-19T16:29:00Z</dcterms:created>
  <dcterms:modified xsi:type="dcterms:W3CDTF">2020-04-19T16:29:00Z</dcterms:modified>
</cp:coreProperties>
</file>