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Calibri" w:hAnsi="Calibri" w:cs="Calibri"/>
          <w:b/>
          <w:color w:val="auto"/>
          <w:sz w:val="24"/>
          <w:szCs w:val="24"/>
          <w:lang w:val="en-GB"/>
        </w:rPr>
      </w:pPr>
      <w:r>
        <w:rPr>
          <w:rFonts w:ascii="Calibri" w:hAnsi="Calibri" w:cs="Calibri"/>
          <w:b/>
          <w:color w:val="auto"/>
          <w:sz w:val="24"/>
          <w:szCs w:val="24"/>
          <w:lang w:val="en-GB"/>
        </w:rPr>
        <w:t>SUPPLEMENTARY MATERIAL AND METHODS</w:t>
      </w:r>
    </w:p>
    <w:p>
      <w:pPr>
        <w:rPr>
          <w:rFonts w:cs="Calibri"/>
          <w:b/>
          <w:sz w:val="24"/>
          <w:szCs w:val="24"/>
          <w:lang w:val="en-GB"/>
        </w:rPr>
      </w:pPr>
    </w:p>
    <w:p>
      <w:pPr>
        <w:spacing w:line="360" w:lineRule="auto"/>
        <w:jc w:val="both"/>
        <w:rPr>
          <w:b/>
          <w:lang w:val="en-GB"/>
        </w:rPr>
      </w:pPr>
      <w:r>
        <w:rPr>
          <w:b/>
          <w:lang w:val="en-US"/>
        </w:rPr>
        <w:t>Title: Characterization of small RNAs from plasma extracellular vesicles of HIV/HCV coinfected patients: a protocol comparison.</w:t>
      </w:r>
    </w:p>
    <w:p>
      <w:pPr>
        <w:spacing w:line="360" w:lineRule="auto"/>
        <w:jc w:val="both"/>
      </w:pPr>
      <w:r>
        <w:rPr>
          <w:b/>
          <w:bCs/>
        </w:rPr>
        <w:t>Authors names</w:t>
      </w:r>
      <w:r>
        <w:t>: Martínez-González E.</w:t>
      </w:r>
      <w:r>
        <w:rPr>
          <w:vertAlign w:val="superscript"/>
        </w:rPr>
        <w:t>1</w:t>
      </w:r>
      <w:r>
        <w:t>, Brochado-Kith O</w:t>
      </w:r>
      <w:r>
        <w:rPr>
          <w:vertAlign w:val="superscript"/>
        </w:rPr>
        <w:t>1</w:t>
      </w:r>
      <w:r>
        <w:t>, Gómez-Sanz A.</w:t>
      </w:r>
      <w:r>
        <w:rPr>
          <w:vertAlign w:val="superscript"/>
        </w:rPr>
        <w:t>1</w:t>
      </w:r>
      <w:r>
        <w:t>, Martín-Carbonero L.</w:t>
      </w:r>
      <w:r>
        <w:rPr>
          <w:vertAlign w:val="superscript"/>
        </w:rPr>
        <w:t xml:space="preserve"> 2</w:t>
      </w:r>
      <w:r>
        <w:t>, Jimenez-Sousa MA</w:t>
      </w:r>
      <w:r>
        <w:rPr>
          <w:vertAlign w:val="superscript"/>
        </w:rPr>
        <w:t>1</w:t>
      </w:r>
      <w:r>
        <w:t>, Martínez-Román P</w:t>
      </w:r>
      <w:r>
        <w:rPr>
          <w:vertAlign w:val="superscript"/>
        </w:rPr>
        <w:t>1</w:t>
      </w:r>
      <w:r>
        <w:t>, Resino S</w:t>
      </w:r>
      <w:r>
        <w:rPr>
          <w:vertAlign w:val="superscript"/>
        </w:rPr>
        <w:t>1</w:t>
      </w:r>
      <w:r>
        <w:t>, Briz V.</w:t>
      </w:r>
      <w:r>
        <w:rPr>
          <w:vertAlign w:val="superscript"/>
        </w:rPr>
        <w:t xml:space="preserve"> 1</w:t>
      </w:r>
      <w:r>
        <w:t>*, Fernández-Rodríguez A</w:t>
      </w:r>
      <w:r>
        <w:rPr>
          <w:vertAlign w:val="superscript"/>
        </w:rPr>
        <w:t>1</w:t>
      </w:r>
      <w:r>
        <w:t>*.</w:t>
      </w:r>
    </w:p>
    <w:p>
      <w:pPr>
        <w:spacing w:line="360" w:lineRule="auto"/>
        <w:rPr>
          <w:b/>
          <w:lang w:val="en-US"/>
        </w:rPr>
      </w:pPr>
      <w:r>
        <w:rPr>
          <w:lang w:val="en-US"/>
        </w:rPr>
        <w:t>*Both authors contributed equally</w:t>
      </w:r>
    </w:p>
    <w:p>
      <w:pPr>
        <w:rPr>
          <w:rFonts w:cs="Calibri"/>
          <w:b/>
          <w:sz w:val="24"/>
          <w:szCs w:val="24"/>
          <w:lang w:val="en-GB"/>
        </w:rPr>
      </w:pPr>
    </w:p>
    <w:p>
      <w:pPr>
        <w:spacing w:line="360" w:lineRule="auto"/>
        <w:rPr>
          <w:lang w:val="en-US"/>
        </w:rPr>
      </w:pPr>
      <w:r>
        <w:rPr>
          <w:b/>
          <w:lang w:val="en-US"/>
        </w:rPr>
        <w:t>Current affiliations:</w:t>
      </w:r>
      <w:r>
        <w:rPr>
          <w:lang w:val="en-US"/>
        </w:rPr>
        <w:t xml:space="preserve"> </w:t>
      </w:r>
    </w:p>
    <w:p>
      <w:pPr>
        <w:pStyle w:val="34"/>
        <w:numPr>
          <w:ilvl w:val="0"/>
          <w:numId w:val="1"/>
        </w:numPr>
        <w:spacing w:after="0" w:line="360" w:lineRule="auto"/>
        <w:rPr>
          <w:rFonts w:cs="Arial"/>
          <w:lang w:val="en-US"/>
        </w:rPr>
      </w:pPr>
      <w:r>
        <w:rPr>
          <w:rFonts w:cs="Arial"/>
          <w:lang w:val="en-US"/>
        </w:rPr>
        <w:t>Unit of Viral Infection and Immunity, National Center for Microbiology, Institute of Health Carlos III, Majadahonda, Madrid, Spain.</w:t>
      </w:r>
    </w:p>
    <w:p>
      <w:pPr>
        <w:pStyle w:val="34"/>
        <w:numPr>
          <w:ilvl w:val="0"/>
          <w:numId w:val="1"/>
        </w:numPr>
        <w:spacing w:after="0" w:line="360" w:lineRule="auto"/>
        <w:rPr>
          <w:rFonts w:cs="Arial"/>
          <w:lang w:val="en-US"/>
        </w:rPr>
      </w:pPr>
      <w:r>
        <w:rPr>
          <w:rFonts w:cs="Arial"/>
          <w:lang w:val="en-US"/>
        </w:rPr>
        <w:t>Hospital La Paz Institute for Health Research (IdiPAZ), Madrid, Spain</w:t>
      </w:r>
    </w:p>
    <w:p>
      <w:pPr>
        <w:spacing w:after="0" w:line="240" w:lineRule="auto"/>
        <w:rPr>
          <w:rFonts w:cs="Calibri"/>
          <w:b/>
          <w:sz w:val="24"/>
          <w:szCs w:val="24"/>
          <w:lang w:val="en-US"/>
        </w:rPr>
      </w:pPr>
      <w:r>
        <w:rPr>
          <w:rFonts w:cs="Calibri"/>
          <w:b/>
          <w:sz w:val="24"/>
          <w:szCs w:val="24"/>
          <w:lang w:val="en-US"/>
        </w:rPr>
        <w:br w:type="page"/>
      </w:r>
    </w:p>
    <w:p>
      <w:pPr>
        <w:pStyle w:val="3"/>
        <w:spacing w:line="360" w:lineRule="auto"/>
        <w:rPr>
          <w:rFonts w:ascii="Calibri" w:hAnsi="Calibri"/>
          <w:b/>
          <w:color w:val="auto"/>
          <w:sz w:val="22"/>
          <w:szCs w:val="22"/>
          <w:lang w:val="en-US"/>
        </w:rPr>
      </w:pPr>
      <w:r>
        <w:rPr>
          <w:rFonts w:ascii="Calibri" w:hAnsi="Calibri"/>
          <w:b/>
          <w:color w:val="auto"/>
          <w:sz w:val="22"/>
          <w:szCs w:val="22"/>
          <w:lang w:val="en-US"/>
        </w:rPr>
        <w:t>Patients characteristics</w:t>
      </w:r>
    </w:p>
    <w:p>
      <w:pPr>
        <w:spacing w:line="360" w:lineRule="auto"/>
        <w:jc w:val="both"/>
        <w:rPr>
          <w:lang w:val="en-US"/>
        </w:rPr>
      </w:pPr>
      <w:r>
        <w:rPr>
          <w:i/>
          <w:lang w:val="en-US"/>
        </w:rPr>
        <w:t>Exclusion criteria</w:t>
      </w:r>
      <w:r>
        <w:rPr>
          <w:lang w:val="en-US"/>
        </w:rPr>
        <w:t xml:space="preserve">: no advanced liver fibrosis (&gt;F3), clinical evidence of hepatic decompensation, active drug or alcohol addiction, alcohol-induced liver injury, HBV active infection, opportunistic infections, and other concomitant diseases such as diabetes, nephropathies, autoimmune disease, hemochromatosis, cryoglobulinemia, primary biliary cirrhosis, Wilson´s disease, </w:t>
      </w:r>
      <w:r>
        <w:rPr>
          <w:rFonts w:cs="Calibri"/>
          <w:lang w:val="en-US"/>
        </w:rPr>
        <w:t>α</w:t>
      </w:r>
      <w:r>
        <w:rPr>
          <w:lang w:val="en-US"/>
        </w:rPr>
        <w:t xml:space="preserve">1-antitrypsin deficiency, and neoplasia. </w:t>
      </w:r>
    </w:p>
    <w:p>
      <w:pPr>
        <w:pStyle w:val="3"/>
        <w:spacing w:line="360" w:lineRule="auto"/>
        <w:rPr>
          <w:rFonts w:ascii="Calibri" w:hAnsi="Calibri"/>
          <w:b/>
          <w:color w:val="auto"/>
          <w:sz w:val="22"/>
          <w:szCs w:val="22"/>
          <w:lang w:val="en-US"/>
        </w:rPr>
      </w:pPr>
      <w:r>
        <w:rPr>
          <w:rFonts w:ascii="Calibri" w:hAnsi="Calibri"/>
          <w:b/>
          <w:color w:val="auto"/>
          <w:sz w:val="22"/>
          <w:szCs w:val="22"/>
          <w:lang w:val="en-US"/>
        </w:rPr>
        <w:t>Exosome Isolation protocols (extended version)</w:t>
      </w:r>
    </w:p>
    <w:p>
      <w:pPr>
        <w:spacing w:line="360" w:lineRule="auto"/>
        <w:jc w:val="both"/>
        <w:rPr>
          <w:lang w:val="en-GB"/>
        </w:rPr>
      </w:pPr>
      <w:r>
        <w:rPr>
          <w:lang w:val="en-GB"/>
        </w:rPr>
        <w:t xml:space="preserve">We evaluated traditional protocols such as ultracentrifugation and </w:t>
      </w:r>
      <w:r>
        <w:rPr>
          <w:color w:val="212121"/>
          <w:lang w:val="en-GB"/>
        </w:rPr>
        <w:t>polyethylene</w:t>
      </w:r>
      <w:r>
        <w:rPr>
          <w:lang w:val="en-GB"/>
        </w:rPr>
        <w:t xml:space="preserve"> glycol (PEG) based procedures, and three commercial exosome isolation kits. In total six different protocols were analysed for its performance in microRNAs (miRNAs) and others small RNAs (smRNAs) recovery, from 1ml of frozen at -80</w:t>
      </w:r>
      <w:r>
        <w:rPr>
          <w:rFonts w:cs="Calibri"/>
          <w:lang w:val="en-GB"/>
        </w:rPr>
        <w:t>°</w:t>
      </w:r>
      <w:r>
        <w:rPr>
          <w:lang w:val="en-GB"/>
        </w:rPr>
        <w:t>C pre-clarified plasma.</w:t>
      </w:r>
    </w:p>
    <w:p>
      <w:pPr>
        <w:pStyle w:val="4"/>
        <w:spacing w:after="240"/>
        <w:jc w:val="both"/>
        <w:rPr>
          <w:rFonts w:ascii="Calibri" w:hAnsi="Calibri"/>
          <w:color w:val="auto"/>
          <w:lang w:val="en-GB"/>
        </w:rPr>
      </w:pPr>
      <w:r>
        <w:rPr>
          <w:rFonts w:ascii="Calibri" w:hAnsi="Calibri"/>
          <w:color w:val="auto"/>
          <w:sz w:val="22"/>
          <w:lang w:val="en-GB"/>
        </w:rPr>
        <w:t xml:space="preserve">1 Ultracentrifugation (UCF): </w:t>
      </w:r>
    </w:p>
    <w:p>
      <w:pPr>
        <w:spacing w:line="360" w:lineRule="auto"/>
        <w:jc w:val="both"/>
        <w:rPr>
          <w:i/>
          <w:iCs/>
          <w:lang w:val="en-GB"/>
        </w:rPr>
      </w:pPr>
      <w:r>
        <w:rPr>
          <w:lang w:val="en-GB"/>
        </w:rPr>
        <w:t xml:space="preserve">Plasma was centrifugated at higher speed (12000g), in order to remove macrovesicles and apoptotic bodies. Afterwards, plasma was ultracentrifugated twice at 43,000 rpm on a Beckman Optima L-90K Ultracentrifuge (SW55Ti rotor). The pellet of purified exosomes was resuspended in 100 μl of cold phosphate-buffered saline (PBS). This protocol was modified based on the contributions of Rekker </w:t>
      </w:r>
      <w:r>
        <w:rPr>
          <w:i/>
          <w:lang w:val="en-GB"/>
        </w:rPr>
        <w:t>et al</w:t>
      </w:r>
      <w:r>
        <w:rPr>
          <w:lang w:val="en-GB"/>
        </w:rPr>
        <w:t xml:space="preserve">. </w:t>
      </w:r>
      <w:r>
        <w:rPr>
          <w:lang w:val="en-GB"/>
        </w:rPr>
        <w:fldChar w:fldCharType="begin"/>
      </w:r>
      <w:r>
        <w:rPr>
          <w:lang w:val="en-GB"/>
        </w:rPr>
        <w:instrText xml:space="preserve"> ADDIN EN.CITE &lt;EndNote&gt;&lt;Cite&gt;&lt;Author&gt;Rekker&lt;/Author&gt;&lt;Year&gt;2014&lt;/Year&gt;&lt;IDText&gt;Comparison of serum exosome isolation methods for microRNA profiling&lt;/IDText&gt;&lt;DisplayText&gt;(15)&lt;/DisplayText&gt;&lt;record&gt;&lt;dates&gt;&lt;pub-dates&gt;&lt;date&gt;Jan&lt;/date&gt;&lt;/pub-dates&gt;&lt;year&gt;2014&lt;/year&gt;&lt;/dates&gt;&lt;keywords&gt;&lt;keyword&gt;Exosomes&lt;/keyword&gt;&lt;keyword&gt;Humans&lt;/keyword&gt;&lt;keyword&gt;MicroRNAs&lt;/keyword&gt;&lt;keyword&gt;Real-Time Polymerase Chain Reaction&lt;/keyword&gt;&lt;keyword&gt;Reference Values&lt;/keyword&gt;&lt;keyword&gt;Ultracentrifugation&lt;/keyword&gt;&lt;/keywords&gt;&lt;urls&gt;&lt;related-urls&gt;&lt;url&gt;https://www.ncbi.nlm.nih.gov/pubmed/24183884&lt;/url&gt;&lt;/related-urls&gt;&lt;/urls&gt;&lt;isbn&gt;1873-2933&lt;/isbn&gt;&lt;titles&gt;&lt;title&gt;Comparison of serum exosome isolation methods for microRNA profiling&lt;/title&gt;&lt;secondary-title&gt;Clin Biochem&lt;/secondary-title&gt;&lt;/titles&gt;&lt;pages&gt;135-8&lt;/pages&gt;&lt;number&gt;1-2&lt;/number&gt;&lt;contributors&gt;&lt;authors&gt;&lt;author&gt;Rekker, K.&lt;/author&gt;&lt;author&gt;Saare, M.&lt;/author&gt;&lt;author&gt;Roost, A. M.&lt;/author&gt;&lt;author&gt;Kubo, A. L.&lt;/author&gt;&lt;author&gt;Zarovni, N.&lt;/author&gt;&lt;author&gt;Chiesi, A.&lt;/author&gt;&lt;author&gt;Salumets, A.&lt;/author&gt;&lt;author&gt;Peters, M.&lt;/author&gt;&lt;/authors&gt;&lt;/contributors&gt;&lt;edition&gt;2013/10/29&lt;/edition&gt;&lt;language&gt;eng&lt;/language&gt;&lt;added-date format="utc"&gt;1551012039&lt;/added-date&gt;&lt;ref-type name="Journal Article"&gt;17&lt;/ref-type&gt;&lt;rec-number&gt;35&lt;/rec-number&gt;&lt;last-updated-date format="utc"&gt;1551012039&lt;/last-updated-date&gt;&lt;accession-num&gt;24183884&lt;/accession-num&gt;&lt;electronic-resource-num&gt;10.1016/j.clinbiochem.2013.10.020&lt;/electronic-resource-num&gt;&lt;volume&gt;47&lt;/volume&gt;&lt;/record&gt;&lt;/Cite&gt;&lt;/EndNote&gt;</w:instrText>
      </w:r>
      <w:r>
        <w:rPr>
          <w:lang w:val="en-GB"/>
        </w:rPr>
        <w:fldChar w:fldCharType="separate"/>
      </w:r>
      <w:r>
        <w:rPr>
          <w:lang w:val="en-GB"/>
        </w:rPr>
        <w:t>(15)</w:t>
      </w:r>
      <w:r>
        <w:rPr>
          <w:lang w:val="en-GB"/>
        </w:rPr>
        <w:fldChar w:fldCharType="end"/>
      </w:r>
      <w:r>
        <w:rPr>
          <w:lang w:val="en-GB"/>
        </w:rPr>
        <w:t xml:space="preserve"> and Rani </w:t>
      </w:r>
      <w:r>
        <w:rPr>
          <w:i/>
          <w:lang w:val="en-GB"/>
        </w:rPr>
        <w:t>et al</w:t>
      </w:r>
      <w:r>
        <w:rPr>
          <w:lang w:val="en-GB"/>
        </w:rPr>
        <w:t xml:space="preserve">. </w:t>
      </w:r>
      <w:r>
        <w:fldChar w:fldCharType="begin"/>
      </w:r>
      <w:r>
        <w:instrText xml:space="preserve"> ADDIN EN.CITE &lt;EndNote&gt;&lt;Cite&gt;&lt;Author&gt;Rani&lt;/Author&gt;&lt;Year&gt;2015&lt;/Year&gt;&lt;IDText&gt;Mesenchymal Stem Cell-derived Extracellular Vesicles: Toward Cell-free Therapeutic Applications&lt;/IDText&gt;&lt;DisplayText&gt;(16)&lt;/DisplayText&gt;&lt;record&gt;&lt;dates&gt;&lt;pub-dates&gt;&lt;date&gt;May&lt;/date&gt;&lt;/pub-dates&gt;&lt;year&gt;2015&lt;/year&gt;&lt;/dates&gt;&lt;keywords&gt;&lt;keyword&gt;Animals&lt;/keyword&gt;&lt;keyword&gt;Cell-Derived Microparticles&lt;/keyword&gt;&lt;keyword&gt;Exosomes&lt;/keyword&gt;&lt;keyword&gt;Extracellular Vesicles&lt;/keyword&gt;&lt;keyword&gt;Humans&lt;/keyword&gt;&lt;keyword&gt;Mesenchymal Stem Cells&lt;/keyword&gt;&lt;keyword&gt;Paracrine Communication&lt;/keyword&gt;&lt;keyword&gt;Translational Medical Research&lt;/keyword&gt;&lt;/keywords&gt;&lt;urls&gt;&lt;related-urls&gt;&lt;url&gt;https://www.ncbi.nlm.nih.gov/pubmed/25868399&lt;/url&gt;&lt;/related-urls&gt;&lt;/urls&gt;&lt;isbn&gt;1525-0024&lt;/isbn&gt;&lt;custom2&gt;PMC4427881&lt;/custom2&gt;&lt;titles&gt;&lt;title&gt;Mesenchymal Stem Cell-derived Extracellular Vesicles: Toward Cell-free Therapeutic Applications&lt;/title&gt;&lt;secondary-title&gt;Mol Ther&lt;/secondary-title&gt;&lt;/titles&gt;&lt;pages&gt;812-823&lt;/pages&gt;&lt;number&gt;5&lt;/number&gt;&lt;contributors&gt;&lt;authors&gt;&lt;author&gt;Rani, S.&lt;/author&gt;&lt;author&gt;Ryan, A. E.&lt;/author&gt;&lt;author&gt;Griffin, M. D.&lt;/author&gt;&lt;author&gt;Ritter, T.&lt;/author&gt;&lt;/authors&gt;&lt;/contributors&gt;&lt;edition&gt;2015/03/19&lt;/edition&gt;&lt;language&gt;eng&lt;/language&gt;&lt;added-date format="utc"&gt;1560148442&lt;/added-date&gt;&lt;ref-type name="Journal Article"&gt;17&lt;/ref-type&gt;&lt;rec-number&gt;1506&lt;/rec-number&gt;&lt;last-updated-date format="utc"&gt;1560148442&lt;/last-updated-date&gt;&lt;accession-num&gt;25868399&lt;/accession-num&gt;&lt;electronic-resource-num&gt;10.1038/mt.2015.44&lt;/electronic-resource-num&gt;&lt;volume&gt;23&lt;/volume&gt;&lt;/record&gt;&lt;/Cite&gt;&lt;/EndNote&gt;</w:instrText>
      </w:r>
      <w:r>
        <w:fldChar w:fldCharType="separate"/>
      </w:r>
      <w:r>
        <w:rPr>
          <w:lang w:val="en-GB"/>
        </w:rPr>
        <w:t>(16)</w:t>
      </w:r>
      <w:r>
        <w:fldChar w:fldCharType="end"/>
      </w:r>
      <w:r>
        <w:rPr>
          <w:lang w:val="en-GB"/>
        </w:rPr>
        <w:t>, time and rpm conversions were made according to Beckman Coulter equivalences</w:t>
      </w:r>
      <w:r>
        <w:rPr>
          <w:i/>
          <w:iCs/>
          <w:color w:val="212121"/>
          <w:lang w:val="en-GB"/>
        </w:rPr>
        <w:t>.</w:t>
      </w:r>
    </w:p>
    <w:p>
      <w:pPr>
        <w:pStyle w:val="4"/>
        <w:spacing w:after="240"/>
        <w:jc w:val="both"/>
        <w:rPr>
          <w:rFonts w:ascii="Calibri" w:hAnsi="Calibri"/>
          <w:color w:val="auto"/>
          <w:lang w:val="en-GB"/>
        </w:rPr>
      </w:pPr>
      <w:r>
        <w:rPr>
          <w:rFonts w:ascii="Calibri" w:hAnsi="Calibri"/>
          <w:color w:val="auto"/>
          <w:sz w:val="22"/>
          <w:lang w:val="en-GB"/>
        </w:rPr>
        <w:t xml:space="preserve">2. Total exosome isolation (TEI): </w:t>
      </w:r>
    </w:p>
    <w:p>
      <w:pPr>
        <w:spacing w:line="360" w:lineRule="auto"/>
        <w:jc w:val="both"/>
        <w:rPr>
          <w:color w:val="212121"/>
          <w:lang w:val="en-GB"/>
        </w:rPr>
      </w:pPr>
      <w:r>
        <w:rPr>
          <w:rFonts w:cs="Calibri"/>
          <w:iCs/>
          <w:color w:val="212121"/>
          <w:lang w:val="en-GB"/>
        </w:rPr>
        <w:t xml:space="preserve">The Total Exosome Isolation kit from plasma </w:t>
      </w:r>
      <w:r>
        <w:rPr>
          <w:u w:val="single"/>
          <w:lang w:val="en-GB"/>
        </w:rPr>
        <w:t>(ThermoFisher Scientific)</w:t>
      </w:r>
      <w:r>
        <w:rPr>
          <w:rFonts w:cs="Calibri"/>
          <w:iCs/>
          <w:color w:val="212121"/>
          <w:lang w:val="en-GB"/>
        </w:rPr>
        <w:t xml:space="preserve"> was used according to the manufacturer´s instructions, with modifications recommended by</w:t>
      </w:r>
      <w:r>
        <w:rPr>
          <w:rFonts w:cs="Calibri"/>
          <w:i/>
          <w:iCs/>
          <w:color w:val="212121"/>
          <w:lang w:val="en-GB"/>
        </w:rPr>
        <w:t xml:space="preserve"> </w:t>
      </w:r>
      <w:r>
        <w:rPr>
          <w:rFonts w:cs="Calibri"/>
          <w:iCs/>
          <w:color w:val="212121"/>
          <w:lang w:val="en-GB"/>
        </w:rPr>
        <w:t xml:space="preserve">Lane </w:t>
      </w:r>
      <w:r>
        <w:rPr>
          <w:rFonts w:cs="Calibri"/>
          <w:i/>
          <w:iCs/>
          <w:color w:val="212121"/>
          <w:lang w:val="en-GB"/>
        </w:rPr>
        <w:t>et al</w:t>
      </w:r>
      <w:r>
        <w:rPr>
          <w:rFonts w:cs="Calibri"/>
          <w:iCs/>
          <w:color w:val="212121"/>
          <w:lang w:val="en-GB"/>
        </w:rPr>
        <w:t xml:space="preserve">. </w:t>
      </w:r>
      <w:r>
        <w:rPr>
          <w:rFonts w:cs="Calibri"/>
          <w:iCs/>
          <w:color w:val="212121"/>
        </w:rPr>
        <w:fldChar w:fldCharType="begin"/>
      </w:r>
      <w:r>
        <w:rPr>
          <w:rFonts w:cs="Calibri"/>
          <w:iCs/>
          <w:color w:val="212121"/>
          <w:lang w:val="en-GB"/>
        </w:rPr>
        <w:instrText xml:space="preserve"> ADDIN EN.CITE &lt;EndNote&gt;&lt;Cite&gt;&lt;Author&gt;Lane&lt;/Author&gt;&lt;Year&gt;2015&lt;/Year&gt;&lt;IDText&gt;Analysis of exosome purification methods using a model liposome system and tunable-resistive pulse sensing&lt;/IDText&gt;&lt;DisplayText&gt;(17)&lt;/DisplayText&gt;&lt;record&gt;&lt;dates&gt;&lt;pub-dates&gt;&lt;date&gt;Jan&lt;/date&gt;&lt;/pub-dates&gt;&lt;year&gt;2015&lt;/year&gt;&lt;/dates&gt;&lt;keywords&gt;&lt;keyword&gt;Cell Line, Tumor&lt;/keyword&gt;&lt;keyword&gt;Exosomes&lt;/keyword&gt;&lt;keyword&gt;Glycerylphosphorylcholine&lt;/keyword&gt;&lt;keyword&gt;Humans&lt;/keyword&gt;&lt;keyword&gt;Light&lt;/keyword&gt;&lt;keyword&gt;Liposomes&lt;/keyword&gt;&lt;keyword&gt;Models, Biological&lt;/keyword&gt;&lt;keyword&gt;Particle Size&lt;/keyword&gt;&lt;keyword&gt;Phosphatidylcholines&lt;/keyword&gt;&lt;keyword&gt;Scattering, Radiation&lt;/keyword&gt;&lt;keyword&gt;Ultracentrifugation&lt;/keyword&gt;&lt;/keywords&gt;&lt;urls&gt;&lt;related-urls&gt;&lt;url&gt;https://www.ncbi.nlm.nih.gov/pubmed/25559219&lt;/url&gt;&lt;/related-urls&gt;&lt;/urls&gt;&lt;isbn&gt;2045-2322&lt;/isbn&gt;&lt;custom2&gt;PMC4648344&lt;/custom2&gt;&lt;titles&gt;&lt;title&gt;Analysis of exosome purification methods using a model liposome system and tunable-resistive pulse sensing&lt;/title&gt;&lt;secondary-title&gt;Sci Rep&lt;/secondary-title&gt;&lt;/titles&gt;&lt;pages&gt;7639&lt;/pages&gt;&lt;contributors&gt;&lt;authors&gt;&lt;author&gt;Lane, R. E.&lt;/author&gt;&lt;author&gt;Korbie, D.&lt;/author&gt;&lt;author&gt;Anderson, W.&lt;/author&gt;&lt;author&gt;Vaidyanathan, R.&lt;/author&gt;&lt;author&gt;Trau, M.&lt;/author&gt;&lt;/authors&gt;&lt;/contributors&gt;&lt;edition&gt;2015/01/06&lt;/edition&gt;&lt;language&gt;eng&lt;/language&gt;&lt;added-date format="utc"&gt;1567370501&lt;/added-date&gt;&lt;ref-type name="Journal Article"&gt;17&lt;/ref-type&gt;&lt;rec-number&gt;62&lt;/rec-number&gt;&lt;last-updated-date format="utc"&gt;1567370501&lt;/last-updated-date&gt;&lt;accession-num&gt;25559219&lt;/accession-num&gt;&lt;electronic-resource-num&gt;10.1038/srep07639&lt;/electronic-resource-num&gt;&lt;volume&gt;5&lt;/volume&gt;&lt;/record&gt;&lt;/Cite&gt;&lt;/EndNote&gt;</w:instrText>
      </w:r>
      <w:r>
        <w:rPr>
          <w:rFonts w:cs="Calibri"/>
          <w:iCs/>
          <w:color w:val="212121"/>
        </w:rPr>
        <w:fldChar w:fldCharType="separate"/>
      </w:r>
      <w:r>
        <w:rPr>
          <w:rFonts w:cs="Calibri"/>
          <w:iCs/>
          <w:color w:val="212121"/>
        </w:rPr>
        <w:t>(17)</w:t>
      </w:r>
      <w:r>
        <w:rPr>
          <w:rFonts w:cs="Calibri"/>
          <w:iCs/>
          <w:color w:val="212121"/>
        </w:rPr>
        <w:fldChar w:fldCharType="end"/>
      </w:r>
      <w:r>
        <w:rPr>
          <w:rFonts w:cs="Calibri"/>
          <w:i/>
          <w:iCs/>
          <w:color w:val="212121"/>
        </w:rPr>
        <w:t xml:space="preserve"> </w:t>
      </w:r>
      <w:r>
        <w:rPr>
          <w:rFonts w:cs="Calibri"/>
          <w:iCs/>
          <w:color w:val="212121"/>
        </w:rPr>
        <w:t xml:space="preserve">and Van Deun </w:t>
      </w:r>
      <w:r>
        <w:rPr>
          <w:rFonts w:cs="Calibri"/>
          <w:i/>
          <w:iCs/>
          <w:color w:val="212121"/>
        </w:rPr>
        <w:t>et al</w:t>
      </w:r>
      <w:r>
        <w:rPr>
          <w:rFonts w:cs="Calibri"/>
          <w:iCs/>
          <w:color w:val="212121"/>
        </w:rPr>
        <w:t xml:space="preserve">. </w:t>
      </w:r>
      <w:r>
        <w:rPr>
          <w:rFonts w:cs="Calibri"/>
          <w:iCs/>
          <w:color w:val="212121"/>
        </w:rPr>
        <w:fldChar w:fldCharType="begin"/>
      </w:r>
      <w:r>
        <w:rPr>
          <w:rFonts w:cs="Calibri"/>
          <w:iCs/>
          <w:color w:val="212121"/>
        </w:rPr>
        <w:instrText xml:space="preserve"> ADDIN EN.CITE &lt;EndNote&gt;&lt;Cite&gt;&lt;Author&gt;Van Deun&lt;/Author&gt;&lt;Year&gt;2014&lt;/Year&gt;&lt;IDText&gt;The impact of disparate isolation methods for extracellular vesicles on downstream RNA profiling&lt;/IDText&gt;&lt;DisplayText&gt;(18)&lt;/DisplayText&gt;&lt;record&gt;&lt;keywords&gt;&lt;keyword&gt;ExoQuick&lt;/keyword&gt;&lt;keyword&gt;OptiPrep&lt;/keyword&gt;&lt;keyword&gt;exosomes&lt;/keyword&gt;&lt;keyword&gt;extracellular vesicles&lt;/keyword&gt;&lt;keyword&gt;omics&lt;/keyword&gt;&lt;keyword&gt;ultracentrifugation&lt;/keyword&gt;&lt;/keywords&gt;&lt;urls&gt;&lt;related-urls&gt;&lt;url&gt;https://www.ncbi.nlm.nih.gov/pubmed/25317274&lt;/url&gt;&lt;/related-urls&gt;&lt;/urls&gt;&lt;isbn&gt;2001-3078&lt;/isbn&gt;&lt;custom2&gt;PMC4169610&lt;/custom2&gt;&lt;titles&gt;&lt;title&gt;The impact of disparate isolation methods for extracellular vesicles on downstream RNA profiling&lt;/title&gt;&lt;secondary-title&gt;J Extracell Vesicles&lt;/secondary-title&gt;&lt;/titles&gt;&lt;contributors&gt;&lt;authors&gt;&lt;author&gt;Van Deun, J.&lt;/author&gt;&lt;author&gt;Mestdagh, P.&lt;/author&gt;&lt;author&gt;Sormunen, R.&lt;/author&gt;&lt;author&gt;Cocquyt, V.&lt;/author&gt;&lt;author&gt;Vermaelen, K.&lt;/author&gt;&lt;author&gt;Vandesompele, J.&lt;/author&gt;&lt;author&gt;Bracke, M.&lt;/author&gt;&lt;author&gt;De Wever, O.&lt;/author&gt;&lt;author&gt;Hendrix, A.&lt;/author&gt;&lt;/authors&gt;&lt;/contributors&gt;&lt;edition&gt;2014/09/18&lt;/edition&gt;&lt;language&gt;eng&lt;/language&gt;&lt;added-date format="utc"&gt;1567370559&lt;/added-date&gt;&lt;ref-type name="Journal Article"&gt;17&lt;/ref-type&gt;&lt;dates&gt;&lt;year&gt;2014&lt;/year&gt;&lt;/dates&gt;&lt;rec-number&gt;63&lt;/rec-number&gt;&lt;last-updated-date format="utc"&gt;1567370559&lt;/last-updated-date&gt;&lt;accession-num&gt;25317274&lt;/accession-num&gt;&lt;electronic-resource-num&gt;10.3402/jev.v3.24858&lt;/electronic-resource-num&gt;&lt;volume&gt;3&lt;/volume&gt;&lt;/record&gt;&lt;/Cite&gt;&lt;/EndNote&gt;</w:instrText>
      </w:r>
      <w:r>
        <w:rPr>
          <w:rFonts w:cs="Calibri"/>
          <w:iCs/>
          <w:color w:val="212121"/>
        </w:rPr>
        <w:fldChar w:fldCharType="separate"/>
      </w:r>
      <w:r>
        <w:rPr>
          <w:rFonts w:cs="Calibri"/>
          <w:iCs/>
          <w:color w:val="212121"/>
          <w:lang w:val="en-GB"/>
        </w:rPr>
        <w:t>(18)</w:t>
      </w:r>
      <w:r>
        <w:rPr>
          <w:rFonts w:cs="Calibri"/>
          <w:iCs/>
          <w:color w:val="212121"/>
        </w:rPr>
        <w:fldChar w:fldCharType="end"/>
      </w:r>
      <w:r>
        <w:rPr>
          <w:rFonts w:cs="Calibri"/>
          <w:i/>
          <w:iCs/>
          <w:color w:val="212121"/>
          <w:lang w:val="en-GB"/>
        </w:rPr>
        <w:t xml:space="preserve"> </w:t>
      </w:r>
      <w:r>
        <w:rPr>
          <w:rFonts w:cs="Calibri"/>
          <w:b/>
          <w:bCs/>
          <w:i/>
          <w:iCs/>
          <w:color w:val="212121"/>
          <w:lang w:val="en-GB"/>
        </w:rPr>
        <w:t xml:space="preserve">. </w:t>
      </w:r>
      <w:r>
        <w:rPr>
          <w:rFonts w:cs="Calibri"/>
          <w:color w:val="212121"/>
          <w:lang w:val="en-GB"/>
        </w:rPr>
        <w:t>P</w:t>
      </w:r>
      <w:r>
        <w:rPr>
          <w:color w:val="212121"/>
          <w:lang w:val="en-GB"/>
        </w:rPr>
        <w:t>roteinase K was added to the clarified plasma by incubating it at 37</w:t>
      </w:r>
      <w:r>
        <w:rPr>
          <w:lang w:val="en-GB"/>
        </w:rPr>
        <w:t>°C</w:t>
      </w:r>
      <w:r>
        <w:rPr>
          <w:color w:val="212121"/>
          <w:lang w:val="en-GB"/>
        </w:rPr>
        <w:t xml:space="preserve"> to eliminate plasma proteins, to maximize the purity of the exosomes and to dissociate the extracellular RNAs of protein complexes. Finally, exosome precipitation reagent) was added to precipitate the exosomes and incubated at 4</w:t>
      </w:r>
      <w:r>
        <w:rPr>
          <w:lang w:val="en-GB"/>
        </w:rPr>
        <w:t>°C</w:t>
      </w:r>
      <w:r>
        <w:rPr>
          <w:color w:val="212121"/>
          <w:lang w:val="en-GB"/>
        </w:rPr>
        <w:t xml:space="preserve"> overnight. Exosomes were resuspended in 100 </w:t>
      </w:r>
      <w:r>
        <w:rPr>
          <w:color w:val="212121"/>
        </w:rPr>
        <w:t>μ</w:t>
      </w:r>
      <w:r>
        <w:rPr>
          <w:color w:val="212121"/>
          <w:lang w:val="en-GB"/>
        </w:rPr>
        <w:t>l of PBS.</w:t>
      </w:r>
    </w:p>
    <w:p>
      <w:pPr>
        <w:pStyle w:val="4"/>
        <w:spacing w:after="240"/>
        <w:rPr>
          <w:rFonts w:ascii="Calibri" w:hAnsi="Calibri" w:cs="Calibri"/>
          <w:color w:val="auto"/>
          <w:sz w:val="22"/>
          <w:lang w:val="en-GB"/>
        </w:rPr>
      </w:pPr>
      <w:r>
        <w:rPr>
          <w:rFonts w:ascii="Calibri" w:hAnsi="Calibri" w:cs="Calibri"/>
          <w:color w:val="auto"/>
          <w:sz w:val="22"/>
          <w:lang w:val="en-GB"/>
        </w:rPr>
        <w:t xml:space="preserve">3. Mircury (MIR): </w:t>
      </w:r>
    </w:p>
    <w:p>
      <w:pPr>
        <w:spacing w:line="360" w:lineRule="auto"/>
        <w:jc w:val="both"/>
        <w:rPr>
          <w:b/>
          <w:bCs/>
          <w:color w:val="212121"/>
          <w:lang w:val="en-GB"/>
        </w:rPr>
      </w:pPr>
      <w:r>
        <w:rPr>
          <w:color w:val="212121"/>
          <w:lang w:val="en-GB"/>
        </w:rPr>
        <w:t xml:space="preserve">The Mircury exosome isolation kit - Serum and Plasma, (Exiqon) is a precipitation-based method which include a pretreatment of the plasma with thrombin to remove possible fibrin residues. We followed manufacturer´s instruction, and exosomes were resuspended in 300 </w:t>
      </w:r>
      <w:r>
        <w:rPr>
          <w:color w:val="212121"/>
        </w:rPr>
        <w:t>μ</w:t>
      </w:r>
      <w:r>
        <w:rPr>
          <w:color w:val="212121"/>
          <w:lang w:val="en-GB"/>
        </w:rPr>
        <w:t>l of Resuspension buffer under agitation at 37°C.</w:t>
      </w:r>
    </w:p>
    <w:p>
      <w:pPr>
        <w:pStyle w:val="4"/>
        <w:spacing w:after="240"/>
        <w:rPr>
          <w:rFonts w:ascii="Calibri" w:hAnsi="Calibri" w:cs="Calibri"/>
          <w:color w:val="auto"/>
          <w:sz w:val="22"/>
          <w:lang w:val="en-GB"/>
        </w:rPr>
      </w:pPr>
      <w:r>
        <w:rPr>
          <w:rFonts w:ascii="Calibri" w:hAnsi="Calibri" w:cs="Calibri"/>
          <w:color w:val="auto"/>
          <w:sz w:val="22"/>
          <w:lang w:val="en-GB"/>
        </w:rPr>
        <w:t xml:space="preserve">4. Norgen (NOR): </w:t>
      </w:r>
    </w:p>
    <w:p>
      <w:pPr>
        <w:spacing w:line="360" w:lineRule="auto"/>
        <w:jc w:val="both"/>
        <w:rPr>
          <w:rFonts w:cs="Calibri"/>
          <w:color w:val="212121"/>
          <w:lang w:val="en-GB"/>
        </w:rPr>
      </w:pPr>
      <w:r>
        <w:rPr>
          <w:rFonts w:cs="Calibri"/>
          <w:color w:val="212121"/>
          <w:lang w:val="en-GB"/>
        </w:rPr>
        <w:t>We used the commercial kit Norgen´s Plasma / Exosome Serum and Free-Circulating RNA isolation Mini Kit (Norgen, Biotek corp.), to isolate exosomes by a precipitation-based method followed by a purification step in a column chromatography. The kit was used according to the manufacturer's instructions.</w:t>
      </w:r>
    </w:p>
    <w:p>
      <w:pPr>
        <w:pStyle w:val="4"/>
        <w:spacing w:after="240"/>
        <w:rPr>
          <w:rFonts w:cs="Calibri"/>
          <w:lang w:val="en-GB"/>
        </w:rPr>
      </w:pPr>
      <w:r>
        <w:rPr>
          <w:rFonts w:ascii="Calibri" w:hAnsi="Calibri" w:cs="Calibri"/>
          <w:color w:val="auto"/>
          <w:sz w:val="22"/>
          <w:lang w:val="en-GB"/>
        </w:rPr>
        <w:t xml:space="preserve">5. Two custom polyethylene glycol (PEG) based protocols: </w:t>
      </w:r>
    </w:p>
    <w:p>
      <w:pPr>
        <w:spacing w:line="360" w:lineRule="auto"/>
        <w:jc w:val="both"/>
        <w:rPr>
          <w:lang w:val="en-GB"/>
        </w:rPr>
      </w:pPr>
      <w:r>
        <w:rPr>
          <w:color w:val="212121"/>
          <w:lang w:val="en-GB"/>
        </w:rPr>
        <w:t xml:space="preserve">Two custom protocols were used with different molecular weights of PEG: </w:t>
      </w:r>
      <w:r>
        <w:rPr>
          <w:lang w:val="en-GB"/>
        </w:rPr>
        <w:t>6KDa</w:t>
      </w:r>
      <w:r>
        <w:rPr>
          <w:color w:val="212121"/>
          <w:lang w:val="en-GB"/>
        </w:rPr>
        <w:t xml:space="preserve"> (PEG6) and 10 Kda (PEG10). The PEG6 was performed as described</w:t>
      </w:r>
      <w:r>
        <w:rPr>
          <w:i/>
          <w:iCs/>
          <w:color w:val="212121"/>
          <w:lang w:val="en-GB"/>
        </w:rPr>
        <w:t xml:space="preserve"> </w:t>
      </w:r>
      <w:r>
        <w:rPr>
          <w:color w:val="212121"/>
          <w:lang w:val="en-GB"/>
        </w:rPr>
        <w:t xml:space="preserve">by Andreu </w:t>
      </w:r>
      <w:r>
        <w:rPr>
          <w:i/>
          <w:iCs/>
          <w:color w:val="212121"/>
          <w:lang w:val="en-GB"/>
        </w:rPr>
        <w:t>et al.</w:t>
      </w:r>
      <w:r>
        <w:rPr>
          <w:color w:val="212121"/>
          <w:lang w:val="en-GB"/>
        </w:rPr>
        <w:t xml:space="preserve"> </w:t>
      </w:r>
      <w:r>
        <w:fldChar w:fldCharType="begin"/>
      </w:r>
      <w:r>
        <w:rPr>
          <w:iCs/>
          <w:color w:val="212121"/>
          <w:lang w:val="en-GB"/>
        </w:rPr>
        <w:instrText xml:space="preserve"> ADDIN EN.CITE &lt;EndNote&gt;&lt;Cite&gt;&lt;Author&gt;Andreu&lt;/Author&gt;&lt;Year&gt;2016&lt;/Year&gt;&lt;IDText&gt;Comparative analysis of EV isolation procedures for miRNAs detection in serum samples&lt;/IDText&gt;&lt;DisplayText&gt;(19)&lt;/DisplayText&gt;&lt;record&gt;&lt;urls&gt;&lt;related-urls&gt;&lt;url&gt;https://www.ncbi.nlm.nih.gov/pubmed/27330048&lt;/url&gt;&lt;/related-urls&gt;&lt;/urls&gt;&lt;custom2&gt;PMC4916259&lt;/custom2&gt;&lt;titles&gt;&lt;title&gt;Comparative analysis of EV isolation procedures for miRNAs detection in serum samples&lt;/title&gt;&lt;secondary-title&gt;J Extracell Vesicles&lt;/secondary-title&gt;&lt;/titles&gt;&lt;pages&gt;31655&lt;/pages&gt;&lt;contributors&gt;&lt;authors&gt;&lt;author&gt;Andreu, Z.&lt;/author&gt;&lt;author&gt;Rivas, E.&lt;/author&gt;&lt;author&gt;Sanguino-Pascual, A.&lt;/author&gt;&lt;author&gt;Lamana, A.&lt;/author&gt;&lt;author&gt;Marazuela, M.&lt;/author&gt;&lt;author&gt;González-Alvaro, I.&lt;/author&gt;&lt;author&gt;Sánchez-Madrid, F.&lt;/author&gt;&lt;author&gt;de la Fuente, H.&lt;/author&gt;&lt;author&gt;Yáñez-Mó, M.&lt;/author&gt;&lt;/authors&gt;&lt;/contributors&gt;&lt;edition&gt;2016/06/20&lt;/edition&gt;&lt;language&gt;eng&lt;/language&gt;&lt;added-date format="utc"&gt;1551011242&lt;/added-date&gt;&lt;ref-type name="Journal Article"&gt;17&lt;/ref-type&gt;&lt;dates&gt;&lt;year&gt;2016&lt;/year&gt;&lt;/dates&gt;&lt;rec-number&gt;33&lt;/rec-number&gt;&lt;last-updated-date format="utc"&gt;1551011242&lt;/last-updated-date&gt;&lt;accession-num&gt;27330048&lt;/accession-num&gt;&lt;volume&gt;5&lt;/volume&gt;&lt;/record&gt;&lt;/Cite&gt;&lt;/EndNote&gt;</w:instrText>
      </w:r>
      <w:r>
        <w:rPr>
          <w:iCs/>
          <w:color w:val="212121"/>
        </w:rPr>
        <w:fldChar w:fldCharType="separate"/>
      </w:r>
      <w:r>
        <w:rPr>
          <w:color w:val="212121"/>
          <w:lang w:val="en-GB"/>
        </w:rPr>
        <w:t>(19)</w:t>
      </w:r>
      <w:r>
        <w:fldChar w:fldCharType="end"/>
      </w:r>
      <w:r>
        <w:rPr>
          <w:color w:val="212121"/>
          <w:lang w:val="en-GB"/>
        </w:rPr>
        <w:t>.</w:t>
      </w:r>
      <w:r>
        <w:rPr>
          <w:i/>
          <w:iCs/>
          <w:color w:val="212121"/>
          <w:lang w:val="en-GB"/>
        </w:rPr>
        <w:t xml:space="preserve"> </w:t>
      </w:r>
      <w:r>
        <w:rPr>
          <w:color w:val="212121"/>
          <w:lang w:val="en-GB"/>
        </w:rPr>
        <w:t xml:space="preserve">Briefly; </w:t>
      </w:r>
      <w:r>
        <w:rPr>
          <w:rFonts w:cs="Calibri"/>
          <w:color w:val="212121"/>
          <w:lang w:val="en-GB"/>
        </w:rPr>
        <w:t xml:space="preserve">1 ml of plasma was mixed with 400 </w:t>
      </w:r>
      <w:r>
        <w:rPr>
          <w:rFonts w:cs="Calibri"/>
          <w:color w:val="212121"/>
        </w:rPr>
        <w:t>μ</w:t>
      </w:r>
      <w:r>
        <w:rPr>
          <w:rFonts w:cs="Calibri"/>
          <w:color w:val="212121"/>
          <w:lang w:val="en-GB"/>
        </w:rPr>
        <w:t xml:space="preserve">l of 50% PEG 6000 Da previously prepared in 375 mM NaCl. It was incubated 30 minutes on ice, centrifuged at 1500g for 30 minutes at </w:t>
      </w:r>
      <w:r>
        <w:rPr>
          <w:lang w:val="en-GB"/>
        </w:rPr>
        <w:t>4°C</w:t>
      </w:r>
      <w:r>
        <w:rPr>
          <w:rFonts w:cs="Calibri"/>
          <w:color w:val="212121"/>
          <w:lang w:val="en-GB"/>
        </w:rPr>
        <w:t xml:space="preserve"> and then the supernatant was discarded to remove the PEG residues. Finally, the pellet was resuspended in 200 </w:t>
      </w:r>
      <w:r>
        <w:rPr>
          <w:rFonts w:cs="Calibri"/>
          <w:color w:val="212121"/>
        </w:rPr>
        <w:t>μ</w:t>
      </w:r>
      <w:r>
        <w:rPr>
          <w:rFonts w:cs="Calibri"/>
          <w:color w:val="212121"/>
          <w:lang w:val="en-GB"/>
        </w:rPr>
        <w:t>l of PBS. In the case of the PEG10, 50% PEG 10000 Da was also used, but in deionized water</w:t>
      </w:r>
      <w:r>
        <w:rPr>
          <w:rFonts w:cs="Calibri"/>
          <w:i/>
          <w:iCs/>
          <w:color w:val="212121"/>
          <w:lang w:val="en-GB"/>
        </w:rPr>
        <w:t xml:space="preserve"> </w:t>
      </w:r>
      <w:r>
        <w:fldChar w:fldCharType="begin"/>
      </w:r>
      <w:r>
        <w:rPr>
          <w:rFonts w:cs="Calibri"/>
          <w:iCs/>
          <w:color w:val="212121"/>
          <w:lang w:val="en-GB"/>
        </w:rPr>
        <w:instrText xml:space="preserve"> ADDIN EN.CITE &lt;EndNote&gt;&lt;Cite&gt;&lt;Author&gt;Weng&lt;/Author&gt;&lt;Year&gt;2016&lt;/Year&gt;&lt;IDText&gt;Effective isolation of exosomes with polyethylene glycol from cell culture supernatant for in-depth proteome profiling&lt;/IDText&gt;&lt;DisplayText&gt;(20)&lt;/DisplayText&gt;&lt;record&gt;&lt;dates&gt;&lt;pub-dates&gt;&lt;date&gt;Aug&lt;/date&gt;&lt;/pub-dates&gt;&lt;year&gt;2016&lt;/year&gt;&lt;/dates&gt;&lt;urls&gt;&lt;related-urls&gt;&lt;url&gt;https://www.ncbi.nlm.nih.gov/pubmed/27229443&lt;/url&gt;&lt;/related-urls&gt;&lt;/urls&gt;&lt;isbn&gt;1364-5528&lt;/isbn&gt;&lt;titles&gt;&lt;title&gt;Effective isolation of exosomes with polyethylene glycol from cell culture supernatant for in-depth proteome profiling&lt;/title&gt;&lt;secondary-title&gt;Analyst&lt;/secondary-title&gt;&lt;/titles&gt;&lt;pages&gt;4640-6&lt;/pages&gt;&lt;number&gt;15&lt;/number&gt;&lt;contributors&gt;&lt;authors&gt;&lt;author&gt;Weng, Y.&lt;/author&gt;&lt;author&gt;Sui, Z.&lt;/author&gt;&lt;author&gt;Shan, Y.&lt;/author&gt;&lt;author&gt;Hu, Y.&lt;/author&gt;&lt;author&gt;Chen, Y.&lt;/author&gt;&lt;author&gt;Zhang, L.&lt;/author&gt;&lt;author&gt;Zhang, Y.&lt;/author&gt;&lt;/authors&gt;&lt;/contributors&gt;&lt;edition&gt;2016/05/27&lt;/edition&gt;&lt;language&gt;eng&lt;/language&gt;&lt;added-date format="utc"&gt;1551011260&lt;/added-date&gt;&lt;ref-type name="Journal Article"&gt;17&lt;/ref-type&gt;&lt;rec-number&gt;34&lt;/rec-number&gt;&lt;last-updated-date format="utc"&gt;1551011260&lt;/last-updated-date&gt;&lt;accession-num&gt;27229443&lt;/accession-num&gt;&lt;electronic-resource-num&gt;10.1039/c6an00892e&lt;/electronic-resource-num&gt;&lt;volume&gt;141&lt;/volume&gt;&lt;/record&gt;&lt;/Cite&gt;&lt;/EndNote&gt;</w:instrText>
      </w:r>
      <w:r>
        <w:rPr>
          <w:rFonts w:cs="Calibri"/>
          <w:iCs/>
          <w:color w:val="212121"/>
        </w:rPr>
        <w:fldChar w:fldCharType="separate"/>
      </w:r>
      <w:r>
        <w:rPr>
          <w:rFonts w:cs="Calibri"/>
          <w:color w:val="212121"/>
          <w:lang w:val="en-GB"/>
        </w:rPr>
        <w:t>(20)</w:t>
      </w:r>
      <w:r>
        <w:fldChar w:fldCharType="end"/>
      </w:r>
      <w:r>
        <w:rPr>
          <w:rFonts w:cs="Calibri"/>
          <w:color w:val="212121"/>
          <w:lang w:val="en-GB"/>
        </w:rPr>
        <w:t xml:space="preserve">. 250 </w:t>
      </w:r>
      <w:r>
        <w:rPr>
          <w:rFonts w:cs="Calibri"/>
          <w:color w:val="212121"/>
        </w:rPr>
        <w:t>μ</w:t>
      </w:r>
      <w:r>
        <w:rPr>
          <w:rFonts w:cs="Calibri"/>
          <w:color w:val="212121"/>
          <w:lang w:val="en-GB"/>
        </w:rPr>
        <w:t xml:space="preserve">l of PEG was added to 1 ml of plasma, incubated 2h at </w:t>
      </w:r>
      <w:r>
        <w:rPr>
          <w:lang w:val="en-GB"/>
        </w:rPr>
        <w:t>4°C</w:t>
      </w:r>
      <w:r>
        <w:rPr>
          <w:rFonts w:cs="Calibri"/>
          <w:color w:val="212121"/>
          <w:lang w:val="en-GB"/>
        </w:rPr>
        <w:t xml:space="preserve"> and centrifuged at 3000g and at </w:t>
      </w:r>
      <w:r>
        <w:rPr>
          <w:lang w:val="en-GB"/>
        </w:rPr>
        <w:t>4°C</w:t>
      </w:r>
      <w:r>
        <w:rPr>
          <w:rFonts w:cs="Calibri"/>
          <w:color w:val="212121"/>
          <w:lang w:val="en-GB"/>
        </w:rPr>
        <w:t xml:space="preserve">. Finally, the pellet was resuspended in 200 </w:t>
      </w:r>
      <w:r>
        <w:rPr>
          <w:rFonts w:cs="Calibri"/>
          <w:color w:val="212121"/>
        </w:rPr>
        <w:t>μ</w:t>
      </w:r>
      <w:r>
        <w:rPr>
          <w:rFonts w:cs="Calibri"/>
          <w:color w:val="212121"/>
          <w:lang w:val="en-GB"/>
        </w:rPr>
        <w:t>l of PBS.</w:t>
      </w:r>
    </w:p>
    <w:p>
      <w:pPr>
        <w:pStyle w:val="3"/>
        <w:spacing w:line="360" w:lineRule="auto"/>
        <w:rPr>
          <w:rFonts w:ascii="Calibri" w:hAnsi="Calibri"/>
          <w:b/>
          <w:bCs/>
          <w:color w:val="auto"/>
          <w:sz w:val="22"/>
          <w:szCs w:val="22"/>
          <w:lang w:val="en-GB"/>
        </w:rPr>
      </w:pPr>
      <w:r>
        <w:rPr>
          <w:rFonts w:ascii="Calibri" w:hAnsi="Calibri"/>
          <w:b/>
          <w:bCs/>
          <w:color w:val="auto"/>
          <w:sz w:val="22"/>
          <w:szCs w:val="22"/>
          <w:lang w:val="en-GB"/>
        </w:rPr>
        <w:t>Protein quantification</w:t>
      </w:r>
    </w:p>
    <w:p>
      <w:pPr>
        <w:spacing w:line="360" w:lineRule="auto"/>
        <w:jc w:val="both"/>
        <w:rPr>
          <w:lang w:val="en-GB"/>
        </w:rPr>
      </w:pPr>
      <w:r>
        <w:rPr>
          <w:lang w:val="en-GB"/>
        </w:rPr>
        <w:t>Samples were lysed in 2% Sodium Dodecyl Sulfate buffer in PBS with protease inhibitors (Complete Mini, Roche, Indianapolis, IN, USA) and protein concentration was determined by the Bicinchoninic acid (BCA) protein assay (Pierce BCA protein assay, Thermo Scientific, Rockford, IL, USA). Total protein concentrations were determined using a standard linear curve established with bovine serum albumin.</w:t>
      </w:r>
    </w:p>
    <w:p>
      <w:pPr>
        <w:pStyle w:val="3"/>
        <w:spacing w:line="360" w:lineRule="auto"/>
        <w:jc w:val="both"/>
        <w:rPr>
          <w:rFonts w:ascii="Calibri" w:hAnsi="Calibri"/>
          <w:b/>
          <w:bCs/>
          <w:color w:val="auto"/>
          <w:sz w:val="22"/>
          <w:szCs w:val="22"/>
          <w:lang w:val="en-US"/>
        </w:rPr>
      </w:pPr>
      <w:r>
        <w:rPr>
          <w:rFonts w:ascii="Calibri" w:hAnsi="Calibri"/>
          <w:b/>
          <w:bCs/>
          <w:color w:val="auto"/>
          <w:sz w:val="22"/>
          <w:szCs w:val="22"/>
          <w:lang w:val="en-US"/>
        </w:rPr>
        <w:t>RNA extraction</w:t>
      </w:r>
    </w:p>
    <w:p>
      <w:pPr>
        <w:spacing w:line="360" w:lineRule="auto"/>
        <w:jc w:val="both"/>
        <w:rPr>
          <w:lang w:val="en-US"/>
        </w:rPr>
      </w:pPr>
      <w:r>
        <w:rPr>
          <w:lang w:val="en-US"/>
        </w:rPr>
        <w:t>Total RNA including smRNAs were isolated from plasma and Pheripheral blood mononuclear cells using two different kits:</w:t>
      </w:r>
    </w:p>
    <w:p>
      <w:pPr>
        <w:spacing w:line="360" w:lineRule="auto"/>
        <w:jc w:val="both"/>
        <w:rPr>
          <w:rFonts w:ascii="Calibri (Cuerpo)" w:hAnsi="Calibri (Cuerpo)" w:cs="Calibri (Cuerpo)"/>
          <w:color w:val="212121"/>
          <w:lang w:val="en-GB"/>
        </w:rPr>
      </w:pPr>
      <w:r>
        <w:rPr>
          <w:lang w:val="en-US"/>
        </w:rPr>
        <w:t xml:space="preserve">4.1. miRNeasy Mini kit (Qiagen), which is a phenol-based procedure, following manufacturer´s instructions. Previously isolated exosomes were lysed by the addition of Qiazol. </w:t>
      </w:r>
      <w:r>
        <w:rPr>
          <w:iCs/>
          <w:lang w:val="en-US"/>
        </w:rPr>
        <w:t>Then, e</w:t>
      </w:r>
      <w:r>
        <w:rPr>
          <w:iCs/>
          <w:color w:val="212121"/>
          <w:lang w:val="en-GB"/>
        </w:rPr>
        <w:t>thanol was added to the aqueous phase to precipitate the RNA, according to the concentrations indicated by the manufacturer.</w:t>
      </w:r>
      <w:r>
        <w:rPr>
          <w:color w:val="212121"/>
          <w:lang w:val="en-GB"/>
        </w:rPr>
        <w:t xml:space="preserve"> Samples were also processed by silica columns where DNAse treatment was performed. </w:t>
      </w:r>
    </w:p>
    <w:p>
      <w:pPr>
        <w:spacing w:line="360" w:lineRule="auto"/>
        <w:jc w:val="both"/>
        <w:rPr>
          <w:u w:val="single"/>
          <w:lang w:val="en-US"/>
        </w:rPr>
      </w:pPr>
      <w:r>
        <w:rPr>
          <w:lang w:val="en-US"/>
        </w:rPr>
        <w:t xml:space="preserve">4.2. Plasma/Serum Exosome and Free-Circulating RNA Isolation Mini Kit (Norgen) which works for isolating any size of RNA from extracellular vesicles such as miRNAs and free-circulating RNAs, were used following manufacturer´s instructions. </w:t>
      </w:r>
    </w:p>
    <w:p>
      <w:pPr>
        <w:spacing w:line="360" w:lineRule="auto"/>
        <w:jc w:val="both"/>
        <w:rPr>
          <w:lang w:val="en-US"/>
        </w:rPr>
      </w:pPr>
      <w:r>
        <w:rPr>
          <w:lang w:val="en-US"/>
        </w:rPr>
        <w:t xml:space="preserve">RNA concentration was measured by Nanodrop and RNA size distribution was evaluated by the Bioanalyzer 2100 with Agilent RNA 6000 Pico kit (Agilent, catalog no. 5067-1513). </w:t>
      </w:r>
    </w:p>
    <w:p>
      <w:pPr>
        <w:pStyle w:val="3"/>
        <w:spacing w:line="360" w:lineRule="auto"/>
        <w:rPr>
          <w:rFonts w:ascii="Calibri" w:hAnsi="Calibri"/>
          <w:b/>
          <w:color w:val="auto"/>
          <w:sz w:val="22"/>
          <w:szCs w:val="22"/>
          <w:lang w:val="en-US"/>
        </w:rPr>
      </w:pPr>
      <w:r>
        <w:rPr>
          <w:rFonts w:ascii="Calibri" w:hAnsi="Calibri"/>
          <w:b/>
          <w:color w:val="auto"/>
          <w:sz w:val="22"/>
          <w:szCs w:val="22"/>
          <w:lang w:val="en-US"/>
        </w:rPr>
        <w:t>Sequencing</w:t>
      </w:r>
    </w:p>
    <w:p>
      <w:pPr>
        <w:spacing w:line="360" w:lineRule="auto"/>
        <w:jc w:val="both"/>
        <w:rPr>
          <w:lang w:val="en-US"/>
        </w:rPr>
      </w:pPr>
      <w:r>
        <w:rPr>
          <w:lang w:val="en-GB"/>
        </w:rPr>
        <w:t xml:space="preserve">SmRNA library synthesis and sequencing were performed at the Centre for Genomic Regulation at Barcelona (Spain). </w:t>
      </w:r>
      <w:r>
        <w:rPr>
          <w:lang w:val="en-US"/>
        </w:rPr>
        <w:t xml:space="preserve">SmRNA library was performed with a high sensitivity kit for miRNA analysis in exosomes, the TailorMix miRNA Sample Preparation Kit (SeqMatic, ref. TM302), according to the manufacturer's protocol. Briefly, 3’ adapters and subsequently 5’ adapters were ligated to RNA. cDNA was synthesized and further amplified by PCR using indexed adapters. Finally, libraries were size selected using 6% Novex® TBE Gels (ref. EC6265BOX, Life Technologies). </w:t>
      </w:r>
      <w:r>
        <w:rPr>
          <w:rFonts w:cs="Calibri"/>
          <w:lang w:val="en-US"/>
        </w:rPr>
        <w:t>Fragments with insert sizes of 18 to 36 bp were selected, and DNA was precipitated</w:t>
      </w:r>
      <w:r>
        <w:rPr>
          <w:color w:val="000000"/>
          <w:lang w:val="en-US" w:eastAsia="es-ES"/>
        </w:rPr>
        <w:t xml:space="preserve"> and eluted in 10 µl elution buffer. </w:t>
      </w:r>
      <w:r>
        <w:rPr>
          <w:lang w:val="en-US"/>
        </w:rPr>
        <w:t>Final libraries were analyzed using Agilent DNA 1000 chip to estimate the quantity and check size distribution, and were then quantified by qPCR using the KAPA Library Quantification Kit (ref. KK4835, KapaBiosystems) prior to amplification with Illumina’s cBot. Sequencing was performed in an Illumina HiSeq2500, Single Read, 50nts.</w:t>
      </w:r>
    </w:p>
    <w:p>
      <w:pPr>
        <w:pStyle w:val="3"/>
        <w:spacing w:line="360" w:lineRule="auto"/>
        <w:rPr>
          <w:rFonts w:ascii="Calibri" w:hAnsi="Calibri"/>
          <w:b/>
          <w:color w:val="auto"/>
          <w:sz w:val="22"/>
          <w:szCs w:val="22"/>
          <w:lang w:val="en-US"/>
        </w:rPr>
      </w:pPr>
      <w:r>
        <w:rPr>
          <w:rFonts w:ascii="Calibri" w:hAnsi="Calibri"/>
          <w:b/>
          <w:color w:val="auto"/>
          <w:sz w:val="22"/>
          <w:szCs w:val="22"/>
          <w:lang w:val="en-US"/>
        </w:rPr>
        <w:t>Bioinformatic analysis</w:t>
      </w:r>
    </w:p>
    <w:p>
      <w:pPr>
        <w:tabs>
          <w:tab w:val="left" w:pos="3444"/>
        </w:tabs>
        <w:spacing w:line="360" w:lineRule="auto"/>
        <w:jc w:val="both"/>
        <w:rPr>
          <w:lang w:val="en-US"/>
        </w:rPr>
      </w:pPr>
      <w:r>
        <w:rPr>
          <w:lang w:val="en-US"/>
        </w:rPr>
        <w:t>The raw data were initially filtered out for reads with ambiguous base calls, which did not meet the Illumina chastity filter based on quality measures and reads were sorted on sample type based on matches to the multiplex tags. Quality control of the remaining sequences was performed by using FastQC (v0.11.3)</w:t>
      </w:r>
      <w:r>
        <w:rPr>
          <w:lang w:val="en-US"/>
        </w:rPr>
        <w:fldChar w:fldCharType="begin"/>
      </w:r>
      <w:r>
        <w:rPr>
          <w:lang w:val="en-US"/>
        </w:rPr>
        <w:instrText xml:space="preserve"> ADDIN EN.CITE &lt;EndNote&gt;&lt;Cite&gt;&lt;Author&gt;Simon&lt;/Author&gt;&lt;Year&gt;2016&lt;/Year&gt;&lt;IDText&gt;FastQC—A Quality Control Tool for High Throughput Sequence Data&lt;/IDText&gt;&lt;DisplayText&gt;(21)&lt;/DisplayText&gt;&lt;record&gt;&lt;urls&gt;&lt;related-urls&gt;&lt;url&gt;https://www.bioinformatics.babraham.ac.uk/projects/fastqc/&lt;/url&gt;&lt;/related-urls&gt;&lt;/urls&gt;&lt;titles&gt;&lt;title&gt;FastQC—A Quality Control Tool for High Throughput Sequence Data&lt;/title&gt;&lt;/titles&gt;&lt;contributors&gt;&lt;authors&gt;&lt;author&gt;Simon Andrews&lt;/author&gt;&lt;/authors&gt;&lt;/contributors&gt;&lt;added-date format="utc"&gt;1543318589&lt;/added-date&gt;&lt;ref-type name="Computer Program"&gt;9&lt;/ref-type&gt;&lt;dates&gt;&lt;year&gt;2016&lt;/year&gt;&lt;/dates&gt;&lt;rec-number&gt;1349&lt;/rec-number&gt;&lt;last-updated-date format="utc"&gt;1543318898&lt;/last-updated-date&gt;&lt;/record&gt;&lt;/Cite&gt;&lt;/EndNote&gt;</w:instrText>
      </w:r>
      <w:r>
        <w:rPr>
          <w:lang w:val="en-US"/>
        </w:rPr>
        <w:fldChar w:fldCharType="separate"/>
      </w:r>
      <w:r>
        <w:rPr>
          <w:lang w:val="en-US"/>
        </w:rPr>
        <w:t>(21)</w:t>
      </w:r>
      <w:r>
        <w:rPr>
          <w:lang w:val="en-US"/>
        </w:rPr>
        <w:fldChar w:fldCharType="end"/>
      </w:r>
      <w:r>
        <w:rPr>
          <w:lang w:val="en-US"/>
        </w:rPr>
        <w:t xml:space="preserve">. Adapter sequences, as well as low quality base calls (q &lt; 20), were trimmed with cutadapt (v. 1.13). Adapter trimmed reads were processed with miRDeep2 (v. 0.0.7) </w:t>
      </w:r>
      <w:r>
        <w:rPr>
          <w:lang w:val="en-US"/>
        </w:rPr>
        <w:fldChar w:fldCharType="begin"/>
      </w:r>
      <w:r>
        <w:rPr>
          <w:lang w:val="en-US"/>
        </w:rPr>
        <w:instrText xml:space="preserve"> ADDIN EN.CITE &lt;EndNote&gt;&lt;Cite&gt;&lt;Author&gt;Friedländer&lt;/Author&gt;&lt;Year&gt;2012&lt;/Year&gt;&lt;IDText&gt;miRDeep2 accurately identifies known and hundreds of novel microRNA genes in seven animal clades&lt;/IDText&gt;&lt;DisplayText&gt;(22)&lt;/DisplayText&gt;&lt;record&gt;&lt;dates&gt;&lt;pub-dates&gt;&lt;date&gt;Jan&lt;/date&gt;&lt;/pub-dates&gt;&lt;year&gt;2012&lt;/year&gt;&lt;/dates&gt;&lt;keywords&gt;&lt;keyword&gt;Algorithms&lt;/keyword&gt;&lt;keyword&gt;Animals&lt;/keyword&gt;&lt;keyword&gt;Argonaute Proteins&lt;/keyword&gt;&lt;keyword&gt;Cell Line, Tumor&lt;/keyword&gt;&lt;keyword&gt;Computer Graphics&lt;/keyword&gt;&lt;keyword&gt;High-Throughput Nucleotide Sequencing&lt;/keyword&gt;&lt;keyword&gt;Humans&lt;/keyword&gt;&lt;keyword&gt;Interspersed Repetitive Sequences&lt;/keyword&gt;&lt;keyword&gt;Mice&lt;/keyword&gt;&lt;keyword&gt;MicroRNAs&lt;/keyword&gt;&lt;keyword&gt;Polymerase Chain Reaction&lt;/keyword&gt;&lt;keyword&gt;RNA Interference&lt;/keyword&gt;&lt;keyword&gt;Ribonuclease III&lt;/keyword&gt;&lt;keyword&gt;Sequence Analysis, RNA&lt;/keyword&gt;&lt;keyword&gt;Software&lt;/keyword&gt;&lt;/keywords&gt;&lt;urls&gt;&lt;related-urls&gt;&lt;url&gt;https://www.ncbi.nlm.nih.gov/pubmed/21911355&lt;/url&gt;&lt;/related-urls&gt;&lt;/urls&gt;&lt;isbn&gt;1362-4962&lt;/isbn&gt;&lt;custom2&gt;PMC3245920&lt;/custom2&gt;&lt;titles&gt;&lt;title&gt;miRDeep2 accurately identifies known and hundreds of novel microRNA genes in seven animal clades&lt;/title&gt;&lt;secondary-title&gt;Nucleic Acids Res&lt;/secondary-title&gt;&lt;/titles&gt;&lt;pages&gt;37-52&lt;/pages&gt;&lt;number&gt;1&lt;/number&gt;&lt;contributors&gt;&lt;authors&gt;&lt;author&gt;Friedländer, M. R.&lt;/author&gt;&lt;author&gt;Mackowiak, S. D.&lt;/author&gt;&lt;author&gt;Li, N.&lt;/author&gt;&lt;author&gt;Chen, W.&lt;/author&gt;&lt;author&gt;Rajewsky, N.&lt;/author&gt;&lt;/authors&gt;&lt;/contributors&gt;&lt;edition&gt;2011/09/12&lt;/edition&gt;&lt;language&gt;eng&lt;/language&gt;&lt;added-date format="utc"&gt;1489540830&lt;/added-date&gt;&lt;ref-type name="Journal Article"&gt;17&lt;/ref-type&gt;&lt;rec-number&gt;1166&lt;/rec-number&gt;&lt;last-updated-date format="utc"&gt;1489540830&lt;/last-updated-date&gt;&lt;accession-num&gt;21911355&lt;/accession-num&gt;&lt;electronic-resource-num&gt;10.1093/nar/gkr688&lt;/electronic-resource-num&gt;&lt;volume&gt;40&lt;/volume&gt;&lt;/record&gt;&lt;/Cite&gt;&lt;/EndNote&gt;</w:instrText>
      </w:r>
      <w:r>
        <w:rPr>
          <w:lang w:val="en-US"/>
        </w:rPr>
        <w:fldChar w:fldCharType="separate"/>
      </w:r>
      <w:r>
        <w:rPr>
          <w:lang w:val="en-US"/>
        </w:rPr>
        <w:t>(22)</w:t>
      </w:r>
      <w:r>
        <w:rPr>
          <w:lang w:val="en-US"/>
        </w:rPr>
        <w:fldChar w:fldCharType="end"/>
      </w:r>
      <w:r>
        <w:rPr>
          <w:lang w:val="en-US"/>
        </w:rPr>
        <w:t xml:space="preserve">, which identify known and novel miRNAs from the dataset. This software map processed reads to the human reference genome (GRCh38) (mapper.pl module), based on Bowtie1. Only the alignments with 0 mismatches in the seed region and that do not map to more than five different loci in the genome were retained. Quantification was performed with quantifier.pl module, which maps the reads to miRNA precursors (obtained from miRBase v20 which contains 1917 precursors and 2654 mature sequences </w:t>
      </w:r>
      <w:r>
        <w:rPr>
          <w:lang w:val="en-US"/>
        </w:rPr>
        <w:fldChar w:fldCharType="begin"/>
      </w:r>
      <w:r>
        <w:rPr>
          <w:lang w:val="en-US"/>
        </w:rPr>
        <w:instrText xml:space="preserve"> ADDIN EN.CITE &lt;EndNote&gt;&lt;Cite&gt;&lt;Author&gt;Kozomara&lt;/Author&gt;&lt;Year&gt;2014&lt;/Year&gt;&lt;IDText&gt;miRBase: annotating high confidence microRNAs using deep sequencing data&lt;/IDText&gt;&lt;DisplayText&gt;(23)&lt;/DisplayText&gt;&lt;record&gt;&lt;dates&gt;&lt;pub-dates&gt;&lt;date&gt;Jan&lt;/date&gt;&lt;/pub-dates&gt;&lt;year&gt;2014&lt;/year&gt;&lt;/dates&gt;&lt;keywords&gt;&lt;keyword&gt;Animals&lt;/keyword&gt;&lt;keyword&gt;Databases, Nucleic Acid&lt;/keyword&gt;&lt;keyword&gt;High-Throughput Nucleotide Sequencing&lt;/keyword&gt;&lt;keyword&gt;Humans&lt;/keyword&gt;&lt;keyword&gt;Internet&lt;/keyword&gt;&lt;keyword&gt;Mice&lt;/keyword&gt;&lt;keyword&gt;MicroRNAs&lt;/keyword&gt;&lt;keyword&gt;Molecular Sequence Annotation&lt;/keyword&gt;&lt;keyword&gt;Sequence Analysis, RNA&lt;/keyword&gt;&lt;/keywords&gt;&lt;urls&gt;&lt;related-urls&gt;&lt;url&gt;https://www.ncbi.nlm.nih.gov/pubmed/24275495&lt;/url&gt;&lt;/related-urls&gt;&lt;/urls&gt;&lt;isbn&gt;1362-4962&lt;/isbn&gt;&lt;custom2&gt;PMC3965103&lt;/custom2&gt;&lt;titles&gt;&lt;title&gt;miRBase: annotating high confidence microRNAs using deep sequencing data&lt;/title&gt;&lt;secondary-title&gt;Nucleic Acids Res&lt;/secondary-title&gt;&lt;/titles&gt;&lt;pages&gt;D68-73&lt;/pages&gt;&lt;number&gt;Database issue&lt;/number&gt;&lt;contributors&gt;&lt;authors&gt;&lt;author&gt;Kozomara, A.&lt;/author&gt;&lt;author&gt;Griffiths-Jones, S.&lt;/author&gt;&lt;/authors&gt;&lt;/contributors&gt;&lt;edition&gt;2013/11/25&lt;/edition&gt;&lt;language&gt;eng&lt;/language&gt;&lt;added-date format="utc"&gt;1533233532&lt;/added-date&gt;&lt;ref-type name="Journal Article"&gt;17&lt;/ref-type&gt;&lt;rec-number&gt;1304&lt;/rec-number&gt;&lt;last-updated-date format="utc"&gt;1533233532&lt;/last-updated-date&gt;&lt;accession-num&gt;24275495&lt;/accession-num&gt;&lt;electronic-resource-num&gt;10.1093/nar/gkt1181&lt;/electronic-resource-num&gt;&lt;volume&gt;42&lt;/volume&gt;&lt;/record&gt;&lt;/Cite&gt;&lt;/EndNote&gt;</w:instrText>
      </w:r>
      <w:r>
        <w:rPr>
          <w:lang w:val="en-US"/>
        </w:rPr>
        <w:fldChar w:fldCharType="separate"/>
      </w:r>
      <w:r>
        <w:rPr>
          <w:lang w:val="en-US"/>
        </w:rPr>
        <w:t>(23)</w:t>
      </w:r>
      <w:r>
        <w:rPr>
          <w:lang w:val="en-US"/>
        </w:rPr>
        <w:fldChar w:fldCharType="end"/>
      </w:r>
      <w:r>
        <w:rPr>
          <w:lang w:val="en-US"/>
        </w:rPr>
        <w:t>), and determines the expression of the corresponding miRNAs. Only miRNAs with a minimum of 10 counts among all the samples were retained.</w:t>
      </w:r>
    </w:p>
    <w:p>
      <w:pPr>
        <w:tabs>
          <w:tab w:val="left" w:pos="3444"/>
        </w:tabs>
        <w:spacing w:line="360" w:lineRule="auto"/>
        <w:jc w:val="both"/>
        <w:rPr>
          <w:lang w:val="en-US"/>
        </w:rPr>
      </w:pPr>
      <w:r>
        <w:rPr>
          <w:lang w:val="en-US"/>
        </w:rPr>
        <w:t xml:space="preserve">We use Oasis 2 software </w:t>
      </w:r>
      <w:r>
        <w:rPr>
          <w:lang w:val="en-US"/>
        </w:rPr>
        <w:fldChar w:fldCharType="begin"/>
      </w:r>
      <w:r>
        <w:rPr>
          <w:lang w:val="en-US"/>
        </w:rPr>
        <w:instrText xml:space="preserve"> ADDIN EN.CITE &lt;EndNote&gt;&lt;Cite&gt;&lt;Author&gt;Rahman&lt;/Author&gt;&lt;Year&gt;2018&lt;/Year&gt;&lt;IDText&gt;Oasis 2: improved online analysis of small RNA-seq data&lt;/IDText&gt;&lt;DisplayText&gt;(24)&lt;/DisplayText&gt;&lt;record&gt;&lt;dates&gt;&lt;pub-dates&gt;&lt;date&gt;02&lt;/date&gt;&lt;/pub-dates&gt;&lt;year&gt;2018&lt;/year&gt;&lt;/dates&gt;&lt;keywords&gt;&lt;keyword&gt;Base Sequence&lt;/keyword&gt;&lt;keyword&gt;Gene Expression Profiling&lt;/keyword&gt;&lt;keyword&gt;High-Throughput Nucleotide Sequencing&lt;/keyword&gt;&lt;keyword&gt;MicroRNAs&lt;/keyword&gt;&lt;keyword&gt;RNA, Small Untranslated&lt;/keyword&gt;&lt;keyword&gt;Sequence Analysis, RNA&lt;/keyword&gt;&lt;keyword&gt;Software&lt;/keyword&gt;&lt;keyword&gt;Statistics as Topic&lt;/keyword&gt;&lt;/keywords&gt;&lt;urls&gt;&lt;related-urls&gt;&lt;url&gt;https://www.ncbi.nlm.nih.gov/pubmed/29444641&lt;/url&gt;&lt;/related-urls&gt;&lt;/urls&gt;&lt;isbn&gt;1471-2105&lt;/isbn&gt;&lt;custom2&gt;PMC5813365&lt;/custom2&gt;&lt;titles&gt;&lt;title&gt;Oasis 2: improved online analysis of small RNA-seq data&lt;/title&gt;&lt;secondary-title&gt;BMC Bioinformatics&lt;/secondary-title&gt;&lt;/titles&gt;&lt;pages&gt;54&lt;/pages&gt;&lt;number&gt;1&lt;/number&gt;&lt;contributors&gt;&lt;authors&gt;&lt;author&gt;Rahman, R. U.&lt;/author&gt;&lt;author&gt;Gautam, A.&lt;/author&gt;&lt;author&gt;Bethune, J.&lt;/author&gt;&lt;author&gt;Sattar, A.&lt;/author&gt;&lt;author&gt;Fiosins, M.&lt;/author&gt;&lt;author&gt;Magruder, D. S.&lt;/author&gt;&lt;author&gt;Capece, V.&lt;/author&gt;&lt;author&gt;Shomroni, O.&lt;/author&gt;&lt;author&gt;Bonn, S.&lt;/author&gt;&lt;/authors&gt;&lt;/contributors&gt;&lt;edition&gt;2018/02/14&lt;/edition&gt;&lt;language&gt;eng&lt;/language&gt;&lt;added-date format="utc"&gt;1557737318&lt;/added-date&gt;&lt;ref-type name="Journal Article"&gt;17&lt;/ref-type&gt;&lt;rec-number&gt;1435&lt;/rec-number&gt;&lt;last-updated-date format="utc"&gt;1557737318&lt;/last-updated-date&gt;&lt;accession-num&gt;29444641&lt;/accession-num&gt;&lt;electronic-resource-num&gt;10.1186/s12859-018-2047-z&lt;/electronic-resource-num&gt;&lt;volume&gt;19&lt;/volume&gt;&lt;/record&gt;&lt;/Cite&gt;&lt;/EndNote&gt;</w:instrText>
      </w:r>
      <w:r>
        <w:rPr>
          <w:lang w:val="en-US"/>
        </w:rPr>
        <w:fldChar w:fldCharType="separate"/>
      </w:r>
      <w:r>
        <w:rPr>
          <w:lang w:val="en-US"/>
        </w:rPr>
        <w:t>(24)</w:t>
      </w:r>
      <w:r>
        <w:rPr>
          <w:lang w:val="en-US"/>
        </w:rPr>
        <w:fldChar w:fldCharType="end"/>
      </w:r>
      <w:r>
        <w:rPr>
          <w:lang w:val="en-US"/>
        </w:rPr>
        <w:t xml:space="preserve"> for the identification of other smRNA species such as small nuclear RNAs (snRNA), small nucleolar RNAs (snoRNA), ribosomal RNAs (rRNA) and piwi-interacting RMAs (piRNAs). Trimmed sequences were uploaded and counts were identified. </w:t>
      </w:r>
    </w:p>
    <w:p>
      <w:pPr>
        <w:pStyle w:val="3"/>
        <w:spacing w:after="240"/>
        <w:rPr>
          <w:rFonts w:ascii="Calibri" w:hAnsi="Calibri"/>
          <w:b/>
          <w:color w:val="auto"/>
          <w:sz w:val="22"/>
          <w:szCs w:val="22"/>
          <w:lang w:val="en-US"/>
        </w:rPr>
      </w:pPr>
      <w:r>
        <w:rPr>
          <w:rFonts w:ascii="Calibri" w:hAnsi="Calibri"/>
          <w:b/>
          <w:color w:val="auto"/>
          <w:sz w:val="22"/>
          <w:szCs w:val="22"/>
          <w:lang w:val="en-US"/>
        </w:rPr>
        <w:t>MiRNA quantification by qRT-PCR</w:t>
      </w:r>
    </w:p>
    <w:p>
      <w:pPr>
        <w:spacing w:line="360" w:lineRule="auto"/>
        <w:jc w:val="both"/>
        <w:rPr>
          <w:lang w:val="en-US"/>
        </w:rPr>
      </w:pPr>
      <w:r>
        <w:rPr>
          <w:rFonts w:cs="Calibri"/>
          <w:lang w:val="en-GB"/>
        </w:rPr>
        <w:t xml:space="preserve">MiRNAs were quantified in exosomes samples extracted by both the Qiagen and Norgen kits of exosomes isolated by all the different protocols. </w:t>
      </w:r>
      <w:r>
        <w:rPr>
          <w:lang w:val="en-US"/>
        </w:rPr>
        <w:t>Total RNA was reverse transcribed into complementary DNA with the qScript microRNA cDNA synthesis kit using following manufacturer instructions. Briefly, miRNAs are polyadenylated, and the poly (A) tailed miRNAs are converted into first-stranded cDNA with an oligo-dT adapter primer. Individual miRNAs were quantified in a SYBR green quantitative PCR reaction by PerfeCta SYBR Green SuperMix (2x) (Quantabio) with a forward primer (sequence of the selected mature miRNA) and the PerfeCta universal PCR primer (specific to the unique sequence of the oligo-dT adapter primer). Sequences of the miRNA nucleotides were extracted from the miRBase Release 21 (</w:t>
      </w:r>
      <w:r>
        <w:fldChar w:fldCharType="begin"/>
      </w:r>
      <w:r>
        <w:instrText xml:space="preserve"> HYPERLINK "http://www.mirbase.org" </w:instrText>
      </w:r>
      <w:r>
        <w:fldChar w:fldCharType="separate"/>
      </w:r>
      <w:r>
        <w:rPr>
          <w:rStyle w:val="16"/>
          <w:lang w:val="en-US"/>
        </w:rPr>
        <w:t>www.mirbase.org</w:t>
      </w:r>
      <w:r>
        <w:rPr>
          <w:rStyle w:val="16"/>
          <w:lang w:val="en-US"/>
        </w:rPr>
        <w:fldChar w:fldCharType="end"/>
      </w:r>
      <w:r>
        <w:rPr>
          <w:lang w:val="en-US"/>
        </w:rPr>
        <w:t xml:space="preserve">) </w:t>
      </w:r>
      <w:r>
        <w:rPr>
          <w:lang w:val="en-US"/>
        </w:rPr>
        <w:fldChar w:fldCharType="begin"/>
      </w:r>
      <w:r>
        <w:rPr>
          <w:lang w:val="en-US"/>
        </w:rPr>
        <w:instrText xml:space="preserve"> ADDIN EN.CITE &lt;EndNote&gt;&lt;Cite&gt;&lt;Author&gt;Kozomara&lt;/Author&gt;&lt;Year&gt;2014&lt;/Year&gt;&lt;IDText&gt;miRBase: annotating high confidence microRNAs using deep sequencing data&lt;/IDText&gt;&lt;DisplayText&gt;(23)&lt;/DisplayText&gt;&lt;record&gt;&lt;dates&gt;&lt;pub-dates&gt;&lt;date&gt;Jan&lt;/date&gt;&lt;/pub-dates&gt;&lt;year&gt;2014&lt;/year&gt;&lt;/dates&gt;&lt;keywords&gt;&lt;keyword&gt;Animals&lt;/keyword&gt;&lt;keyword&gt;Databases, Nucleic Acid&lt;/keyword&gt;&lt;keyword&gt;High-Throughput Nucleotide Sequencing&lt;/keyword&gt;&lt;keyword&gt;Humans&lt;/keyword&gt;&lt;keyword&gt;Internet&lt;/keyword&gt;&lt;keyword&gt;Mice&lt;/keyword&gt;&lt;keyword&gt;MicroRNAs&lt;/keyword&gt;&lt;keyword&gt;Molecular Sequence Annotation&lt;/keyword&gt;&lt;keyword&gt;Sequence Analysis, RNA&lt;/keyword&gt;&lt;/keywords&gt;&lt;urls&gt;&lt;related-urls&gt;&lt;url&gt;https://www.ncbi.nlm.nih.gov/pubmed/24275495&lt;/url&gt;&lt;/related-urls&gt;&lt;/urls&gt;&lt;isbn&gt;1362-4962&lt;/isbn&gt;&lt;custom2&gt;PMC3965103&lt;/custom2&gt;&lt;titles&gt;&lt;title&gt;miRBase: annotating high confidence microRNAs using deep sequencing data&lt;/title&gt;&lt;secondary-title&gt;Nucleic Acids Res&lt;/secondary-title&gt;&lt;/titles&gt;&lt;pages&gt;D68-73&lt;/pages&gt;&lt;number&gt;Database issue&lt;/number&gt;&lt;contributors&gt;&lt;authors&gt;&lt;author&gt;Kozomara, A.&lt;/author&gt;&lt;author&gt;Griffiths-Jones, S.&lt;/author&gt;&lt;/authors&gt;&lt;/contributors&gt;&lt;edition&gt;2013/11/25&lt;/edition&gt;&lt;language&gt;eng&lt;/language&gt;&lt;added-date format="utc"&gt;1533233532&lt;/added-date&gt;&lt;ref-type name="Journal Article"&gt;17&lt;/ref-type&gt;&lt;rec-number&gt;1304&lt;/rec-number&gt;&lt;last-updated-date format="utc"&gt;1533233532&lt;/last-updated-date&gt;&lt;accession-num&gt;24275495&lt;/accession-num&gt;&lt;electronic-resource-num&gt;10.1093/nar/gkt1181&lt;/electronic-resource-num&gt;&lt;volume&gt;42&lt;/volume&gt;&lt;/record&gt;&lt;/Cite&gt;&lt;/EndNote&gt;</w:instrText>
      </w:r>
      <w:r>
        <w:rPr>
          <w:lang w:val="en-US"/>
        </w:rPr>
        <w:fldChar w:fldCharType="separate"/>
      </w:r>
      <w:r>
        <w:rPr>
          <w:lang w:val="en-US"/>
        </w:rPr>
        <w:t>(23)</w:t>
      </w:r>
      <w:r>
        <w:rPr>
          <w:lang w:val="en-US"/>
        </w:rPr>
        <w:fldChar w:fldCharType="end"/>
      </w:r>
      <w:r>
        <w:rPr>
          <w:lang w:val="en-US"/>
        </w:rPr>
        <w:t xml:space="preserve"> (</w:t>
      </w:r>
      <w:r>
        <w:rPr>
          <w:b/>
          <w:lang w:val="en-US"/>
        </w:rPr>
        <w:t>supplementary table 4</w:t>
      </w:r>
      <w:r>
        <w:rPr>
          <w:lang w:val="en-US"/>
        </w:rPr>
        <w:t xml:space="preserve">). PCR efficiency of each miRNA amplicon was evaluated with a standard curve using 10-fold dilution series of total RNA from a donor buffy. Only miRNA amplicons with an efficiency higher than 1.9 were accepted. Real time reactions were performed on triplicate in the Roche LightCycler 480. </w:t>
      </w:r>
    </w:p>
    <w:p>
      <w:pPr>
        <w:pStyle w:val="3"/>
        <w:rPr>
          <w:rFonts w:ascii="Calibri" w:hAnsi="Calibri"/>
          <w:b/>
          <w:color w:val="auto"/>
          <w:sz w:val="22"/>
          <w:szCs w:val="22"/>
          <w:lang w:val="en-US"/>
        </w:rPr>
      </w:pPr>
      <w:r>
        <w:rPr>
          <w:rFonts w:ascii="Calibri" w:hAnsi="Calibri"/>
          <w:b/>
          <w:color w:val="auto"/>
          <w:sz w:val="22"/>
          <w:szCs w:val="22"/>
          <w:lang w:val="en-US"/>
        </w:rPr>
        <w:t>miRNA-based target prediction and pathway enrichment analysis of the target genes</w:t>
      </w:r>
    </w:p>
    <w:p>
      <w:pPr>
        <w:pStyle w:val="12"/>
        <w:spacing w:line="360" w:lineRule="auto"/>
        <w:jc w:val="both"/>
        <w:rPr>
          <w:rFonts w:ascii="Calibri" w:hAnsi="Calibri"/>
          <w:sz w:val="22"/>
          <w:szCs w:val="22"/>
          <w:lang w:val="en-US"/>
        </w:rPr>
      </w:pPr>
      <w:r>
        <w:rPr>
          <w:rFonts w:ascii="Calibri" w:hAnsi="Calibri"/>
          <w:sz w:val="22"/>
          <w:szCs w:val="22"/>
          <w:lang w:val="en-US"/>
        </w:rPr>
        <w:t xml:space="preserve">The web-based computational tool DIANA-miRPath v3.0 </w:t>
      </w:r>
      <w:r>
        <w:rPr>
          <w:lang w:val="en-GB"/>
        </w:rPr>
        <w:fldChar w:fldCharType="begin"/>
      </w:r>
      <w:r>
        <w:rPr>
          <w:lang w:val="en-GB"/>
        </w:rPr>
        <w:instrText xml:space="preserve"> ADDIN EN.CITE &lt;EndNote&gt;&lt;Cite&gt;&lt;Author&gt;Vlachos&lt;/Author&gt;&lt;Year&gt;2015&lt;/Year&gt;&lt;IDText&gt;DIANA-miRPath v3.0: deciphering microRNA function with experimental support&lt;/IDText&gt;&lt;DisplayText&gt;(26)&lt;/DisplayText&gt;&lt;record&gt;&lt;dates&gt;&lt;pub-dates&gt;&lt;date&gt;Jul&lt;/date&gt;&lt;/pub-dates&gt;&lt;year&gt;2015&lt;/year&gt;&lt;/dates&gt;&lt;keywords&gt;&lt;keyword&gt;Algorithms&lt;/keyword&gt;&lt;keyword&gt;Animals&lt;/keyword&gt;&lt;keyword&gt;Computer Simulation&lt;/keyword&gt;&lt;keyword&gt;Humans&lt;/keyword&gt;&lt;keyword&gt;Internet&lt;/keyword&gt;&lt;keyword&gt;Mice&lt;/keyword&gt;&lt;keyword&gt;MicroRNAs&lt;/keyword&gt;&lt;keyword&gt;Molecular Sequence Annotation&lt;/keyword&gt;&lt;keyword&gt;Rats&lt;/keyword&gt;&lt;keyword&gt;Software&lt;/keyword&gt;&lt;/keywords&gt;&lt;urls&gt;&lt;related-urls&gt;&lt;url&gt;https://www.ncbi.nlm.nih.gov/pubmed/25977294&lt;/url&gt;&lt;/related-urls&gt;&lt;/urls&gt;&lt;isbn&gt;1362-4962&lt;/isbn&gt;&lt;custom2&gt;PMC4489228&lt;/custom2&gt;&lt;titles&gt;&lt;title&gt;DIANA-miRPath v3.0: deciphering microRNA function with experimental support&lt;/title&gt;&lt;secondary-title&gt;Nucleic Acids Res&lt;/secondary-title&gt;&lt;/titles&gt;&lt;pages&gt;W460-6&lt;/pages&gt;&lt;number&gt;W1&lt;/number&gt;&lt;contributors&gt;&lt;authors&gt;&lt;author&gt;Vlachos, I. S.&lt;/author&gt;&lt;author&gt;Zagganas, K.&lt;/author&gt;&lt;author&gt;Paraskevopoulou, M. D.&lt;/author&gt;&lt;author&gt;Georgakilas, G.&lt;/author&gt;&lt;author&gt;Karagkouni, D.&lt;/author&gt;&lt;author&gt;Vergoulis, T.&lt;/author&gt;&lt;author&gt;Dalamagas, T.&lt;/author&gt;&lt;author&gt;Hatzigeorgiou, A. G.&lt;/author&gt;&lt;/authors&gt;&lt;/contributors&gt;&lt;edition&gt;2015/05/14&lt;/edition&gt;&lt;language&gt;eng&lt;/language&gt;&lt;added-date format="utc"&gt;1545034792&lt;/added-date&gt;&lt;ref-type name="Journal Article"&gt;17&lt;/ref-type&gt;&lt;rec-number&gt;1353&lt;/rec-number&gt;&lt;last-updated-date format="utc"&gt;1545034792&lt;/last-updated-date&gt;&lt;accession-num&gt;25977294&lt;/accession-num&gt;&lt;electronic-resource-num&gt;10.1093/nar/gkv403&lt;/electronic-resource-num&gt;&lt;volume&gt;43&lt;/volume&gt;&lt;/record&gt;&lt;/Cite&gt;&lt;/EndNote&gt;</w:instrText>
      </w:r>
      <w:r>
        <w:rPr>
          <w:lang w:val="en-GB"/>
        </w:rPr>
        <w:fldChar w:fldCharType="separate"/>
      </w:r>
      <w:r>
        <w:rPr>
          <w:lang w:val="en-GB"/>
        </w:rPr>
        <w:t>(26)</w:t>
      </w:r>
      <w:r>
        <w:rPr>
          <w:lang w:val="en-GB"/>
        </w:rPr>
        <w:fldChar w:fldCharType="end"/>
      </w:r>
      <w:r>
        <w:rPr>
          <w:rFonts w:ascii="Calibri" w:hAnsi="Calibri"/>
          <w:sz w:val="22"/>
          <w:szCs w:val="22"/>
          <w:lang w:val="en-US"/>
        </w:rPr>
        <w:t xml:space="preserve"> was used for the </w:t>
      </w:r>
      <w:r>
        <w:rPr>
          <w:rFonts w:ascii="Calibri" w:hAnsi="Calibri"/>
          <w:i/>
          <w:iCs/>
          <w:sz w:val="22"/>
          <w:szCs w:val="22"/>
          <w:lang w:val="en-US"/>
        </w:rPr>
        <w:t>in silico</w:t>
      </w:r>
      <w:r>
        <w:rPr>
          <w:rFonts w:ascii="Calibri" w:hAnsi="Calibri"/>
          <w:sz w:val="22"/>
          <w:szCs w:val="22"/>
          <w:lang w:val="en-US"/>
        </w:rPr>
        <w:t xml:space="preserve"> target identification of the Significantly differentially expressed miRNAs. Analysis was based on experimentally supported targets predicted in silico, annotated in DIANA-TarBase v.8.0 </w:t>
      </w:r>
      <w:r>
        <w:rPr>
          <w:lang w:val="en-GB"/>
        </w:rPr>
        <w:fldChar w:fldCharType="begin"/>
      </w:r>
      <w:r>
        <w:rPr>
          <w:lang w:val="en-GB"/>
        </w:rPr>
        <w:instrText xml:space="preserve"> ADDIN EN.CITE &lt;EndNote&gt;&lt;Cite&gt;&lt;Author&gt;Karagkouni&lt;/Author&gt;&lt;Year&gt;2018&lt;/Year&gt;&lt;IDText&gt;DIANA-TarBase v8: a decade-long collection of experimentally supported miRNA-gene interactions&lt;/IDText&gt;&lt;DisplayText&gt;(27)&lt;/DisplayText&gt;&lt;record&gt;&lt;dates&gt;&lt;pub-dates&gt;&lt;date&gt;Jan&lt;/date&gt;&lt;/pub-dates&gt;&lt;year&gt;2018&lt;/year&gt;&lt;/dates&gt;&lt;urls&gt;&lt;related-urls&gt;&lt;url&gt;https://www.ncbi.nlm.nih.gov/pubmed/29156006&lt;/url&gt;&lt;/related-urls&gt;&lt;/urls&gt;&lt;isbn&gt;1362-4962&lt;/isbn&gt;&lt;custom2&gt;PMC5753203&lt;/custom2&gt;&lt;titles&gt;&lt;title&gt;DIANA-TarBase v8: a decade-long collection of experimentally supported miRNA-gene interactions&lt;/title&gt;&lt;secondary-title&gt;Nucleic Acids Res&lt;/secondary-title&gt;&lt;/titles&gt;&lt;pages&gt;D239-D245&lt;/pages&gt;&lt;number&gt;D1&lt;/number&gt;&lt;contributors&gt;&lt;authors&gt;&lt;author&gt;Karagkouni, D.&lt;/author&gt;&lt;author&gt;Paraskevopoulou, M. D.&lt;/author&gt;&lt;author&gt;Chatzopoulos, S.&lt;/author&gt;&lt;author&gt;Vlachos, I. S.&lt;/author&gt;&lt;author&gt;Tastsoglou, S.&lt;/author&gt;&lt;author&gt;Kanellos, I.&lt;/author&gt;&lt;author&gt;Papadimitriou, D.&lt;/author&gt;&lt;author&gt;Kavakiotis, I.&lt;/author&gt;&lt;author&gt;Maniou, S.&lt;/author&gt;&lt;author&gt;Skoufos, G.&lt;/author&gt;&lt;author&gt;Vergoulis, T.&lt;/author&gt;&lt;author&gt;Dalamagas, T.&lt;/author&gt;&lt;author&gt;Hatzigeorgiou, A. G.&lt;/author&gt;&lt;/authors&gt;&lt;/contributors&gt;&lt;language&gt;eng&lt;/language&gt;&lt;added-date format="utc"&gt;1549017577&lt;/added-date&gt;&lt;ref-type name="Journal Article"&gt;17&lt;/ref-type&gt;&lt;rec-number&gt;1404&lt;/rec-number&gt;&lt;last-updated-date format="utc"&gt;1549017577&lt;/last-updated-date&gt;&lt;accession-num&gt;29156006&lt;/accession-num&gt;&lt;electronic-resource-num&gt;10.1093/nar/gkx1141&lt;/electronic-resource-num&gt;&lt;volume&gt;46&lt;/volume&gt;&lt;/record&gt;&lt;/Cite&gt;&lt;/EndNote&gt;</w:instrText>
      </w:r>
      <w:r>
        <w:rPr>
          <w:lang w:val="en-GB"/>
        </w:rPr>
        <w:fldChar w:fldCharType="separate"/>
      </w:r>
      <w:r>
        <w:rPr>
          <w:lang w:val="en-GB"/>
        </w:rPr>
        <w:t>(27)</w:t>
      </w:r>
      <w:r>
        <w:rPr>
          <w:lang w:val="en-GB"/>
        </w:rPr>
        <w:fldChar w:fldCharType="end"/>
      </w:r>
      <w:r>
        <w:rPr>
          <w:rFonts w:ascii="Calibri" w:hAnsi="Calibri"/>
          <w:sz w:val="22"/>
          <w:szCs w:val="22"/>
          <w:lang w:val="en-US"/>
        </w:rPr>
        <w:t xml:space="preserve">. This tool also performs a pathway union analysis of those miRNAs targets, which is performed for Kyoto Encyclopedia of Genes and Genomes (KEGG) pathways </w:t>
      </w:r>
      <w:r>
        <w:rPr>
          <w:lang w:val="en-GB"/>
        </w:rPr>
        <w:fldChar w:fldCharType="begin"/>
      </w:r>
      <w:r>
        <w:rPr>
          <w:lang w:val="en-GB"/>
        </w:rPr>
        <w:instrText xml:space="preserve"> ADDIN EN.CITE &lt;EndNote&gt;&lt;Cite&gt;&lt;Author&gt;Kanehisa&lt;/Author&gt;&lt;Year&gt;2000&lt;/Year&gt;&lt;IDText&gt;KEGG: kyoto encyclopedia of genes and genomes&lt;/IDText&gt;&lt;DisplayText&gt;(28)&lt;/DisplayText&gt;&lt;record&gt;&lt;dates&gt;&lt;pub-dates&gt;&lt;date&gt;Jan&lt;/date&gt;&lt;/pub-dates&gt;&lt;year&gt;2000&lt;/year&gt;&lt;/dates&gt;&lt;keywords&gt;&lt;keyword&gt;Animals&lt;/keyword&gt;&lt;keyword&gt;Databases, Factual&lt;/keyword&gt;&lt;keyword&gt;Gene Expression&lt;/keyword&gt;&lt;keyword&gt;Genome&lt;/keyword&gt;&lt;keyword&gt;Humans&lt;/keyword&gt;&lt;keyword&gt;Information Storage and Retrieval&lt;/keyword&gt;&lt;keyword&gt;Japan&lt;/keyword&gt;&lt;keyword&gt;Proteins&lt;/keyword&gt;&lt;/keywords&gt;&lt;urls&gt;&lt;related-urls&gt;&lt;url&gt;https://www.ncbi.nlm.nih.gov/pubmed/10592173&lt;/url&gt;&lt;/related-urls&gt;&lt;/urls&gt;&lt;isbn&gt;0305-1048&lt;/isbn&gt;&lt;custom2&gt;PMC102409&lt;/custom2&gt;&lt;titles&gt;&lt;title&gt;KEGG: kyoto encyclopedia of genes and genomes&lt;/title&gt;&lt;secondary-title&gt;Nucleic Acids Res&lt;/secondary-title&gt;&lt;/titles&gt;&lt;pages&gt;27-30&lt;/pages&gt;&lt;number&gt;1&lt;/number&gt;&lt;contributors&gt;&lt;authors&gt;&lt;author&gt;Kanehisa, M.&lt;/author&gt;&lt;author&gt;Goto, S.&lt;/author&gt;&lt;/authors&gt;&lt;/contributors&gt;&lt;language&gt;eng&lt;/language&gt;&lt;added-date format="utc"&gt;1549017243&lt;/added-date&gt;&lt;ref-type name="Journal Article"&gt;17&lt;/ref-type&gt;&lt;rec-number&gt;1402&lt;/rec-number&gt;&lt;last-updated-date format="utc"&gt;1549017243&lt;/last-updated-date&gt;&lt;accession-num&gt;10592173&lt;/accession-num&gt;&lt;volume&gt;28&lt;/volume&gt;&lt;/record&gt;&lt;/Cite&gt;&lt;/EndNote&gt;</w:instrText>
      </w:r>
      <w:r>
        <w:rPr>
          <w:lang w:val="en-GB"/>
        </w:rPr>
        <w:fldChar w:fldCharType="separate"/>
      </w:r>
      <w:r>
        <w:rPr>
          <w:lang w:val="en-GB"/>
        </w:rPr>
        <w:t>(28)</w:t>
      </w:r>
      <w:r>
        <w:rPr>
          <w:lang w:val="en-GB"/>
        </w:rPr>
        <w:fldChar w:fldCharType="end"/>
      </w:r>
      <w:r>
        <w:rPr>
          <w:rFonts w:ascii="Calibri" w:hAnsi="Calibri"/>
          <w:sz w:val="22"/>
          <w:szCs w:val="22"/>
          <w:lang w:val="en-US"/>
        </w:rPr>
        <w:t xml:space="preserve">. In addition, analysis of putative gene targets predicted in silico was performed with the microT- coding sequence(CDS) algorithm </w:t>
      </w:r>
      <w:r>
        <w:rPr>
          <w:lang w:val="en-GB"/>
        </w:rPr>
        <w:fldChar w:fldCharType="begin"/>
      </w:r>
      <w:r>
        <w:rPr>
          <w:lang w:val="en-GB"/>
        </w:rPr>
        <w:instrText xml:space="preserve"> ADDIN EN.CITE &lt;EndNote&gt;&lt;Cite&gt;&lt;Author&gt;Paraskevopoulou&lt;/Author&gt;&lt;Year&gt;2013&lt;/Year&gt;&lt;IDText&gt;DIANA-microT web server v5.0: service integration into miRNA functional analysis workflows&lt;/IDText&gt;&lt;DisplayText&gt;(29)&lt;/DisplayText&gt;&lt;record&gt;&lt;dates&gt;&lt;pub-dates&gt;&lt;date&gt;Jul&lt;/date&gt;&lt;/pub-dates&gt;&lt;year&gt;2013&lt;/year&gt;&lt;/dates&gt;&lt;keywords&gt;&lt;keyword&gt;Algorithms&lt;/keyword&gt;&lt;keyword&gt;Animals&lt;/keyword&gt;&lt;keyword&gt;Caenorhabditis elegans&lt;/keyword&gt;&lt;keyword&gt;Drosophila melanogaster&lt;/keyword&gt;&lt;keyword&gt;Humans&lt;/keyword&gt;&lt;keyword&gt;Internet&lt;/keyword&gt;&lt;keyword&gt;Mice&lt;/keyword&gt;&lt;keyword&gt;MicroRNAs&lt;/keyword&gt;&lt;keyword&gt;RNA Interference&lt;/keyword&gt;&lt;keyword&gt;RNA, Messenger&lt;/keyword&gt;&lt;keyword&gt;Sequence Analysis, RNA&lt;/keyword&gt;&lt;keyword&gt;Software&lt;/keyword&gt;&lt;keyword&gt;Systems Integration&lt;/keyword&gt;&lt;keyword&gt;Workflow&lt;/keyword&gt;&lt;/keywords&gt;&lt;urls&gt;&lt;related-urls&gt;&lt;url&gt;https://www.ncbi.nlm.nih.gov/pubmed/23680784&lt;/url&gt;&lt;/related-urls&gt;&lt;/urls&gt;&lt;isbn&gt;1362-4962&lt;/isbn&gt;&lt;custom2&gt;PMC3692048&lt;/custom2&gt;&lt;titles&gt;&lt;title&gt;DIANA-microT web server v5.0: service integration into miRNA functional analysis workflows&lt;/title&gt;&lt;secondary-title&gt;Nucleic Acids Res&lt;/secondary-title&gt;&lt;/titles&gt;&lt;pages&gt;W169-73&lt;/pages&gt;&lt;number&gt;Web Server issue&lt;/number&gt;&lt;contributors&gt;&lt;authors&gt;&lt;author&gt;Paraskevopoulou, M. D.&lt;/author&gt;&lt;author&gt;Georgakilas, G.&lt;/author&gt;&lt;author&gt;Kostoulas, N.&lt;/author&gt;&lt;author&gt;Vlachos, I. S.&lt;/author&gt;&lt;author&gt;Vergoulis, T.&lt;/author&gt;&lt;author&gt;Reczko, M.&lt;/author&gt;&lt;author&gt;Filippidis, C.&lt;/author&gt;&lt;author&gt;Dalamagas, T.&lt;/author&gt;&lt;author&gt;Hatzigeorgiou, A. G.&lt;/author&gt;&lt;/authors&gt;&lt;/contributors&gt;&lt;edition&gt;2013/05/16&lt;/edition&gt;&lt;language&gt;eng&lt;/language&gt;&lt;added-date format="utc"&gt;1549017440&lt;/added-date&gt;&lt;ref-type name="Journal Article"&gt;17&lt;/ref-type&gt;&lt;rec-number&gt;1403&lt;/rec-number&gt;&lt;last-updated-date format="utc"&gt;1549017440&lt;/last-updated-date&gt;&lt;accession-num&gt;23680784&lt;/accession-num&gt;&lt;electronic-resource-num&gt;10.1093/nar/gkt393&lt;/electronic-resource-num&gt;&lt;volume&gt;41&lt;/volume&gt;&lt;/record&gt;&lt;/Cite&gt;&lt;/EndNote&gt;</w:instrText>
      </w:r>
      <w:r>
        <w:rPr>
          <w:lang w:val="en-GB"/>
        </w:rPr>
        <w:fldChar w:fldCharType="separate"/>
      </w:r>
      <w:r>
        <w:rPr>
          <w:lang w:val="en-GB"/>
        </w:rPr>
        <w:t>(29)</w:t>
      </w:r>
      <w:r>
        <w:rPr>
          <w:lang w:val="en-GB"/>
        </w:rPr>
        <w:fldChar w:fldCharType="end"/>
      </w:r>
      <w:r>
        <w:rPr>
          <w:rFonts w:ascii="Calibri" w:hAnsi="Calibri"/>
          <w:sz w:val="22"/>
          <w:szCs w:val="22"/>
          <w:lang w:val="en-US"/>
        </w:rPr>
        <w:t>, which look for miRNA Recognition elements located in both the 3´-UTR and CDS regions. Enrichment p-values (Fischer-s exact test with hypergeometric distribution) were corrected for false discovery rate, and were considered significant when adjusted p ≤ 0.05.</w:t>
      </w:r>
    </w:p>
    <w:p>
      <w:pPr>
        <w:rPr>
          <w:rFonts w:cs="Calibri"/>
          <w:b/>
          <w:sz w:val="24"/>
          <w:szCs w:val="24"/>
          <w:lang w:val="en-GB"/>
        </w:rPr>
      </w:pPr>
    </w:p>
    <w:p>
      <w:pPr>
        <w:rPr>
          <w:rFonts w:cs="Calibri"/>
          <w:sz w:val="24"/>
          <w:szCs w:val="24"/>
          <w:lang w:val="en-GB"/>
        </w:rPr>
      </w:pPr>
    </w:p>
    <w:p>
      <w:pPr>
        <w:spacing w:after="0" w:line="240" w:lineRule="auto"/>
        <w:rPr>
          <w:rFonts w:cs="Calibri"/>
          <w:sz w:val="24"/>
          <w:szCs w:val="24"/>
          <w:lang w:val="en-GB"/>
        </w:rPr>
      </w:pPr>
      <w:r>
        <w:rPr>
          <w:rFonts w:cs="Calibri"/>
          <w:sz w:val="24"/>
          <w:szCs w:val="24"/>
          <w:lang w:val="en-GB"/>
        </w:rPr>
        <w:br w:type="page"/>
      </w:r>
    </w:p>
    <w:p>
      <w:pPr>
        <w:pStyle w:val="2"/>
        <w:rPr>
          <w:rFonts w:ascii="Calibri" w:hAnsi="Calibri" w:cs="Calibri"/>
          <w:b/>
          <w:color w:val="auto"/>
          <w:sz w:val="24"/>
          <w:szCs w:val="24"/>
          <w:lang w:val="en-GB"/>
        </w:rPr>
      </w:pPr>
      <w:r>
        <w:rPr>
          <w:rFonts w:ascii="Calibri" w:hAnsi="Calibri" w:cs="Calibri"/>
          <w:b/>
          <w:color w:val="auto"/>
          <w:sz w:val="24"/>
          <w:szCs w:val="24"/>
          <w:lang w:val="en-GB"/>
        </w:rPr>
        <w:t>SUPLEMENTARY TABLES</w:t>
      </w:r>
    </w:p>
    <w:p>
      <w:pPr>
        <w:rPr>
          <w:lang w:val="en-GB"/>
        </w:rPr>
      </w:pPr>
    </w:p>
    <w:p>
      <w:pPr>
        <w:pStyle w:val="3"/>
        <w:rPr>
          <w:rFonts w:ascii="Calibri" w:hAnsi="Calibri" w:cs="Calibri"/>
          <w:color w:val="auto"/>
          <w:sz w:val="24"/>
          <w:szCs w:val="24"/>
          <w:lang w:val="en-GB"/>
        </w:rPr>
      </w:pPr>
      <w:r>
        <w:rPr>
          <w:rFonts w:ascii="Calibri" w:hAnsi="Calibri" w:cs="Calibri"/>
          <w:b/>
          <w:color w:val="auto"/>
          <w:sz w:val="24"/>
          <w:szCs w:val="24"/>
          <w:lang w:val="en-GB"/>
        </w:rPr>
        <w:t xml:space="preserve">Supplementary Table 1: </w:t>
      </w:r>
      <w:r>
        <w:rPr>
          <w:rFonts w:ascii="Calibri" w:hAnsi="Calibri" w:cs="Calibri"/>
          <w:color w:val="auto"/>
          <w:sz w:val="24"/>
          <w:szCs w:val="24"/>
          <w:lang w:val="en-GB"/>
        </w:rPr>
        <w:t>Total RNA concentration</w:t>
      </w:r>
    </w:p>
    <w:p>
      <w:pPr>
        <w:spacing w:after="0" w:line="240" w:lineRule="auto"/>
        <w:rPr>
          <w:lang w:val="en-GB"/>
        </w:rPr>
      </w:pPr>
    </w:p>
    <w:tbl>
      <w:tblPr>
        <w:tblStyle w:val="33"/>
        <w:tblW w:w="0" w:type="auto"/>
        <w:tblInd w:w="5"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80"/>
        <w:gridCol w:w="1745"/>
        <w:gridCol w:w="1745"/>
      </w:tblGrid>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880" w:type="dxa"/>
            <w:tcBorders>
              <w:bottom w:val="single" w:color="7E7E7E" w:themeColor="text1" w:themeTint="80" w:sz="4" w:space="0"/>
              <w:insideH w:val="single" w:sz="4" w:space="0"/>
            </w:tcBorders>
          </w:tcPr>
          <w:p>
            <w:pPr>
              <w:ind w:left="1984" w:hanging="1984"/>
              <w:jc w:val="center"/>
              <w:rPr>
                <w:rFonts w:asciiTheme="minorHAnsi" w:hAnsiTheme="minorHAnsi" w:eastAsiaTheme="minorHAnsi" w:cstheme="minorBidi"/>
                <w:b/>
                <w:bCs/>
                <w:color w:val="000000" w:themeColor="text1"/>
                <w:lang w:val="en-GB"/>
                <w14:textFill>
                  <w14:solidFill>
                    <w14:schemeClr w14:val="tx1"/>
                  </w14:solidFill>
                </w14:textFill>
              </w:rPr>
            </w:pPr>
          </w:p>
        </w:tc>
        <w:tc>
          <w:tcPr>
            <w:tcW w:w="3490" w:type="dxa"/>
            <w:gridSpan w:val="2"/>
            <w:tcBorders>
              <w:bottom w:val="single" w:color="7E7E7E" w:themeColor="text1" w:themeTint="80" w:sz="4" w:space="0"/>
              <w:insideH w:val="single" w:sz="4" w:space="0"/>
            </w:tcBorders>
          </w:tcPr>
          <w:p>
            <w:pPr>
              <w:jc w:val="center"/>
              <w:rPr>
                <w:rFonts w:asciiTheme="minorHAnsi" w:hAnsiTheme="minorHAnsi" w:eastAsiaTheme="minorHAnsi" w:cstheme="minorBidi"/>
                <w:b/>
                <w:bCs/>
                <w:color w:val="000000" w:themeColor="text1"/>
                <w14:textFill>
                  <w14:solidFill>
                    <w14:schemeClr w14:val="tx1"/>
                  </w14:solidFill>
                </w14:textFill>
              </w:rPr>
            </w:pPr>
            <w:r>
              <w:rPr>
                <w:rFonts w:asciiTheme="minorHAnsi" w:hAnsiTheme="minorHAnsi" w:eastAsiaTheme="minorHAnsi" w:cstheme="minorBidi"/>
                <w:b/>
                <w:bCs/>
                <w:color w:val="000000" w:themeColor="text1"/>
                <w14:textFill>
                  <w14:solidFill>
                    <w14:schemeClr w14:val="tx1"/>
                  </w14:solidFill>
                </w14:textFill>
              </w:rPr>
              <w:t>RNA extraction kit (ng)</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880" w:type="dxa"/>
            <w:tcBorders>
              <w:top w:val="single" w:color="7E7E7E" w:themeColor="text1" w:themeTint="80" w:sz="4" w:space="0"/>
              <w:bottom w:val="single" w:color="7E7E7E" w:themeColor="text1" w:themeTint="80" w:sz="4" w:space="0"/>
              <w:insideH w:val="single" w:sz="4" w:space="0"/>
            </w:tcBorders>
          </w:tcPr>
          <w:p>
            <w:pPr>
              <w:ind w:left="1984" w:hanging="1984"/>
              <w:rPr>
                <w:rFonts w:asciiTheme="minorHAnsi" w:hAnsiTheme="minorHAnsi" w:eastAsiaTheme="minorHAnsi" w:cstheme="minorBidi"/>
                <w:b/>
                <w:bCs/>
              </w:rPr>
            </w:pPr>
            <w:r>
              <w:rPr>
                <w:rFonts w:asciiTheme="minorHAnsi" w:hAnsiTheme="minorHAnsi" w:eastAsiaTheme="minorHAnsi" w:cstheme="minorBidi"/>
                <w:b/>
                <w:bCs/>
                <w:color w:val="000000" w:themeColor="text1"/>
                <w14:textFill>
                  <w14:solidFill>
                    <w14:schemeClr w14:val="tx1"/>
                  </w14:solidFill>
                </w14:textFill>
              </w:rPr>
              <w:t xml:space="preserve">Exosome Isolation Protocol </w:t>
            </w:r>
          </w:p>
        </w:tc>
        <w:tc>
          <w:tcPr>
            <w:tcW w:w="1745" w:type="dxa"/>
            <w:tcBorders>
              <w:top w:val="single" w:color="7E7E7E" w:themeColor="text1" w:themeTint="80" w:sz="4" w:space="0"/>
              <w:bottom w:val="single" w:color="7E7E7E" w:themeColor="text1" w:themeTint="80" w:sz="4" w:space="0"/>
              <w:insideH w:val="single" w:sz="4" w:space="0"/>
            </w:tcBorders>
          </w:tcPr>
          <w:p>
            <w:pPr>
              <w:jc w:val="center"/>
              <w:rPr>
                <w:rFonts w:asciiTheme="minorHAnsi" w:hAnsiTheme="minorHAnsi" w:eastAsiaTheme="minorHAnsi" w:cstheme="minorBidi"/>
                <w:b/>
                <w:color w:val="000000" w:themeColor="text1"/>
                <w14:textFill>
                  <w14:solidFill>
                    <w14:schemeClr w14:val="tx1"/>
                  </w14:solidFill>
                </w14:textFill>
              </w:rPr>
            </w:pPr>
            <w:r>
              <w:rPr>
                <w:rFonts w:asciiTheme="minorHAnsi" w:hAnsiTheme="minorHAnsi" w:eastAsiaTheme="minorHAnsi" w:cstheme="minorBidi"/>
                <w:b/>
                <w:color w:val="000000" w:themeColor="text1"/>
                <w14:textFill>
                  <w14:solidFill>
                    <w14:schemeClr w14:val="tx1"/>
                  </w14:solidFill>
                </w14:textFill>
              </w:rPr>
              <w:t>Qiagen</w:t>
            </w:r>
          </w:p>
        </w:tc>
        <w:tc>
          <w:tcPr>
            <w:tcW w:w="1745" w:type="dxa"/>
            <w:tcBorders>
              <w:top w:val="single" w:color="7E7E7E" w:themeColor="text1" w:themeTint="80" w:sz="4" w:space="0"/>
              <w:bottom w:val="single" w:color="7E7E7E" w:themeColor="text1" w:themeTint="80" w:sz="4" w:space="0"/>
              <w:insideH w:val="single" w:sz="4" w:space="0"/>
            </w:tcBorders>
          </w:tcPr>
          <w:p>
            <w:pPr>
              <w:jc w:val="center"/>
              <w:rPr>
                <w:rFonts w:asciiTheme="minorHAnsi" w:hAnsiTheme="minorHAnsi" w:eastAsiaTheme="minorHAnsi" w:cstheme="minorBidi"/>
                <w:b/>
              </w:rPr>
            </w:pPr>
            <w:r>
              <w:rPr>
                <w:rFonts w:asciiTheme="minorHAnsi" w:hAnsiTheme="minorHAnsi" w:eastAsiaTheme="minorHAnsi" w:cstheme="minorBidi"/>
                <w:b/>
                <w:color w:val="000000" w:themeColor="text1"/>
                <w14:textFill>
                  <w14:solidFill>
                    <w14:schemeClr w14:val="tx1"/>
                  </w14:solidFill>
                </w14:textFill>
              </w:rPr>
              <w:t xml:space="preserve">Norgen </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880" w:type="dxa"/>
          </w:tcPr>
          <w:p>
            <w:pPr>
              <w:ind w:left="1984" w:hanging="1984"/>
              <w:rPr>
                <w:rFonts w:asciiTheme="minorHAnsi" w:hAnsiTheme="minorHAnsi" w:eastAsiaTheme="minorHAnsi" w:cstheme="minorBidi"/>
                <w:b w:val="0"/>
                <w:bCs/>
                <w:color w:val="000000" w:themeColor="text1"/>
                <w14:textFill>
                  <w14:solidFill>
                    <w14:schemeClr w14:val="tx1"/>
                  </w14:solidFill>
                </w14:textFill>
              </w:rPr>
            </w:pPr>
            <w:r>
              <w:rPr>
                <w:rFonts w:asciiTheme="minorHAnsi" w:hAnsiTheme="minorHAnsi" w:eastAsiaTheme="minorHAnsi" w:cstheme="minorBidi"/>
                <w:b w:val="0"/>
                <w:bCs/>
                <w:color w:val="000000" w:themeColor="text1"/>
                <w14:textFill>
                  <w14:solidFill>
                    <w14:schemeClr w14:val="tx1"/>
                  </w14:solidFill>
                </w14:textFill>
              </w:rPr>
              <w:t>UCF</w:t>
            </w:r>
          </w:p>
        </w:tc>
        <w:tc>
          <w:tcPr>
            <w:tcW w:w="1745" w:type="dxa"/>
          </w:tcPr>
          <w:p>
            <w:pPr>
              <w:jc w:val="center"/>
              <w:rPr>
                <w:rFonts w:asciiTheme="minorHAnsi" w:hAnsiTheme="minorHAnsi" w:eastAsiaTheme="minorHAnsi" w:cstheme="minorBidi"/>
                <w:color w:val="000000" w:themeColor="text1"/>
                <w14:textFill>
                  <w14:solidFill>
                    <w14:schemeClr w14:val="tx1"/>
                  </w14:solidFill>
                </w14:textFill>
              </w:rPr>
            </w:pPr>
            <w:r>
              <w:rPr>
                <w:rFonts w:asciiTheme="minorHAnsi" w:hAnsiTheme="minorHAnsi" w:eastAsiaTheme="minorHAnsi" w:cstheme="minorBidi"/>
                <w:color w:val="000000" w:themeColor="text1"/>
                <w14:textFill>
                  <w14:solidFill>
                    <w14:schemeClr w14:val="tx1"/>
                  </w14:solidFill>
                </w14:textFill>
              </w:rPr>
              <w:t>3.6</w:t>
            </w:r>
          </w:p>
        </w:tc>
        <w:tc>
          <w:tcPr>
            <w:tcW w:w="1745" w:type="dxa"/>
          </w:tcPr>
          <w:p>
            <w:pPr>
              <w:jc w:val="center"/>
              <w:rPr>
                <w:rFonts w:asciiTheme="minorHAnsi" w:hAnsiTheme="minorHAnsi" w:eastAsiaTheme="minorHAnsi" w:cstheme="minorBidi"/>
                <w:color w:val="000000" w:themeColor="text1"/>
                <w14:textFill>
                  <w14:solidFill>
                    <w14:schemeClr w14:val="tx1"/>
                  </w14:solidFill>
                </w14:textFill>
              </w:rPr>
            </w:pPr>
            <w:r>
              <w:rPr>
                <w:rFonts w:asciiTheme="minorHAnsi" w:hAnsiTheme="minorHAnsi" w:eastAsiaTheme="minorHAnsi" w:cstheme="minorBidi"/>
                <w:color w:val="000000" w:themeColor="text1"/>
                <w14:textFill>
                  <w14:solidFill>
                    <w14:schemeClr w14:val="tx1"/>
                  </w14:solidFill>
                </w14:textFill>
              </w:rPr>
              <w:t>6.3</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880" w:type="dxa"/>
            <w:tcBorders>
              <w:top w:val="single" w:color="7E7E7E" w:themeColor="text1" w:themeTint="80" w:sz="4" w:space="0"/>
              <w:bottom w:val="single" w:color="7E7E7E" w:themeColor="text1" w:themeTint="80" w:sz="4" w:space="0"/>
              <w:insideH w:val="single" w:sz="4" w:space="0"/>
            </w:tcBorders>
          </w:tcPr>
          <w:p>
            <w:pPr>
              <w:ind w:left="1984" w:hanging="1984"/>
              <w:rPr>
                <w:rFonts w:asciiTheme="minorHAnsi" w:hAnsiTheme="minorHAnsi" w:eastAsiaTheme="minorHAnsi" w:cstheme="minorBidi"/>
                <w:b w:val="0"/>
                <w:bCs/>
                <w:color w:val="000000" w:themeColor="text1"/>
                <w14:textFill>
                  <w14:solidFill>
                    <w14:schemeClr w14:val="tx1"/>
                  </w14:solidFill>
                </w14:textFill>
              </w:rPr>
            </w:pPr>
            <w:r>
              <w:rPr>
                <w:rFonts w:asciiTheme="minorHAnsi" w:hAnsiTheme="minorHAnsi" w:eastAsiaTheme="minorHAnsi" w:cstheme="minorBidi"/>
                <w:b w:val="0"/>
                <w:bCs/>
                <w:color w:val="000000" w:themeColor="text1"/>
                <w14:textFill>
                  <w14:solidFill>
                    <w14:schemeClr w14:val="tx1"/>
                  </w14:solidFill>
                </w14:textFill>
              </w:rPr>
              <w:t>TEI</w:t>
            </w:r>
          </w:p>
        </w:tc>
        <w:tc>
          <w:tcPr>
            <w:tcW w:w="1745" w:type="dxa"/>
            <w:tcBorders>
              <w:top w:val="single" w:color="7E7E7E" w:themeColor="text1" w:themeTint="80" w:sz="4" w:space="0"/>
              <w:bottom w:val="single" w:color="7E7E7E" w:themeColor="text1" w:themeTint="80" w:sz="4" w:space="0"/>
              <w:insideH w:val="single" w:sz="4" w:space="0"/>
            </w:tcBorders>
          </w:tcPr>
          <w:p>
            <w:pPr>
              <w:jc w:val="center"/>
              <w:rPr>
                <w:rFonts w:asciiTheme="minorHAnsi" w:hAnsiTheme="minorHAnsi" w:eastAsiaTheme="minorHAnsi" w:cstheme="minorBidi"/>
                <w:color w:val="000000" w:themeColor="text1"/>
                <w14:textFill>
                  <w14:solidFill>
                    <w14:schemeClr w14:val="tx1"/>
                  </w14:solidFill>
                </w14:textFill>
              </w:rPr>
            </w:pPr>
            <w:r>
              <w:rPr>
                <w:rFonts w:asciiTheme="minorHAnsi" w:hAnsiTheme="minorHAnsi" w:eastAsiaTheme="minorHAnsi" w:cstheme="minorBidi"/>
                <w:color w:val="000000" w:themeColor="text1"/>
                <w14:textFill>
                  <w14:solidFill>
                    <w14:schemeClr w14:val="tx1"/>
                  </w14:solidFill>
                </w14:textFill>
              </w:rPr>
              <w:t>8.7</w:t>
            </w:r>
          </w:p>
        </w:tc>
        <w:tc>
          <w:tcPr>
            <w:tcW w:w="1745" w:type="dxa"/>
            <w:tcBorders>
              <w:top w:val="single" w:color="7E7E7E" w:themeColor="text1" w:themeTint="80" w:sz="4" w:space="0"/>
              <w:bottom w:val="single" w:color="7E7E7E" w:themeColor="text1" w:themeTint="80" w:sz="4" w:space="0"/>
              <w:insideH w:val="single" w:sz="4" w:space="0"/>
            </w:tcBorders>
          </w:tcPr>
          <w:p>
            <w:pPr>
              <w:jc w:val="center"/>
              <w:rPr>
                <w:rFonts w:asciiTheme="minorHAnsi" w:hAnsiTheme="minorHAnsi" w:eastAsiaTheme="minorHAnsi" w:cstheme="minorBidi"/>
                <w:color w:val="000000" w:themeColor="text1"/>
                <w14:textFill>
                  <w14:solidFill>
                    <w14:schemeClr w14:val="tx1"/>
                  </w14:solidFill>
                </w14:textFill>
              </w:rPr>
            </w:pPr>
            <w:r>
              <w:rPr>
                <w:rFonts w:asciiTheme="minorHAnsi" w:hAnsiTheme="minorHAnsi" w:eastAsiaTheme="minorHAnsi" w:cstheme="minorBidi"/>
                <w:color w:val="000000" w:themeColor="text1"/>
                <w14:textFill>
                  <w14:solidFill>
                    <w14:schemeClr w14:val="tx1"/>
                  </w14:solidFill>
                </w14:textFill>
              </w:rPr>
              <w:t>0.9</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880" w:type="dxa"/>
          </w:tcPr>
          <w:p>
            <w:pPr>
              <w:ind w:left="1984" w:hanging="1984"/>
              <w:rPr>
                <w:rFonts w:asciiTheme="minorHAnsi" w:hAnsiTheme="minorHAnsi" w:eastAsiaTheme="minorHAnsi" w:cstheme="minorBidi"/>
                <w:b w:val="0"/>
                <w:bCs/>
                <w:color w:val="000000" w:themeColor="text1"/>
                <w14:textFill>
                  <w14:solidFill>
                    <w14:schemeClr w14:val="tx1"/>
                  </w14:solidFill>
                </w14:textFill>
              </w:rPr>
            </w:pPr>
            <w:r>
              <w:rPr>
                <w:rFonts w:asciiTheme="minorHAnsi" w:hAnsiTheme="minorHAnsi" w:eastAsiaTheme="minorHAnsi" w:cstheme="minorBidi"/>
                <w:b w:val="0"/>
                <w:bCs/>
                <w:color w:val="000000" w:themeColor="text1"/>
                <w14:textFill>
                  <w14:solidFill>
                    <w14:schemeClr w14:val="tx1"/>
                  </w14:solidFill>
                </w14:textFill>
              </w:rPr>
              <w:t xml:space="preserve">MIR  </w:t>
            </w:r>
          </w:p>
        </w:tc>
        <w:tc>
          <w:tcPr>
            <w:tcW w:w="1745" w:type="dxa"/>
          </w:tcPr>
          <w:p>
            <w:pPr>
              <w:jc w:val="center"/>
              <w:rPr>
                <w:rFonts w:asciiTheme="minorHAnsi" w:hAnsiTheme="minorHAnsi" w:eastAsiaTheme="minorHAnsi" w:cstheme="minorBidi"/>
                <w:color w:val="000000" w:themeColor="text1"/>
                <w14:textFill>
                  <w14:solidFill>
                    <w14:schemeClr w14:val="tx1"/>
                  </w14:solidFill>
                </w14:textFill>
              </w:rPr>
            </w:pPr>
            <w:r>
              <w:rPr>
                <w:rFonts w:asciiTheme="minorHAnsi" w:hAnsiTheme="minorHAnsi" w:eastAsiaTheme="minorHAnsi" w:cstheme="minorBidi"/>
                <w:color w:val="000000" w:themeColor="text1"/>
                <w14:textFill>
                  <w14:solidFill>
                    <w14:schemeClr w14:val="tx1"/>
                  </w14:solidFill>
                </w14:textFill>
              </w:rPr>
              <w:t>4.2</w:t>
            </w:r>
          </w:p>
        </w:tc>
        <w:tc>
          <w:tcPr>
            <w:tcW w:w="1745" w:type="dxa"/>
          </w:tcPr>
          <w:p>
            <w:pPr>
              <w:jc w:val="center"/>
              <w:rPr>
                <w:rFonts w:asciiTheme="minorHAnsi" w:hAnsiTheme="minorHAnsi" w:eastAsiaTheme="minorHAnsi" w:cstheme="minorBidi"/>
                <w:color w:val="000000" w:themeColor="text1"/>
                <w14:textFill>
                  <w14:solidFill>
                    <w14:schemeClr w14:val="tx1"/>
                  </w14:solidFill>
                </w14:textFill>
              </w:rPr>
            </w:pPr>
            <w:r>
              <w:rPr>
                <w:rFonts w:asciiTheme="minorHAnsi" w:hAnsiTheme="minorHAnsi" w:eastAsiaTheme="minorHAnsi" w:cstheme="minorBidi"/>
                <w:color w:val="000000" w:themeColor="text1"/>
                <w14:textFill>
                  <w14:solidFill>
                    <w14:schemeClr w14:val="tx1"/>
                  </w14:solidFill>
                </w14:textFill>
              </w:rPr>
              <w:t>1.5</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 w:hRule="atLeast"/>
        </w:trPr>
        <w:tc>
          <w:tcPr>
            <w:tcW w:w="2880" w:type="dxa"/>
            <w:tcBorders>
              <w:top w:val="single" w:color="7E7E7E" w:themeColor="text1" w:themeTint="80" w:sz="4" w:space="0"/>
              <w:bottom w:val="single" w:color="7E7E7E" w:themeColor="text1" w:themeTint="80" w:sz="4" w:space="0"/>
              <w:insideH w:val="single" w:sz="4" w:space="0"/>
            </w:tcBorders>
          </w:tcPr>
          <w:p>
            <w:pPr>
              <w:rPr>
                <w:rFonts w:asciiTheme="minorHAnsi" w:hAnsiTheme="minorHAnsi" w:eastAsiaTheme="minorHAnsi" w:cstheme="minorBidi"/>
                <w:b w:val="0"/>
                <w:bCs/>
              </w:rPr>
            </w:pPr>
            <w:r>
              <w:rPr>
                <w:rFonts w:asciiTheme="minorHAnsi" w:hAnsiTheme="minorHAnsi" w:eastAsiaTheme="minorHAnsi" w:cstheme="minorBidi"/>
                <w:b w:val="0"/>
                <w:bCs/>
                <w:color w:val="000000" w:themeColor="text1"/>
                <w14:textFill>
                  <w14:solidFill>
                    <w14:schemeClr w14:val="tx1"/>
                  </w14:solidFill>
                </w14:textFill>
              </w:rPr>
              <w:t>NOR</w:t>
            </w:r>
          </w:p>
        </w:tc>
        <w:tc>
          <w:tcPr>
            <w:tcW w:w="1745" w:type="dxa"/>
            <w:tcBorders>
              <w:top w:val="single" w:color="7E7E7E" w:themeColor="text1" w:themeTint="80" w:sz="4" w:space="0"/>
              <w:bottom w:val="single" w:color="7E7E7E" w:themeColor="text1" w:themeTint="80" w:sz="4" w:space="0"/>
              <w:insideH w:val="single" w:sz="4" w:space="0"/>
            </w:tcBorders>
          </w:tcPr>
          <w:p>
            <w:pPr>
              <w:jc w:val="center"/>
              <w:rPr>
                <w:rFonts w:asciiTheme="minorHAnsi" w:hAnsiTheme="minorHAnsi" w:eastAsiaTheme="minorHAnsi" w:cstheme="minorBidi"/>
                <w:color w:val="000000" w:themeColor="text1"/>
                <w14:textFill>
                  <w14:solidFill>
                    <w14:schemeClr w14:val="tx1"/>
                  </w14:solidFill>
                </w14:textFill>
              </w:rPr>
            </w:pPr>
            <w:r>
              <w:rPr>
                <w:rFonts w:asciiTheme="minorHAnsi" w:hAnsiTheme="minorHAnsi" w:eastAsiaTheme="minorHAnsi" w:cstheme="minorBidi"/>
                <w:color w:val="000000" w:themeColor="text1"/>
                <w14:textFill>
                  <w14:solidFill>
                    <w14:schemeClr w14:val="tx1"/>
                  </w14:solidFill>
                </w14:textFill>
              </w:rPr>
              <w:t>3</w:t>
            </w:r>
          </w:p>
        </w:tc>
        <w:tc>
          <w:tcPr>
            <w:tcW w:w="1745" w:type="dxa"/>
            <w:tcBorders>
              <w:top w:val="single" w:color="7E7E7E" w:themeColor="text1" w:themeTint="80" w:sz="4" w:space="0"/>
              <w:bottom w:val="single" w:color="7E7E7E" w:themeColor="text1" w:themeTint="80" w:sz="4" w:space="0"/>
              <w:insideH w:val="single" w:sz="4" w:space="0"/>
            </w:tcBorders>
          </w:tcPr>
          <w:p>
            <w:pPr>
              <w:jc w:val="center"/>
              <w:rPr>
                <w:rFonts w:asciiTheme="minorHAnsi" w:hAnsiTheme="minorHAnsi" w:eastAsiaTheme="minorHAnsi" w:cstheme="minorBidi"/>
              </w:rPr>
            </w:pPr>
            <w:r>
              <w:rPr>
                <w:rFonts w:asciiTheme="minorHAnsi" w:hAnsiTheme="minorHAnsi" w:eastAsiaTheme="minorHAnsi" w:cstheme="minorBidi"/>
                <w:color w:val="000000" w:themeColor="text1"/>
                <w14:textFill>
                  <w14:solidFill>
                    <w14:schemeClr w14:val="tx1"/>
                  </w14:solidFill>
                </w14:textFill>
              </w:rPr>
              <w:t>7.2</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 w:hRule="atLeast"/>
        </w:trPr>
        <w:tc>
          <w:tcPr>
            <w:tcW w:w="2880" w:type="dxa"/>
          </w:tcPr>
          <w:p>
            <w:pPr>
              <w:rPr>
                <w:rFonts w:asciiTheme="minorHAnsi" w:hAnsiTheme="minorHAnsi" w:eastAsiaTheme="minorHAnsi" w:cstheme="minorBidi"/>
                <w:b w:val="0"/>
                <w:bCs/>
              </w:rPr>
            </w:pPr>
            <w:r>
              <w:rPr>
                <w:rFonts w:asciiTheme="minorHAnsi" w:hAnsiTheme="minorHAnsi" w:eastAsiaTheme="minorHAnsi" w:cstheme="minorBidi"/>
                <w:b w:val="0"/>
                <w:bCs/>
              </w:rPr>
              <w:t>PEG6</w:t>
            </w:r>
          </w:p>
        </w:tc>
        <w:tc>
          <w:tcPr>
            <w:tcW w:w="1745" w:type="dxa"/>
          </w:tcPr>
          <w:p>
            <w:pPr>
              <w:jc w:val="center"/>
              <w:rPr>
                <w:rFonts w:asciiTheme="minorHAnsi" w:hAnsiTheme="minorHAnsi" w:eastAsiaTheme="minorHAnsi" w:cstheme="minorBidi"/>
                <w:color w:val="000000" w:themeColor="text1"/>
                <w14:textFill>
                  <w14:solidFill>
                    <w14:schemeClr w14:val="tx1"/>
                  </w14:solidFill>
                </w14:textFill>
              </w:rPr>
            </w:pPr>
            <w:r>
              <w:rPr>
                <w:rFonts w:asciiTheme="minorHAnsi" w:hAnsiTheme="minorHAnsi" w:eastAsiaTheme="minorHAnsi" w:cstheme="minorBidi"/>
                <w:color w:val="000000" w:themeColor="text1"/>
                <w14:textFill>
                  <w14:solidFill>
                    <w14:schemeClr w14:val="tx1"/>
                  </w14:solidFill>
                </w14:textFill>
              </w:rPr>
              <w:t>5.4</w:t>
            </w:r>
          </w:p>
        </w:tc>
        <w:tc>
          <w:tcPr>
            <w:tcW w:w="1745" w:type="dxa"/>
          </w:tcPr>
          <w:p>
            <w:pPr>
              <w:jc w:val="center"/>
              <w:rPr>
                <w:rFonts w:asciiTheme="minorHAnsi" w:hAnsiTheme="minorHAnsi" w:eastAsiaTheme="minorHAnsi" w:cstheme="minorBidi"/>
              </w:rPr>
            </w:pPr>
            <w:r>
              <w:rPr>
                <w:rFonts w:asciiTheme="minorHAnsi" w:hAnsiTheme="minorHAnsi" w:eastAsiaTheme="minorHAnsi" w:cstheme="minorBidi"/>
              </w:rPr>
              <w:t>2.7</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880" w:type="dxa"/>
            <w:tcBorders>
              <w:top w:val="single" w:color="7E7E7E" w:themeColor="text1" w:themeTint="80" w:sz="4" w:space="0"/>
              <w:bottom w:val="single" w:color="7E7E7E" w:themeColor="text1" w:themeTint="80" w:sz="4" w:space="0"/>
              <w:insideH w:val="single" w:sz="4" w:space="0"/>
            </w:tcBorders>
          </w:tcPr>
          <w:p>
            <w:pPr>
              <w:rPr>
                <w:rFonts w:asciiTheme="minorHAnsi" w:hAnsiTheme="minorHAnsi" w:eastAsiaTheme="minorHAnsi" w:cstheme="minorBidi"/>
                <w:b w:val="0"/>
                <w:bCs/>
              </w:rPr>
            </w:pPr>
            <w:r>
              <w:rPr>
                <w:rFonts w:asciiTheme="minorHAnsi" w:hAnsiTheme="minorHAnsi" w:eastAsiaTheme="minorHAnsi" w:cstheme="minorBidi"/>
                <w:b w:val="0"/>
                <w:bCs/>
              </w:rPr>
              <w:t>PEG10</w:t>
            </w:r>
          </w:p>
        </w:tc>
        <w:tc>
          <w:tcPr>
            <w:tcW w:w="1745" w:type="dxa"/>
            <w:tcBorders>
              <w:top w:val="single" w:color="7E7E7E" w:themeColor="text1" w:themeTint="80" w:sz="4" w:space="0"/>
              <w:bottom w:val="single" w:color="7E7E7E" w:themeColor="text1" w:themeTint="80" w:sz="4" w:space="0"/>
              <w:insideH w:val="single" w:sz="4" w:space="0"/>
            </w:tcBorders>
          </w:tcPr>
          <w:p>
            <w:pPr>
              <w:jc w:val="center"/>
              <w:rPr>
                <w:rFonts w:asciiTheme="minorHAnsi" w:hAnsiTheme="minorHAnsi" w:eastAsiaTheme="minorHAnsi" w:cstheme="minorBidi"/>
                <w:color w:val="000000" w:themeColor="text1"/>
                <w14:textFill>
                  <w14:solidFill>
                    <w14:schemeClr w14:val="tx1"/>
                  </w14:solidFill>
                </w14:textFill>
              </w:rPr>
            </w:pPr>
            <w:r>
              <w:rPr>
                <w:rFonts w:asciiTheme="minorHAnsi" w:hAnsiTheme="minorHAnsi" w:eastAsiaTheme="minorHAnsi" w:cstheme="minorBidi"/>
                <w:color w:val="000000" w:themeColor="text1"/>
                <w14:textFill>
                  <w14:solidFill>
                    <w14:schemeClr w14:val="tx1"/>
                  </w14:solidFill>
                </w14:textFill>
              </w:rPr>
              <w:t>8.4</w:t>
            </w:r>
          </w:p>
        </w:tc>
        <w:tc>
          <w:tcPr>
            <w:tcW w:w="1745" w:type="dxa"/>
            <w:tcBorders>
              <w:top w:val="single" w:color="7E7E7E" w:themeColor="text1" w:themeTint="80" w:sz="4" w:space="0"/>
              <w:bottom w:val="single" w:color="7E7E7E" w:themeColor="text1" w:themeTint="80" w:sz="4" w:space="0"/>
              <w:insideH w:val="single" w:sz="4" w:space="0"/>
            </w:tcBorders>
          </w:tcPr>
          <w:p>
            <w:pPr>
              <w:jc w:val="center"/>
              <w:rPr>
                <w:rFonts w:asciiTheme="minorHAnsi" w:hAnsiTheme="minorHAnsi" w:eastAsiaTheme="minorHAnsi" w:cstheme="minorBidi"/>
              </w:rPr>
            </w:pPr>
            <w:r>
              <w:rPr>
                <w:rFonts w:asciiTheme="minorHAnsi" w:hAnsiTheme="minorHAnsi" w:eastAsiaTheme="minorHAnsi" w:cstheme="minorBidi"/>
              </w:rPr>
              <w:t>0.6</w:t>
            </w:r>
          </w:p>
        </w:tc>
      </w:tr>
    </w:tbl>
    <w:p>
      <w:pPr>
        <w:pStyle w:val="3"/>
        <w:rPr>
          <w:rFonts w:ascii="Calibri" w:hAnsi="Calibri" w:cs="Calibri"/>
          <w:b/>
          <w:color w:val="auto"/>
          <w:sz w:val="24"/>
          <w:szCs w:val="24"/>
          <w:lang w:val="en-GB"/>
        </w:rPr>
      </w:pPr>
      <w:r>
        <w:rPr>
          <w:lang w:val="en-GB"/>
        </w:rPr>
        <w:br w:type="page"/>
      </w:r>
      <w:r>
        <w:rPr>
          <w:rFonts w:ascii="Calibri" w:hAnsi="Calibri" w:cs="Calibri"/>
          <w:b/>
          <w:color w:val="auto"/>
          <w:sz w:val="24"/>
          <w:szCs w:val="24"/>
          <w:lang w:val="en-GB"/>
        </w:rPr>
        <w:t xml:space="preserve">Supplementary Table </w:t>
      </w:r>
      <w:r>
        <w:rPr>
          <w:rFonts w:hint="default" w:ascii="Calibri" w:hAnsi="Calibri" w:cs="Calibri"/>
          <w:b/>
          <w:color w:val="auto"/>
          <w:sz w:val="24"/>
          <w:szCs w:val="24"/>
          <w:lang w:val="es-ES"/>
        </w:rPr>
        <w:t>2</w:t>
      </w:r>
      <w:r>
        <w:rPr>
          <w:rFonts w:ascii="Calibri" w:hAnsi="Calibri" w:cs="Calibri"/>
          <w:b/>
          <w:color w:val="auto"/>
          <w:sz w:val="24"/>
          <w:szCs w:val="24"/>
          <w:lang w:val="en-GB"/>
        </w:rPr>
        <w:t xml:space="preserve">: </w:t>
      </w:r>
      <w:r>
        <w:rPr>
          <w:rFonts w:ascii="Calibri" w:hAnsi="Calibri" w:eastAsia="Calibri"/>
          <w:color w:val="auto"/>
          <w:sz w:val="22"/>
          <w:szCs w:val="22"/>
          <w:lang w:val="en-GB"/>
        </w:rPr>
        <w:t>Total miRNAs and other smRNAs identified and total count recovery with each experimental procedure. The total RNA was isolated from exosomes isolated by different protocols (UCF, TEI, MIR, NOR, PEG6, PEG10) with two different isolation kits: Norgen (MIRn, NORn, PEG10n, PEG6n, TEIn, UCFn) and Qiagen (MIRq, NORq, PEG10q, PEG6q, TEIq, UCFq) kit.</w:t>
      </w:r>
    </w:p>
    <w:tbl>
      <w:tblPr>
        <w:tblStyle w:val="18"/>
        <w:tblpPr w:leftFromText="180" w:rightFromText="180" w:vertAnchor="text" w:horzAnchor="margin" w:tblpXSpec="center" w:tblpY="620"/>
        <w:tblW w:w="106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0"/>
        <w:gridCol w:w="774"/>
        <w:gridCol w:w="739"/>
        <w:gridCol w:w="774"/>
        <w:gridCol w:w="774"/>
        <w:gridCol w:w="947"/>
        <w:gridCol w:w="952"/>
        <w:gridCol w:w="836"/>
        <w:gridCol w:w="841"/>
        <w:gridCol w:w="663"/>
        <w:gridCol w:w="663"/>
        <w:gridCol w:w="696"/>
        <w:gridCol w:w="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190" w:type="dxa"/>
          </w:tcPr>
          <w:p>
            <w:pPr>
              <w:spacing w:after="0" w:line="240" w:lineRule="auto"/>
              <w:rPr>
                <w:rFonts w:cs="Calibri"/>
                <w:color w:val="000000"/>
                <w:lang w:val="en-GB"/>
              </w:rPr>
            </w:pPr>
          </w:p>
        </w:tc>
        <w:tc>
          <w:tcPr>
            <w:tcW w:w="774" w:type="dxa"/>
          </w:tcPr>
          <w:p>
            <w:pPr>
              <w:spacing w:after="0" w:line="240" w:lineRule="auto"/>
              <w:rPr>
                <w:rFonts w:cs="Calibri"/>
                <w:b/>
                <w:color w:val="000000"/>
                <w:lang w:val="en-GB"/>
              </w:rPr>
            </w:pPr>
            <w:r>
              <w:rPr>
                <w:rFonts w:cs="Calibri"/>
                <w:b/>
                <w:color w:val="000000"/>
                <w:lang w:val="en-GB"/>
              </w:rPr>
              <w:t>MIRn</w:t>
            </w:r>
          </w:p>
        </w:tc>
        <w:tc>
          <w:tcPr>
            <w:tcW w:w="742" w:type="dxa"/>
          </w:tcPr>
          <w:p>
            <w:pPr>
              <w:spacing w:after="0" w:line="240" w:lineRule="auto"/>
              <w:rPr>
                <w:rFonts w:cs="Calibri"/>
                <w:b/>
                <w:color w:val="000000"/>
                <w:lang w:val="en-GB"/>
              </w:rPr>
            </w:pPr>
            <w:r>
              <w:rPr>
                <w:rFonts w:cs="Calibri"/>
                <w:b/>
                <w:color w:val="000000"/>
                <w:lang w:val="en-GB"/>
              </w:rPr>
              <w:t>MIRq</w:t>
            </w:r>
          </w:p>
        </w:tc>
        <w:tc>
          <w:tcPr>
            <w:tcW w:w="774" w:type="dxa"/>
          </w:tcPr>
          <w:p>
            <w:pPr>
              <w:spacing w:after="0" w:line="240" w:lineRule="auto"/>
              <w:rPr>
                <w:rFonts w:cs="Calibri"/>
                <w:b/>
                <w:color w:val="000000"/>
                <w:lang w:val="en-GB"/>
              </w:rPr>
            </w:pPr>
            <w:r>
              <w:rPr>
                <w:rFonts w:cs="Calibri"/>
                <w:b/>
                <w:color w:val="000000"/>
                <w:lang w:val="en-GB"/>
              </w:rPr>
              <w:t>NORn</w:t>
            </w:r>
          </w:p>
        </w:tc>
        <w:tc>
          <w:tcPr>
            <w:tcW w:w="774" w:type="dxa"/>
          </w:tcPr>
          <w:p>
            <w:pPr>
              <w:spacing w:after="0" w:line="240" w:lineRule="auto"/>
              <w:rPr>
                <w:rFonts w:cs="Calibri"/>
                <w:b/>
                <w:color w:val="000000"/>
                <w:lang w:val="en-GB"/>
              </w:rPr>
            </w:pPr>
            <w:r>
              <w:rPr>
                <w:rFonts w:cs="Calibri"/>
                <w:b/>
                <w:color w:val="000000"/>
                <w:lang w:val="en-GB"/>
              </w:rPr>
              <w:t>NORq</w:t>
            </w:r>
          </w:p>
        </w:tc>
        <w:tc>
          <w:tcPr>
            <w:tcW w:w="949" w:type="dxa"/>
          </w:tcPr>
          <w:p>
            <w:pPr>
              <w:spacing w:after="0" w:line="240" w:lineRule="auto"/>
              <w:rPr>
                <w:rFonts w:cs="Calibri"/>
                <w:b/>
                <w:color w:val="000000"/>
                <w:lang w:val="en-GB"/>
              </w:rPr>
            </w:pPr>
            <w:r>
              <w:rPr>
                <w:rFonts w:cs="Calibri"/>
                <w:b/>
                <w:color w:val="000000"/>
                <w:lang w:val="en-GB"/>
              </w:rPr>
              <w:t>PEG10n</w:t>
            </w:r>
          </w:p>
        </w:tc>
        <w:tc>
          <w:tcPr>
            <w:tcW w:w="955" w:type="dxa"/>
          </w:tcPr>
          <w:p>
            <w:pPr>
              <w:spacing w:after="0" w:line="240" w:lineRule="auto"/>
              <w:rPr>
                <w:rFonts w:cs="Calibri"/>
                <w:b/>
                <w:color w:val="000000"/>
                <w:lang w:val="en-GB"/>
              </w:rPr>
            </w:pPr>
            <w:r>
              <w:rPr>
                <w:rFonts w:cs="Calibri"/>
                <w:b/>
                <w:color w:val="000000"/>
                <w:lang w:val="en-GB"/>
              </w:rPr>
              <w:t>PEG10q</w:t>
            </w:r>
          </w:p>
        </w:tc>
        <w:tc>
          <w:tcPr>
            <w:tcW w:w="838" w:type="dxa"/>
          </w:tcPr>
          <w:p>
            <w:pPr>
              <w:spacing w:after="0" w:line="240" w:lineRule="auto"/>
              <w:rPr>
                <w:rFonts w:cs="Calibri"/>
                <w:b/>
                <w:color w:val="000000"/>
                <w:lang w:val="en-GB"/>
              </w:rPr>
            </w:pPr>
            <w:r>
              <w:rPr>
                <w:rFonts w:cs="Calibri"/>
                <w:b/>
                <w:color w:val="000000"/>
                <w:lang w:val="en-GB"/>
              </w:rPr>
              <w:t>PEG6n</w:t>
            </w:r>
          </w:p>
        </w:tc>
        <w:tc>
          <w:tcPr>
            <w:tcW w:w="844" w:type="dxa"/>
          </w:tcPr>
          <w:p>
            <w:pPr>
              <w:spacing w:after="0" w:line="240" w:lineRule="auto"/>
              <w:rPr>
                <w:rFonts w:cs="Calibri"/>
                <w:b/>
                <w:color w:val="000000"/>
                <w:lang w:val="en-GB"/>
              </w:rPr>
            </w:pPr>
            <w:r>
              <w:rPr>
                <w:rFonts w:cs="Calibri"/>
                <w:b/>
                <w:color w:val="000000"/>
                <w:lang w:val="en-GB"/>
              </w:rPr>
              <w:t>PEG6q</w:t>
            </w:r>
          </w:p>
        </w:tc>
        <w:tc>
          <w:tcPr>
            <w:tcW w:w="663" w:type="dxa"/>
          </w:tcPr>
          <w:p>
            <w:pPr>
              <w:spacing w:after="0" w:line="240" w:lineRule="auto"/>
              <w:rPr>
                <w:rFonts w:cs="Calibri"/>
                <w:b/>
                <w:color w:val="000000"/>
                <w:lang w:val="en-GB"/>
              </w:rPr>
            </w:pPr>
            <w:r>
              <w:rPr>
                <w:rFonts w:cs="Calibri"/>
                <w:b/>
                <w:color w:val="000000"/>
                <w:lang w:val="en-GB"/>
              </w:rPr>
              <w:t>TEIn</w:t>
            </w:r>
          </w:p>
        </w:tc>
        <w:tc>
          <w:tcPr>
            <w:tcW w:w="663" w:type="dxa"/>
          </w:tcPr>
          <w:p>
            <w:pPr>
              <w:spacing w:after="0" w:line="240" w:lineRule="auto"/>
              <w:rPr>
                <w:rFonts w:cs="Calibri"/>
                <w:b/>
                <w:color w:val="000000"/>
                <w:lang w:val="en-GB"/>
              </w:rPr>
            </w:pPr>
            <w:r>
              <w:rPr>
                <w:rFonts w:cs="Calibri"/>
                <w:b/>
                <w:color w:val="000000"/>
                <w:lang w:val="en-GB"/>
              </w:rPr>
              <w:t>TEIq</w:t>
            </w:r>
          </w:p>
        </w:tc>
        <w:tc>
          <w:tcPr>
            <w:tcW w:w="663" w:type="dxa"/>
          </w:tcPr>
          <w:p>
            <w:pPr>
              <w:spacing w:after="0" w:line="240" w:lineRule="auto"/>
              <w:rPr>
                <w:rFonts w:cs="Calibri"/>
                <w:b/>
                <w:color w:val="000000"/>
                <w:lang w:val="en-GB"/>
              </w:rPr>
            </w:pPr>
            <w:r>
              <w:rPr>
                <w:rFonts w:cs="Calibri"/>
                <w:b/>
                <w:color w:val="000000"/>
                <w:lang w:val="en-GB"/>
              </w:rPr>
              <w:t>UCFn</w:t>
            </w:r>
          </w:p>
        </w:tc>
        <w:tc>
          <w:tcPr>
            <w:tcW w:w="774" w:type="dxa"/>
          </w:tcPr>
          <w:p>
            <w:pPr>
              <w:spacing w:after="0" w:line="240" w:lineRule="auto"/>
              <w:rPr>
                <w:rFonts w:cs="Calibri"/>
                <w:b/>
                <w:color w:val="000000"/>
                <w:lang w:val="en-GB"/>
              </w:rPr>
            </w:pPr>
            <w:r>
              <w:rPr>
                <w:rFonts w:cs="Calibri"/>
                <w:b/>
                <w:color w:val="000000"/>
                <w:lang w:val="en-GB"/>
              </w:rPr>
              <w:t>UCFq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90" w:type="dxa"/>
          </w:tcPr>
          <w:p>
            <w:pPr>
              <w:spacing w:after="0" w:line="240" w:lineRule="auto"/>
              <w:rPr>
                <w:rFonts w:cs="Calibri"/>
                <w:b/>
                <w:color w:val="000000"/>
                <w:lang w:val="en-GB"/>
              </w:rPr>
            </w:pPr>
            <w:r>
              <w:rPr>
                <w:rFonts w:cs="Calibri"/>
                <w:b/>
                <w:color w:val="000000"/>
                <w:lang w:val="en-GB"/>
              </w:rPr>
              <w:t>miRNAs</w:t>
            </w:r>
          </w:p>
        </w:tc>
        <w:tc>
          <w:tcPr>
            <w:tcW w:w="774" w:type="dxa"/>
          </w:tcPr>
          <w:p>
            <w:pPr>
              <w:spacing w:after="0" w:line="240" w:lineRule="auto"/>
              <w:rPr>
                <w:rFonts w:cs="Calibri"/>
                <w:color w:val="000000"/>
                <w:lang w:val="en-GB"/>
              </w:rPr>
            </w:pPr>
          </w:p>
        </w:tc>
        <w:tc>
          <w:tcPr>
            <w:tcW w:w="742" w:type="dxa"/>
          </w:tcPr>
          <w:p>
            <w:pPr>
              <w:spacing w:after="0" w:line="240" w:lineRule="auto"/>
              <w:rPr>
                <w:rFonts w:cs="Calibri"/>
                <w:color w:val="000000"/>
                <w:lang w:val="en-GB"/>
              </w:rPr>
            </w:pPr>
          </w:p>
        </w:tc>
        <w:tc>
          <w:tcPr>
            <w:tcW w:w="774" w:type="dxa"/>
          </w:tcPr>
          <w:p>
            <w:pPr>
              <w:spacing w:after="0" w:line="240" w:lineRule="auto"/>
              <w:rPr>
                <w:rFonts w:cs="Calibri"/>
                <w:color w:val="000000"/>
                <w:lang w:val="en-GB"/>
              </w:rPr>
            </w:pPr>
          </w:p>
        </w:tc>
        <w:tc>
          <w:tcPr>
            <w:tcW w:w="774" w:type="dxa"/>
          </w:tcPr>
          <w:p>
            <w:pPr>
              <w:spacing w:after="0" w:line="240" w:lineRule="auto"/>
              <w:rPr>
                <w:rFonts w:cs="Calibri"/>
                <w:color w:val="000000"/>
                <w:lang w:val="en-GB"/>
              </w:rPr>
            </w:pPr>
          </w:p>
        </w:tc>
        <w:tc>
          <w:tcPr>
            <w:tcW w:w="949" w:type="dxa"/>
          </w:tcPr>
          <w:p>
            <w:pPr>
              <w:spacing w:after="0" w:line="240" w:lineRule="auto"/>
              <w:rPr>
                <w:rFonts w:cs="Calibri"/>
                <w:color w:val="000000"/>
                <w:lang w:val="en-GB"/>
              </w:rPr>
            </w:pPr>
          </w:p>
        </w:tc>
        <w:tc>
          <w:tcPr>
            <w:tcW w:w="955" w:type="dxa"/>
          </w:tcPr>
          <w:p>
            <w:pPr>
              <w:spacing w:after="0" w:line="240" w:lineRule="auto"/>
              <w:rPr>
                <w:rFonts w:cs="Calibri"/>
                <w:color w:val="000000"/>
                <w:lang w:val="en-GB"/>
              </w:rPr>
            </w:pPr>
          </w:p>
        </w:tc>
        <w:tc>
          <w:tcPr>
            <w:tcW w:w="838" w:type="dxa"/>
          </w:tcPr>
          <w:p>
            <w:pPr>
              <w:spacing w:after="0" w:line="240" w:lineRule="auto"/>
              <w:rPr>
                <w:rFonts w:cs="Calibri"/>
                <w:color w:val="000000"/>
                <w:lang w:val="en-GB"/>
              </w:rPr>
            </w:pPr>
          </w:p>
        </w:tc>
        <w:tc>
          <w:tcPr>
            <w:tcW w:w="844" w:type="dxa"/>
          </w:tcPr>
          <w:p>
            <w:pPr>
              <w:spacing w:after="0" w:line="240" w:lineRule="auto"/>
              <w:rPr>
                <w:rFonts w:cs="Calibri"/>
                <w:color w:val="000000"/>
                <w:lang w:val="en-GB"/>
              </w:rPr>
            </w:pPr>
          </w:p>
        </w:tc>
        <w:tc>
          <w:tcPr>
            <w:tcW w:w="663" w:type="dxa"/>
          </w:tcPr>
          <w:p>
            <w:pPr>
              <w:spacing w:after="0" w:line="240" w:lineRule="auto"/>
              <w:rPr>
                <w:rFonts w:cs="Calibri"/>
                <w:color w:val="000000"/>
                <w:lang w:val="en-GB"/>
              </w:rPr>
            </w:pPr>
          </w:p>
        </w:tc>
        <w:tc>
          <w:tcPr>
            <w:tcW w:w="663" w:type="dxa"/>
          </w:tcPr>
          <w:p>
            <w:pPr>
              <w:spacing w:after="0" w:line="240" w:lineRule="auto"/>
              <w:rPr>
                <w:rFonts w:cs="Calibri"/>
                <w:color w:val="000000"/>
                <w:lang w:val="en-GB"/>
              </w:rPr>
            </w:pPr>
          </w:p>
        </w:tc>
        <w:tc>
          <w:tcPr>
            <w:tcW w:w="663" w:type="dxa"/>
          </w:tcPr>
          <w:p>
            <w:pPr>
              <w:spacing w:after="0" w:line="240" w:lineRule="auto"/>
              <w:rPr>
                <w:rFonts w:cs="Calibri"/>
                <w:color w:val="000000"/>
                <w:lang w:val="en-GB"/>
              </w:rPr>
            </w:pPr>
          </w:p>
        </w:tc>
        <w:tc>
          <w:tcPr>
            <w:tcW w:w="774" w:type="dxa"/>
          </w:tcPr>
          <w:p>
            <w:pPr>
              <w:spacing w:after="0" w:line="240" w:lineRule="auto"/>
              <w:rPr>
                <w:rFonts w:cs="Calibri"/>
                <w:color w:val="00000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190" w:type="dxa"/>
          </w:tcPr>
          <w:p>
            <w:pPr>
              <w:spacing w:after="0" w:line="240" w:lineRule="auto"/>
              <w:rPr>
                <w:rFonts w:cs="Calibri"/>
                <w:i/>
                <w:color w:val="000000"/>
                <w:lang w:val="en-GB"/>
              </w:rPr>
            </w:pPr>
            <w:r>
              <w:rPr>
                <w:rFonts w:cs="Calibri"/>
                <w:i/>
                <w:color w:val="000000"/>
                <w:lang w:val="en-GB"/>
              </w:rPr>
              <w:t xml:space="preserve">    number</w:t>
            </w:r>
          </w:p>
        </w:tc>
        <w:tc>
          <w:tcPr>
            <w:tcW w:w="774" w:type="dxa"/>
          </w:tcPr>
          <w:p>
            <w:pPr>
              <w:spacing w:after="0" w:line="240" w:lineRule="auto"/>
              <w:rPr>
                <w:rFonts w:cs="Calibri"/>
                <w:color w:val="000000"/>
                <w:lang w:val="en-GB"/>
              </w:rPr>
            </w:pPr>
            <w:r>
              <w:rPr>
                <w:rFonts w:cs="Calibri"/>
                <w:color w:val="000000"/>
                <w:lang w:val="en-GB"/>
              </w:rPr>
              <w:t>97</w:t>
            </w:r>
          </w:p>
        </w:tc>
        <w:tc>
          <w:tcPr>
            <w:tcW w:w="742" w:type="dxa"/>
          </w:tcPr>
          <w:p>
            <w:pPr>
              <w:spacing w:after="0" w:line="240" w:lineRule="auto"/>
              <w:rPr>
                <w:rFonts w:cs="Calibri"/>
                <w:color w:val="000000"/>
                <w:lang w:val="en-GB"/>
              </w:rPr>
            </w:pPr>
            <w:r>
              <w:rPr>
                <w:rFonts w:cs="Calibri"/>
                <w:color w:val="000000"/>
                <w:lang w:val="en-GB"/>
              </w:rPr>
              <w:t>118</w:t>
            </w:r>
          </w:p>
        </w:tc>
        <w:tc>
          <w:tcPr>
            <w:tcW w:w="774" w:type="dxa"/>
          </w:tcPr>
          <w:p>
            <w:pPr>
              <w:spacing w:after="0" w:line="240" w:lineRule="auto"/>
              <w:rPr>
                <w:rFonts w:cs="Calibri"/>
                <w:color w:val="000000"/>
                <w:lang w:val="en-GB"/>
              </w:rPr>
            </w:pPr>
            <w:r>
              <w:rPr>
                <w:rFonts w:cs="Calibri"/>
                <w:color w:val="000000"/>
                <w:lang w:val="en-GB"/>
              </w:rPr>
              <w:t>83</w:t>
            </w:r>
          </w:p>
        </w:tc>
        <w:tc>
          <w:tcPr>
            <w:tcW w:w="774" w:type="dxa"/>
          </w:tcPr>
          <w:p>
            <w:pPr>
              <w:spacing w:after="0" w:line="240" w:lineRule="auto"/>
              <w:rPr>
                <w:rFonts w:cs="Calibri"/>
                <w:color w:val="000000"/>
                <w:lang w:val="en-GB"/>
              </w:rPr>
            </w:pPr>
            <w:r>
              <w:rPr>
                <w:rFonts w:cs="Calibri"/>
                <w:color w:val="000000"/>
                <w:lang w:val="en-GB"/>
              </w:rPr>
              <w:t>77</w:t>
            </w:r>
          </w:p>
        </w:tc>
        <w:tc>
          <w:tcPr>
            <w:tcW w:w="949" w:type="dxa"/>
          </w:tcPr>
          <w:p>
            <w:pPr>
              <w:spacing w:after="0" w:line="240" w:lineRule="auto"/>
              <w:rPr>
                <w:rFonts w:cs="Calibri"/>
                <w:color w:val="000000"/>
                <w:lang w:val="en-GB"/>
              </w:rPr>
            </w:pPr>
            <w:r>
              <w:rPr>
                <w:rFonts w:cs="Calibri"/>
                <w:color w:val="000000"/>
                <w:lang w:val="en-GB"/>
              </w:rPr>
              <w:t>122</w:t>
            </w:r>
          </w:p>
        </w:tc>
        <w:tc>
          <w:tcPr>
            <w:tcW w:w="955" w:type="dxa"/>
          </w:tcPr>
          <w:p>
            <w:pPr>
              <w:spacing w:after="0" w:line="240" w:lineRule="auto"/>
              <w:rPr>
                <w:rFonts w:cs="Calibri"/>
                <w:color w:val="000000"/>
                <w:lang w:val="en-GB"/>
              </w:rPr>
            </w:pPr>
            <w:r>
              <w:rPr>
                <w:rFonts w:cs="Calibri"/>
                <w:color w:val="000000"/>
                <w:lang w:val="en-GB"/>
              </w:rPr>
              <w:t>156</w:t>
            </w:r>
          </w:p>
        </w:tc>
        <w:tc>
          <w:tcPr>
            <w:tcW w:w="838" w:type="dxa"/>
          </w:tcPr>
          <w:p>
            <w:pPr>
              <w:spacing w:after="0" w:line="240" w:lineRule="auto"/>
              <w:rPr>
                <w:rFonts w:cs="Calibri"/>
                <w:color w:val="000000"/>
                <w:lang w:val="en-GB"/>
              </w:rPr>
            </w:pPr>
            <w:r>
              <w:rPr>
                <w:rFonts w:cs="Calibri"/>
                <w:color w:val="000000"/>
                <w:lang w:val="en-GB"/>
              </w:rPr>
              <w:t>93</w:t>
            </w:r>
          </w:p>
        </w:tc>
        <w:tc>
          <w:tcPr>
            <w:tcW w:w="844" w:type="dxa"/>
          </w:tcPr>
          <w:p>
            <w:pPr>
              <w:spacing w:after="0" w:line="240" w:lineRule="auto"/>
              <w:rPr>
                <w:rFonts w:cs="Calibri"/>
                <w:color w:val="000000"/>
                <w:lang w:val="en-GB"/>
              </w:rPr>
            </w:pPr>
            <w:r>
              <w:rPr>
                <w:rFonts w:cs="Calibri"/>
                <w:color w:val="000000"/>
                <w:lang w:val="en-GB"/>
              </w:rPr>
              <w:t>152</w:t>
            </w:r>
          </w:p>
        </w:tc>
        <w:tc>
          <w:tcPr>
            <w:tcW w:w="663" w:type="dxa"/>
          </w:tcPr>
          <w:p>
            <w:pPr>
              <w:spacing w:after="0" w:line="240" w:lineRule="auto"/>
              <w:rPr>
                <w:rFonts w:cs="Calibri"/>
                <w:color w:val="000000"/>
              </w:rPr>
            </w:pPr>
            <w:r>
              <w:rPr>
                <w:rFonts w:cs="Calibri"/>
                <w:color w:val="000000"/>
                <w:lang w:val="en-GB"/>
              </w:rPr>
              <w:t>1</w:t>
            </w:r>
            <w:r>
              <w:rPr>
                <w:rFonts w:cs="Calibri"/>
                <w:color w:val="000000"/>
              </w:rPr>
              <w:t>30</w:t>
            </w:r>
          </w:p>
        </w:tc>
        <w:tc>
          <w:tcPr>
            <w:tcW w:w="663" w:type="dxa"/>
          </w:tcPr>
          <w:p>
            <w:pPr>
              <w:spacing w:after="0" w:line="240" w:lineRule="auto"/>
              <w:rPr>
                <w:rFonts w:cs="Calibri"/>
                <w:color w:val="000000"/>
              </w:rPr>
            </w:pPr>
            <w:r>
              <w:rPr>
                <w:rFonts w:cs="Calibri"/>
                <w:color w:val="000000"/>
              </w:rPr>
              <w:t>154</w:t>
            </w:r>
          </w:p>
        </w:tc>
        <w:tc>
          <w:tcPr>
            <w:tcW w:w="663" w:type="dxa"/>
          </w:tcPr>
          <w:p>
            <w:pPr>
              <w:spacing w:after="0" w:line="240" w:lineRule="auto"/>
              <w:rPr>
                <w:rFonts w:cs="Calibri"/>
                <w:color w:val="000000"/>
              </w:rPr>
            </w:pPr>
            <w:r>
              <w:rPr>
                <w:rFonts w:cs="Calibri"/>
                <w:color w:val="000000"/>
              </w:rPr>
              <w:t>122</w:t>
            </w:r>
          </w:p>
        </w:tc>
        <w:tc>
          <w:tcPr>
            <w:tcW w:w="774" w:type="dxa"/>
          </w:tcPr>
          <w:p>
            <w:pPr>
              <w:spacing w:after="0" w:line="240" w:lineRule="auto"/>
              <w:rPr>
                <w:rFonts w:cs="Calibri"/>
                <w:color w:val="000000"/>
              </w:rPr>
            </w:pPr>
            <w:r>
              <w:rPr>
                <w:rFonts w:cs="Calibri"/>
                <w:color w:val="000000"/>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190" w:type="dxa"/>
          </w:tcPr>
          <w:p>
            <w:pPr>
              <w:spacing w:after="0" w:line="240" w:lineRule="auto"/>
              <w:rPr>
                <w:rFonts w:cs="Calibri"/>
                <w:i/>
                <w:color w:val="000000"/>
              </w:rPr>
            </w:pPr>
            <w:r>
              <w:rPr>
                <w:rFonts w:cs="Calibri"/>
                <w:i/>
                <w:color w:val="000000"/>
              </w:rPr>
              <w:t xml:space="preserve">    counts</w:t>
            </w:r>
          </w:p>
        </w:tc>
        <w:tc>
          <w:tcPr>
            <w:tcW w:w="774" w:type="dxa"/>
          </w:tcPr>
          <w:p>
            <w:pPr>
              <w:spacing w:after="0" w:line="240" w:lineRule="auto"/>
              <w:rPr>
                <w:rFonts w:cs="Calibri"/>
                <w:color w:val="000000"/>
              </w:rPr>
            </w:pPr>
            <w:r>
              <w:rPr>
                <w:rFonts w:cs="Calibri"/>
                <w:color w:val="000000"/>
              </w:rPr>
              <w:t>14416</w:t>
            </w:r>
          </w:p>
        </w:tc>
        <w:tc>
          <w:tcPr>
            <w:tcW w:w="742" w:type="dxa"/>
          </w:tcPr>
          <w:p>
            <w:pPr>
              <w:spacing w:after="0" w:line="240" w:lineRule="auto"/>
              <w:rPr>
                <w:rFonts w:cs="Calibri"/>
                <w:color w:val="000000"/>
              </w:rPr>
            </w:pPr>
            <w:r>
              <w:rPr>
                <w:rFonts w:cs="Calibri"/>
                <w:color w:val="000000"/>
              </w:rPr>
              <w:t>8547</w:t>
            </w:r>
          </w:p>
        </w:tc>
        <w:tc>
          <w:tcPr>
            <w:tcW w:w="774" w:type="dxa"/>
          </w:tcPr>
          <w:p>
            <w:pPr>
              <w:spacing w:after="0" w:line="240" w:lineRule="auto"/>
              <w:rPr>
                <w:rFonts w:cs="Calibri"/>
                <w:color w:val="000000"/>
              </w:rPr>
            </w:pPr>
            <w:r>
              <w:rPr>
                <w:rFonts w:cs="Calibri"/>
                <w:color w:val="000000"/>
              </w:rPr>
              <w:t>12195</w:t>
            </w:r>
          </w:p>
        </w:tc>
        <w:tc>
          <w:tcPr>
            <w:tcW w:w="774" w:type="dxa"/>
          </w:tcPr>
          <w:p>
            <w:pPr>
              <w:spacing w:after="0" w:line="240" w:lineRule="auto"/>
              <w:rPr>
                <w:rFonts w:cs="Calibri"/>
                <w:color w:val="000000"/>
              </w:rPr>
            </w:pPr>
            <w:r>
              <w:rPr>
                <w:rFonts w:cs="Calibri"/>
                <w:color w:val="000000"/>
              </w:rPr>
              <w:t>13158</w:t>
            </w:r>
          </w:p>
        </w:tc>
        <w:tc>
          <w:tcPr>
            <w:tcW w:w="949" w:type="dxa"/>
          </w:tcPr>
          <w:p>
            <w:pPr>
              <w:spacing w:after="0" w:line="240" w:lineRule="auto"/>
              <w:rPr>
                <w:rFonts w:cs="Calibri"/>
                <w:color w:val="000000"/>
              </w:rPr>
            </w:pPr>
            <w:r>
              <w:rPr>
                <w:rFonts w:cs="Calibri"/>
                <w:color w:val="000000"/>
              </w:rPr>
              <w:t>8264</w:t>
            </w:r>
          </w:p>
        </w:tc>
        <w:tc>
          <w:tcPr>
            <w:tcW w:w="955" w:type="dxa"/>
          </w:tcPr>
          <w:p>
            <w:pPr>
              <w:spacing w:after="0" w:line="240" w:lineRule="auto"/>
              <w:rPr>
                <w:rFonts w:cs="Calibri"/>
                <w:color w:val="000000"/>
              </w:rPr>
            </w:pPr>
            <w:r>
              <w:rPr>
                <w:rFonts w:cs="Calibri"/>
                <w:color w:val="000000"/>
              </w:rPr>
              <w:t>6452</w:t>
            </w:r>
          </w:p>
        </w:tc>
        <w:tc>
          <w:tcPr>
            <w:tcW w:w="838" w:type="dxa"/>
          </w:tcPr>
          <w:p>
            <w:pPr>
              <w:spacing w:after="0" w:line="240" w:lineRule="auto"/>
              <w:rPr>
                <w:rFonts w:cs="Calibri"/>
                <w:color w:val="000000"/>
              </w:rPr>
            </w:pPr>
            <w:r>
              <w:rPr>
                <w:rFonts w:cs="Calibri"/>
                <w:color w:val="000000"/>
              </w:rPr>
              <w:t>10869</w:t>
            </w:r>
          </w:p>
        </w:tc>
        <w:tc>
          <w:tcPr>
            <w:tcW w:w="844" w:type="dxa"/>
          </w:tcPr>
          <w:p>
            <w:pPr>
              <w:spacing w:after="0" w:line="240" w:lineRule="auto"/>
              <w:rPr>
                <w:rFonts w:cs="Calibri"/>
                <w:color w:val="000000"/>
              </w:rPr>
            </w:pPr>
            <w:r>
              <w:rPr>
                <w:rFonts w:cs="Calibri"/>
                <w:color w:val="000000"/>
              </w:rPr>
              <w:t>6622</w:t>
            </w:r>
          </w:p>
        </w:tc>
        <w:tc>
          <w:tcPr>
            <w:tcW w:w="663" w:type="dxa"/>
          </w:tcPr>
          <w:p>
            <w:pPr>
              <w:spacing w:after="0" w:line="240" w:lineRule="auto"/>
              <w:rPr>
                <w:rFonts w:cs="Calibri"/>
                <w:color w:val="000000"/>
              </w:rPr>
            </w:pPr>
            <w:r>
              <w:rPr>
                <w:rFonts w:cs="Calibri"/>
                <w:color w:val="000000"/>
              </w:rPr>
              <w:t>7520</w:t>
            </w:r>
          </w:p>
        </w:tc>
        <w:tc>
          <w:tcPr>
            <w:tcW w:w="663" w:type="dxa"/>
          </w:tcPr>
          <w:p>
            <w:pPr>
              <w:spacing w:after="0" w:line="240" w:lineRule="auto"/>
              <w:rPr>
                <w:rFonts w:cs="Calibri"/>
                <w:color w:val="000000"/>
              </w:rPr>
            </w:pPr>
            <w:r>
              <w:rPr>
                <w:rFonts w:cs="Calibri"/>
                <w:color w:val="000000"/>
              </w:rPr>
              <w:t>6536</w:t>
            </w:r>
          </w:p>
        </w:tc>
        <w:tc>
          <w:tcPr>
            <w:tcW w:w="663" w:type="dxa"/>
          </w:tcPr>
          <w:p>
            <w:pPr>
              <w:spacing w:after="0" w:line="240" w:lineRule="auto"/>
              <w:rPr>
                <w:rFonts w:cs="Calibri"/>
                <w:color w:val="000000"/>
              </w:rPr>
            </w:pPr>
            <w:r>
              <w:rPr>
                <w:rFonts w:cs="Calibri"/>
                <w:color w:val="000000"/>
              </w:rPr>
              <w:t>8264</w:t>
            </w:r>
          </w:p>
        </w:tc>
        <w:tc>
          <w:tcPr>
            <w:tcW w:w="774" w:type="dxa"/>
          </w:tcPr>
          <w:p>
            <w:pPr>
              <w:spacing w:after="0" w:line="240" w:lineRule="auto"/>
              <w:rPr>
                <w:rFonts w:cs="Calibri"/>
                <w:color w:val="000000"/>
              </w:rPr>
            </w:pPr>
            <w:r>
              <w:rPr>
                <w:rFonts w:cs="Calibri"/>
                <w:color w:val="000000"/>
              </w:rPr>
              <w:t>10989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190" w:type="dxa"/>
          </w:tcPr>
          <w:p>
            <w:pPr>
              <w:spacing w:after="0" w:line="240" w:lineRule="auto"/>
              <w:rPr>
                <w:rFonts w:cs="Calibri"/>
                <w:b/>
                <w:color w:val="000000"/>
              </w:rPr>
            </w:pPr>
            <w:r>
              <w:rPr>
                <w:rFonts w:cs="Calibri"/>
                <w:b/>
                <w:color w:val="000000"/>
              </w:rPr>
              <w:t>smRNAs</w:t>
            </w:r>
          </w:p>
        </w:tc>
        <w:tc>
          <w:tcPr>
            <w:tcW w:w="774" w:type="dxa"/>
          </w:tcPr>
          <w:p>
            <w:pPr>
              <w:spacing w:after="0" w:line="240" w:lineRule="auto"/>
              <w:rPr>
                <w:rFonts w:cs="Calibri"/>
                <w:color w:val="000000"/>
              </w:rPr>
            </w:pPr>
          </w:p>
        </w:tc>
        <w:tc>
          <w:tcPr>
            <w:tcW w:w="742" w:type="dxa"/>
          </w:tcPr>
          <w:p>
            <w:pPr>
              <w:spacing w:after="0" w:line="240" w:lineRule="auto"/>
              <w:rPr>
                <w:rFonts w:cs="Calibri"/>
                <w:color w:val="000000"/>
              </w:rPr>
            </w:pPr>
          </w:p>
        </w:tc>
        <w:tc>
          <w:tcPr>
            <w:tcW w:w="774" w:type="dxa"/>
          </w:tcPr>
          <w:p>
            <w:pPr>
              <w:spacing w:after="0" w:line="240" w:lineRule="auto"/>
              <w:rPr>
                <w:rFonts w:cs="Calibri"/>
                <w:color w:val="000000"/>
              </w:rPr>
            </w:pPr>
          </w:p>
        </w:tc>
        <w:tc>
          <w:tcPr>
            <w:tcW w:w="774" w:type="dxa"/>
          </w:tcPr>
          <w:p>
            <w:pPr>
              <w:spacing w:after="0" w:line="240" w:lineRule="auto"/>
              <w:rPr>
                <w:rFonts w:cs="Calibri"/>
                <w:color w:val="000000"/>
              </w:rPr>
            </w:pPr>
          </w:p>
        </w:tc>
        <w:tc>
          <w:tcPr>
            <w:tcW w:w="949" w:type="dxa"/>
          </w:tcPr>
          <w:p>
            <w:pPr>
              <w:spacing w:after="0" w:line="240" w:lineRule="auto"/>
              <w:rPr>
                <w:rFonts w:cs="Calibri"/>
                <w:color w:val="000000"/>
              </w:rPr>
            </w:pPr>
          </w:p>
        </w:tc>
        <w:tc>
          <w:tcPr>
            <w:tcW w:w="955" w:type="dxa"/>
          </w:tcPr>
          <w:p>
            <w:pPr>
              <w:spacing w:after="0" w:line="240" w:lineRule="auto"/>
              <w:rPr>
                <w:rFonts w:cs="Calibri"/>
                <w:color w:val="000000"/>
              </w:rPr>
            </w:pPr>
          </w:p>
        </w:tc>
        <w:tc>
          <w:tcPr>
            <w:tcW w:w="838" w:type="dxa"/>
          </w:tcPr>
          <w:p>
            <w:pPr>
              <w:spacing w:after="0" w:line="240" w:lineRule="auto"/>
              <w:rPr>
                <w:rFonts w:cs="Calibri"/>
                <w:color w:val="000000"/>
              </w:rPr>
            </w:pPr>
          </w:p>
        </w:tc>
        <w:tc>
          <w:tcPr>
            <w:tcW w:w="844" w:type="dxa"/>
          </w:tcPr>
          <w:p>
            <w:pPr>
              <w:spacing w:after="0" w:line="240" w:lineRule="auto"/>
              <w:rPr>
                <w:rFonts w:cs="Calibri"/>
                <w:color w:val="000000"/>
              </w:rPr>
            </w:pPr>
          </w:p>
        </w:tc>
        <w:tc>
          <w:tcPr>
            <w:tcW w:w="663" w:type="dxa"/>
          </w:tcPr>
          <w:p>
            <w:pPr>
              <w:spacing w:after="0" w:line="240" w:lineRule="auto"/>
              <w:rPr>
                <w:rFonts w:cs="Calibri"/>
                <w:color w:val="000000"/>
              </w:rPr>
            </w:pPr>
          </w:p>
        </w:tc>
        <w:tc>
          <w:tcPr>
            <w:tcW w:w="663" w:type="dxa"/>
          </w:tcPr>
          <w:p>
            <w:pPr>
              <w:spacing w:after="0" w:line="240" w:lineRule="auto"/>
              <w:rPr>
                <w:rFonts w:cs="Calibri"/>
                <w:color w:val="000000"/>
              </w:rPr>
            </w:pPr>
          </w:p>
        </w:tc>
        <w:tc>
          <w:tcPr>
            <w:tcW w:w="663" w:type="dxa"/>
          </w:tcPr>
          <w:p>
            <w:pPr>
              <w:spacing w:after="0" w:line="240" w:lineRule="auto"/>
              <w:rPr>
                <w:rFonts w:cs="Calibri"/>
                <w:color w:val="000000"/>
              </w:rPr>
            </w:pPr>
          </w:p>
        </w:tc>
        <w:tc>
          <w:tcPr>
            <w:tcW w:w="774" w:type="dxa"/>
          </w:tcPr>
          <w:p>
            <w:pPr>
              <w:spacing w:after="0" w:line="240" w:lineRule="auto"/>
              <w:rPr>
                <w:rFonts w:cs="Calibri"/>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190" w:type="dxa"/>
          </w:tcPr>
          <w:p>
            <w:pPr>
              <w:spacing w:after="0" w:line="240" w:lineRule="auto"/>
              <w:rPr>
                <w:rFonts w:cs="Calibri"/>
                <w:i/>
                <w:color w:val="000000"/>
              </w:rPr>
            </w:pPr>
            <w:r>
              <w:rPr>
                <w:rFonts w:cs="Calibri"/>
                <w:i/>
                <w:color w:val="000000"/>
              </w:rPr>
              <w:t xml:space="preserve">    number</w:t>
            </w:r>
          </w:p>
        </w:tc>
        <w:tc>
          <w:tcPr>
            <w:tcW w:w="774" w:type="dxa"/>
          </w:tcPr>
          <w:p>
            <w:pPr>
              <w:spacing w:after="0" w:line="240" w:lineRule="auto"/>
              <w:rPr>
                <w:rFonts w:cs="Calibri"/>
                <w:color w:val="000000"/>
              </w:rPr>
            </w:pPr>
            <w:r>
              <w:rPr>
                <w:rFonts w:cs="Calibri"/>
                <w:color w:val="000000"/>
              </w:rPr>
              <w:t>710</w:t>
            </w:r>
          </w:p>
        </w:tc>
        <w:tc>
          <w:tcPr>
            <w:tcW w:w="742" w:type="dxa"/>
          </w:tcPr>
          <w:p>
            <w:pPr>
              <w:spacing w:after="0" w:line="240" w:lineRule="auto"/>
              <w:rPr>
                <w:rFonts w:cs="Calibri"/>
                <w:color w:val="000000"/>
              </w:rPr>
            </w:pPr>
            <w:r>
              <w:rPr>
                <w:rFonts w:cs="Calibri"/>
                <w:color w:val="000000"/>
              </w:rPr>
              <w:t>618</w:t>
            </w:r>
          </w:p>
        </w:tc>
        <w:tc>
          <w:tcPr>
            <w:tcW w:w="774" w:type="dxa"/>
          </w:tcPr>
          <w:p>
            <w:pPr>
              <w:spacing w:after="0" w:line="240" w:lineRule="auto"/>
              <w:rPr>
                <w:rFonts w:cs="Calibri"/>
                <w:color w:val="000000"/>
              </w:rPr>
            </w:pPr>
            <w:r>
              <w:rPr>
                <w:rFonts w:cs="Calibri"/>
                <w:color w:val="000000"/>
              </w:rPr>
              <w:t>420</w:t>
            </w:r>
          </w:p>
        </w:tc>
        <w:tc>
          <w:tcPr>
            <w:tcW w:w="774" w:type="dxa"/>
          </w:tcPr>
          <w:p>
            <w:pPr>
              <w:spacing w:after="0" w:line="240" w:lineRule="auto"/>
              <w:rPr>
                <w:rFonts w:cs="Calibri"/>
                <w:color w:val="000000"/>
              </w:rPr>
            </w:pPr>
            <w:r>
              <w:rPr>
                <w:rFonts w:cs="Calibri"/>
                <w:color w:val="000000"/>
              </w:rPr>
              <w:t>483</w:t>
            </w:r>
          </w:p>
        </w:tc>
        <w:tc>
          <w:tcPr>
            <w:tcW w:w="949" w:type="dxa"/>
          </w:tcPr>
          <w:p>
            <w:pPr>
              <w:spacing w:after="0" w:line="240" w:lineRule="auto"/>
              <w:rPr>
                <w:rFonts w:cs="Calibri"/>
                <w:color w:val="000000"/>
              </w:rPr>
            </w:pPr>
            <w:r>
              <w:rPr>
                <w:rFonts w:cs="Calibri"/>
                <w:color w:val="000000"/>
              </w:rPr>
              <w:t>402</w:t>
            </w:r>
          </w:p>
        </w:tc>
        <w:tc>
          <w:tcPr>
            <w:tcW w:w="955" w:type="dxa"/>
          </w:tcPr>
          <w:p>
            <w:pPr>
              <w:spacing w:after="0" w:line="240" w:lineRule="auto"/>
              <w:rPr>
                <w:rFonts w:cs="Calibri"/>
                <w:color w:val="000000"/>
              </w:rPr>
            </w:pPr>
            <w:r>
              <w:rPr>
                <w:rFonts w:cs="Calibri"/>
                <w:color w:val="000000"/>
              </w:rPr>
              <w:t>730</w:t>
            </w:r>
          </w:p>
        </w:tc>
        <w:tc>
          <w:tcPr>
            <w:tcW w:w="838" w:type="dxa"/>
          </w:tcPr>
          <w:p>
            <w:pPr>
              <w:spacing w:after="0" w:line="240" w:lineRule="auto"/>
              <w:rPr>
                <w:rFonts w:cs="Calibri"/>
                <w:color w:val="000000"/>
              </w:rPr>
            </w:pPr>
            <w:r>
              <w:rPr>
                <w:rFonts w:cs="Calibri"/>
                <w:color w:val="000000"/>
              </w:rPr>
              <w:t>458</w:t>
            </w:r>
          </w:p>
        </w:tc>
        <w:tc>
          <w:tcPr>
            <w:tcW w:w="844" w:type="dxa"/>
          </w:tcPr>
          <w:p>
            <w:pPr>
              <w:spacing w:after="0" w:line="240" w:lineRule="auto"/>
              <w:rPr>
                <w:rFonts w:cs="Calibri"/>
                <w:color w:val="000000"/>
              </w:rPr>
            </w:pPr>
            <w:r>
              <w:rPr>
                <w:rFonts w:cs="Calibri"/>
                <w:color w:val="000000"/>
              </w:rPr>
              <w:t>621</w:t>
            </w:r>
          </w:p>
        </w:tc>
        <w:tc>
          <w:tcPr>
            <w:tcW w:w="663" w:type="dxa"/>
          </w:tcPr>
          <w:p>
            <w:pPr>
              <w:spacing w:after="0" w:line="240" w:lineRule="auto"/>
              <w:rPr>
                <w:rFonts w:cs="Calibri"/>
                <w:color w:val="000000"/>
              </w:rPr>
            </w:pPr>
            <w:r>
              <w:rPr>
                <w:rFonts w:cs="Calibri"/>
                <w:color w:val="000000"/>
              </w:rPr>
              <w:t>426</w:t>
            </w:r>
          </w:p>
        </w:tc>
        <w:tc>
          <w:tcPr>
            <w:tcW w:w="663" w:type="dxa"/>
          </w:tcPr>
          <w:p>
            <w:pPr>
              <w:spacing w:after="0" w:line="240" w:lineRule="auto"/>
              <w:rPr>
                <w:rFonts w:cs="Calibri"/>
                <w:color w:val="000000"/>
              </w:rPr>
            </w:pPr>
            <w:r>
              <w:rPr>
                <w:rFonts w:cs="Calibri"/>
                <w:color w:val="000000"/>
              </w:rPr>
              <w:t>745</w:t>
            </w:r>
          </w:p>
        </w:tc>
        <w:tc>
          <w:tcPr>
            <w:tcW w:w="663" w:type="dxa"/>
          </w:tcPr>
          <w:p>
            <w:pPr>
              <w:spacing w:after="0" w:line="240" w:lineRule="auto"/>
              <w:rPr>
                <w:rFonts w:cs="Calibri"/>
                <w:color w:val="000000"/>
              </w:rPr>
            </w:pPr>
            <w:r>
              <w:rPr>
                <w:rFonts w:cs="Calibri"/>
                <w:color w:val="000000"/>
              </w:rPr>
              <w:t>438</w:t>
            </w:r>
          </w:p>
        </w:tc>
        <w:tc>
          <w:tcPr>
            <w:tcW w:w="774" w:type="dxa"/>
          </w:tcPr>
          <w:p>
            <w:pPr>
              <w:spacing w:after="0" w:line="240" w:lineRule="auto"/>
              <w:rPr>
                <w:rFonts w:cs="Calibri"/>
                <w:color w:val="000000"/>
              </w:rPr>
            </w:pPr>
            <w:r>
              <w:rPr>
                <w:rFonts w:cs="Calibri"/>
                <w:color w:val="000000"/>
              </w:rPr>
              <w:t>587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190" w:type="dxa"/>
          </w:tcPr>
          <w:p>
            <w:pPr>
              <w:spacing w:after="0" w:line="240" w:lineRule="auto"/>
              <w:rPr>
                <w:rFonts w:cs="Calibri"/>
                <w:i/>
                <w:color w:val="000000"/>
              </w:rPr>
            </w:pPr>
            <w:r>
              <w:rPr>
                <w:rFonts w:cs="Calibri"/>
                <w:i/>
                <w:color w:val="000000"/>
              </w:rPr>
              <w:t xml:space="preserve">    counts</w:t>
            </w:r>
          </w:p>
        </w:tc>
        <w:tc>
          <w:tcPr>
            <w:tcW w:w="774" w:type="dxa"/>
          </w:tcPr>
          <w:p>
            <w:pPr>
              <w:spacing w:after="0" w:line="240" w:lineRule="auto"/>
              <w:rPr>
                <w:rFonts w:cs="Calibri"/>
                <w:color w:val="000000"/>
              </w:rPr>
            </w:pPr>
            <w:r>
              <w:rPr>
                <w:rFonts w:cs="Calibri"/>
                <w:color w:val="000000"/>
              </w:rPr>
              <w:t>1412</w:t>
            </w:r>
          </w:p>
        </w:tc>
        <w:tc>
          <w:tcPr>
            <w:tcW w:w="742" w:type="dxa"/>
          </w:tcPr>
          <w:p>
            <w:pPr>
              <w:spacing w:after="0" w:line="240" w:lineRule="auto"/>
              <w:rPr>
                <w:rFonts w:cs="Calibri"/>
                <w:color w:val="000000"/>
              </w:rPr>
            </w:pPr>
            <w:r>
              <w:rPr>
                <w:rFonts w:cs="Calibri"/>
                <w:color w:val="000000"/>
              </w:rPr>
              <w:t>1623</w:t>
            </w:r>
          </w:p>
        </w:tc>
        <w:tc>
          <w:tcPr>
            <w:tcW w:w="774" w:type="dxa"/>
          </w:tcPr>
          <w:p>
            <w:pPr>
              <w:spacing w:after="0" w:line="240" w:lineRule="auto"/>
              <w:rPr>
                <w:rFonts w:cs="Calibri"/>
                <w:color w:val="000000"/>
              </w:rPr>
            </w:pPr>
            <w:r>
              <w:rPr>
                <w:rFonts w:cs="Calibri"/>
                <w:color w:val="000000"/>
              </w:rPr>
              <w:t>2392</w:t>
            </w:r>
          </w:p>
        </w:tc>
        <w:tc>
          <w:tcPr>
            <w:tcW w:w="774" w:type="dxa"/>
          </w:tcPr>
          <w:p>
            <w:pPr>
              <w:spacing w:after="0" w:line="240" w:lineRule="auto"/>
              <w:rPr>
                <w:rFonts w:cs="Calibri"/>
                <w:color w:val="000000"/>
              </w:rPr>
            </w:pPr>
            <w:r>
              <w:rPr>
                <w:rFonts w:cs="Calibri"/>
                <w:color w:val="000000"/>
              </w:rPr>
              <w:t>2079</w:t>
            </w:r>
          </w:p>
        </w:tc>
        <w:tc>
          <w:tcPr>
            <w:tcW w:w="949" w:type="dxa"/>
          </w:tcPr>
          <w:p>
            <w:pPr>
              <w:spacing w:after="0" w:line="240" w:lineRule="auto"/>
              <w:rPr>
                <w:rFonts w:cs="Calibri"/>
                <w:color w:val="000000"/>
              </w:rPr>
            </w:pPr>
            <w:r>
              <w:rPr>
                <w:rFonts w:cs="Calibri"/>
                <w:color w:val="000000"/>
              </w:rPr>
              <w:t>2500</w:t>
            </w:r>
          </w:p>
        </w:tc>
        <w:tc>
          <w:tcPr>
            <w:tcW w:w="955" w:type="dxa"/>
          </w:tcPr>
          <w:p>
            <w:pPr>
              <w:spacing w:after="0" w:line="240" w:lineRule="auto"/>
              <w:rPr>
                <w:rFonts w:cs="Calibri"/>
                <w:color w:val="000000"/>
              </w:rPr>
            </w:pPr>
            <w:r>
              <w:rPr>
                <w:rFonts w:cs="Calibri"/>
                <w:color w:val="000000"/>
              </w:rPr>
              <w:t>1373</w:t>
            </w:r>
          </w:p>
        </w:tc>
        <w:tc>
          <w:tcPr>
            <w:tcW w:w="838" w:type="dxa"/>
          </w:tcPr>
          <w:p>
            <w:pPr>
              <w:spacing w:after="0" w:line="240" w:lineRule="auto"/>
              <w:rPr>
                <w:rFonts w:cs="Calibri"/>
                <w:color w:val="000000"/>
              </w:rPr>
            </w:pPr>
            <w:r>
              <w:rPr>
                <w:rFonts w:cs="Calibri"/>
                <w:color w:val="000000"/>
              </w:rPr>
              <w:t>2193</w:t>
            </w:r>
          </w:p>
        </w:tc>
        <w:tc>
          <w:tcPr>
            <w:tcW w:w="844" w:type="dxa"/>
          </w:tcPr>
          <w:p>
            <w:pPr>
              <w:spacing w:after="0" w:line="240" w:lineRule="auto"/>
              <w:rPr>
                <w:rFonts w:cs="Calibri"/>
                <w:color w:val="000000"/>
              </w:rPr>
            </w:pPr>
            <w:r>
              <w:rPr>
                <w:rFonts w:cs="Calibri"/>
                <w:color w:val="000000"/>
              </w:rPr>
              <w:t>1615</w:t>
            </w:r>
          </w:p>
        </w:tc>
        <w:tc>
          <w:tcPr>
            <w:tcW w:w="663" w:type="dxa"/>
          </w:tcPr>
          <w:p>
            <w:pPr>
              <w:spacing w:after="0" w:line="240" w:lineRule="auto"/>
              <w:rPr>
                <w:rFonts w:cs="Calibri"/>
                <w:color w:val="000000"/>
              </w:rPr>
            </w:pPr>
            <w:r>
              <w:rPr>
                <w:rFonts w:cs="Calibri"/>
                <w:color w:val="000000"/>
              </w:rPr>
              <w:t>2358</w:t>
            </w:r>
          </w:p>
        </w:tc>
        <w:tc>
          <w:tcPr>
            <w:tcW w:w="663" w:type="dxa"/>
          </w:tcPr>
          <w:p>
            <w:pPr>
              <w:spacing w:after="0" w:line="240" w:lineRule="auto"/>
              <w:rPr>
                <w:rFonts w:cs="Calibri"/>
                <w:color w:val="000000"/>
              </w:rPr>
            </w:pPr>
            <w:r>
              <w:rPr>
                <w:rFonts w:cs="Calibri"/>
                <w:color w:val="000000"/>
              </w:rPr>
              <w:t>1346</w:t>
            </w:r>
          </w:p>
        </w:tc>
        <w:tc>
          <w:tcPr>
            <w:tcW w:w="663" w:type="dxa"/>
          </w:tcPr>
          <w:p>
            <w:pPr>
              <w:spacing w:after="0" w:line="240" w:lineRule="auto"/>
              <w:rPr>
                <w:rFonts w:cs="Calibri"/>
                <w:color w:val="000000"/>
              </w:rPr>
            </w:pPr>
            <w:r>
              <w:rPr>
                <w:rFonts w:cs="Calibri"/>
                <w:color w:val="000000"/>
              </w:rPr>
              <w:t>2294</w:t>
            </w:r>
          </w:p>
        </w:tc>
        <w:tc>
          <w:tcPr>
            <w:tcW w:w="774" w:type="dxa"/>
          </w:tcPr>
          <w:p>
            <w:pPr>
              <w:spacing w:after="0" w:line="240" w:lineRule="auto"/>
              <w:rPr>
                <w:rFonts w:cs="Calibri"/>
                <w:color w:val="000000"/>
              </w:rPr>
            </w:pPr>
            <w:r>
              <w:rPr>
                <w:rFonts w:cs="Calibri"/>
                <w:color w:val="000000"/>
              </w:rPr>
              <w:t>1709</w:t>
            </w:r>
          </w:p>
        </w:tc>
      </w:tr>
    </w:tbl>
    <w:p>
      <w:pPr>
        <w:rPr>
          <w:rFonts w:cs="Calibri"/>
          <w:color w:val="000000"/>
          <w:lang w:val="en-GB"/>
        </w:rPr>
      </w:pPr>
      <w:r>
        <w:rPr>
          <w:rFonts w:cs="Calibri"/>
          <w:color w:val="000000"/>
          <w:lang w:val="en-GB"/>
        </w:rPr>
        <w:t xml:space="preserve"> </w:t>
      </w:r>
    </w:p>
    <w:p>
      <w:pPr>
        <w:rPr>
          <w:lang w:val="en-GB"/>
        </w:rPr>
      </w:pPr>
      <w:r>
        <w:rPr>
          <w:lang w:val="en-GB"/>
        </w:rPr>
        <w:br w:type="page"/>
      </w:r>
      <w:bookmarkStart w:id="0" w:name="_GoBack"/>
      <w:bookmarkEnd w:id="0"/>
    </w:p>
    <w:p>
      <w:pPr>
        <w:pStyle w:val="3"/>
        <w:spacing w:after="40"/>
        <w:rPr>
          <w:lang w:val="en-GB"/>
        </w:rPr>
      </w:pPr>
      <w:r>
        <w:rPr>
          <w:rFonts w:ascii="Calibri" w:hAnsi="Calibri" w:cs="Calibri"/>
          <w:b/>
          <w:color w:val="auto"/>
          <w:sz w:val="24"/>
          <w:szCs w:val="24"/>
          <w:lang w:val="en-GB"/>
        </w:rPr>
        <w:t xml:space="preserve">Supplementary Table </w:t>
      </w:r>
      <w:r>
        <w:rPr>
          <w:rFonts w:hint="default" w:ascii="Calibri" w:hAnsi="Calibri" w:cs="Calibri"/>
          <w:b/>
          <w:color w:val="auto"/>
          <w:sz w:val="24"/>
          <w:szCs w:val="24"/>
          <w:lang w:val="es-ES"/>
        </w:rPr>
        <w:t>3</w:t>
      </w:r>
      <w:r>
        <w:rPr>
          <w:rFonts w:ascii="Calibri" w:hAnsi="Calibri" w:cs="Calibri"/>
          <w:b/>
          <w:color w:val="auto"/>
          <w:sz w:val="24"/>
          <w:szCs w:val="24"/>
          <w:lang w:val="en-GB"/>
        </w:rPr>
        <w:t xml:space="preserve">: </w:t>
      </w:r>
      <w:r>
        <w:rPr>
          <w:rFonts w:ascii="Calibri" w:hAnsi="Calibri" w:cs="Calibri"/>
          <w:color w:val="auto"/>
          <w:sz w:val="24"/>
          <w:szCs w:val="24"/>
          <w:lang w:val="en-GB"/>
        </w:rPr>
        <w:t>differentially expressed miRNAs and other smRNAs by RNA isolation kit (miRNeasy of Qiagen vs. Norgen).</w:t>
      </w:r>
    </w:p>
    <w:tbl>
      <w:tblPr>
        <w:tblStyle w:val="19"/>
        <w:tblW w:w="9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1452"/>
        <w:gridCol w:w="1276"/>
        <w:gridCol w:w="1276"/>
        <w:gridCol w:w="12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rPr>
                <w:b/>
              </w:rPr>
            </w:pPr>
            <w:r>
              <w:rPr>
                <w:b/>
              </w:rPr>
              <w:t>miRNAs</w:t>
            </w:r>
          </w:p>
        </w:tc>
        <w:tc>
          <w:tcPr>
            <w:tcW w:w="1452" w:type="dxa"/>
            <w:noWrap/>
          </w:tcPr>
          <w:p>
            <w:pPr>
              <w:spacing w:after="0" w:line="240" w:lineRule="auto"/>
              <w:rPr>
                <w:b/>
                <w:bCs/>
              </w:rPr>
            </w:pPr>
            <w:r>
              <w:rPr>
                <w:b/>
                <w:bCs/>
              </w:rPr>
              <w:t>logFC</w:t>
            </w:r>
          </w:p>
        </w:tc>
        <w:tc>
          <w:tcPr>
            <w:tcW w:w="1276" w:type="dxa"/>
            <w:noWrap/>
          </w:tcPr>
          <w:p>
            <w:pPr>
              <w:spacing w:after="0" w:line="240" w:lineRule="auto"/>
              <w:rPr>
                <w:b/>
                <w:bCs/>
              </w:rPr>
            </w:pPr>
            <w:r>
              <w:rPr>
                <w:b/>
                <w:bCs/>
              </w:rPr>
              <w:t>logCPM</w:t>
            </w:r>
          </w:p>
        </w:tc>
        <w:tc>
          <w:tcPr>
            <w:tcW w:w="1276" w:type="dxa"/>
            <w:noWrap/>
          </w:tcPr>
          <w:p>
            <w:pPr>
              <w:spacing w:after="0" w:line="240" w:lineRule="auto"/>
              <w:rPr>
                <w:b/>
                <w:bCs/>
              </w:rPr>
            </w:pPr>
            <w:r>
              <w:rPr>
                <w:b/>
                <w:bCs/>
              </w:rPr>
              <w:t>F</w:t>
            </w:r>
          </w:p>
        </w:tc>
        <w:tc>
          <w:tcPr>
            <w:tcW w:w="1276" w:type="dxa"/>
            <w:noWrap/>
          </w:tcPr>
          <w:p>
            <w:pPr>
              <w:spacing w:after="0" w:line="240" w:lineRule="auto"/>
              <w:rPr>
                <w:b/>
                <w:bCs/>
              </w:rPr>
            </w:pPr>
            <w:r>
              <w:rPr>
                <w:b/>
                <w:bCs/>
              </w:rPr>
              <w:t>PValue</w:t>
            </w:r>
          </w:p>
        </w:tc>
        <w:tc>
          <w:tcPr>
            <w:tcW w:w="1276" w:type="dxa"/>
            <w:noWrap/>
          </w:tcPr>
          <w:p>
            <w:pPr>
              <w:spacing w:after="0" w:line="240" w:lineRule="auto"/>
              <w:rPr>
                <w:b/>
                <w:bCs/>
              </w:rPr>
            </w:pPr>
            <w:r>
              <w:rPr>
                <w:b/>
                <w:bCs/>
              </w:rPr>
              <w:t>FDR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vAlign w:val="bottom"/>
          </w:tcPr>
          <w:p>
            <w:pPr>
              <w:spacing w:after="0" w:line="240" w:lineRule="auto"/>
            </w:pPr>
            <w:r>
              <w:t>hsa-let-7b-5p</w:t>
            </w:r>
          </w:p>
        </w:tc>
        <w:tc>
          <w:tcPr>
            <w:tcW w:w="1452" w:type="dxa"/>
            <w:noWrap/>
            <w:vAlign w:val="bottom"/>
          </w:tcPr>
          <w:p>
            <w:pPr>
              <w:spacing w:after="0" w:line="240" w:lineRule="auto"/>
            </w:pPr>
            <w:r>
              <w:t>2.02</w:t>
            </w:r>
          </w:p>
        </w:tc>
        <w:tc>
          <w:tcPr>
            <w:tcW w:w="1276" w:type="dxa"/>
            <w:noWrap/>
            <w:vAlign w:val="bottom"/>
          </w:tcPr>
          <w:p>
            <w:pPr>
              <w:spacing w:after="0" w:line="240" w:lineRule="auto"/>
            </w:pPr>
            <w:r>
              <w:t>16.40</w:t>
            </w:r>
          </w:p>
        </w:tc>
        <w:tc>
          <w:tcPr>
            <w:tcW w:w="1276" w:type="dxa"/>
            <w:noWrap/>
            <w:vAlign w:val="bottom"/>
          </w:tcPr>
          <w:p>
            <w:pPr>
              <w:spacing w:after="0" w:line="240" w:lineRule="auto"/>
            </w:pPr>
            <w:r>
              <w:t>16.25</w:t>
            </w:r>
          </w:p>
        </w:tc>
        <w:tc>
          <w:tcPr>
            <w:tcW w:w="1276" w:type="dxa"/>
            <w:noWrap/>
            <w:vAlign w:val="bottom"/>
          </w:tcPr>
          <w:p>
            <w:pPr>
              <w:spacing w:after="0" w:line="240" w:lineRule="auto"/>
            </w:pPr>
            <w:r>
              <w:t>5.99E-05</w:t>
            </w:r>
          </w:p>
        </w:tc>
        <w:tc>
          <w:tcPr>
            <w:tcW w:w="1276" w:type="dxa"/>
            <w:noWrap/>
            <w:vAlign w:val="bottom"/>
          </w:tcPr>
          <w:p>
            <w:pPr>
              <w:spacing w:after="0" w:line="240" w:lineRule="auto"/>
            </w:pPr>
            <w:r>
              <w:t>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rPr>
                <w:b/>
              </w:rPr>
            </w:pPr>
            <w:r>
              <w:rPr>
                <w:b/>
              </w:rPr>
              <w:t>smRNAs</w:t>
            </w:r>
          </w:p>
        </w:tc>
        <w:tc>
          <w:tcPr>
            <w:tcW w:w="1452" w:type="dxa"/>
            <w:noWrap/>
          </w:tcPr>
          <w:p>
            <w:pPr>
              <w:spacing w:after="0" w:line="240" w:lineRule="auto"/>
              <w:rPr>
                <w:b/>
                <w:bCs/>
              </w:rPr>
            </w:pPr>
            <w:r>
              <w:rPr>
                <w:b/>
                <w:bCs/>
              </w:rPr>
              <w:t>logFC</w:t>
            </w:r>
          </w:p>
        </w:tc>
        <w:tc>
          <w:tcPr>
            <w:tcW w:w="1276" w:type="dxa"/>
            <w:noWrap/>
          </w:tcPr>
          <w:p>
            <w:pPr>
              <w:spacing w:after="0" w:line="240" w:lineRule="auto"/>
              <w:rPr>
                <w:b/>
                <w:bCs/>
              </w:rPr>
            </w:pPr>
            <w:r>
              <w:rPr>
                <w:b/>
                <w:bCs/>
              </w:rPr>
              <w:t>logCPM</w:t>
            </w:r>
          </w:p>
        </w:tc>
        <w:tc>
          <w:tcPr>
            <w:tcW w:w="1276" w:type="dxa"/>
            <w:noWrap/>
          </w:tcPr>
          <w:p>
            <w:pPr>
              <w:spacing w:after="0" w:line="240" w:lineRule="auto"/>
              <w:rPr>
                <w:b/>
                <w:bCs/>
              </w:rPr>
            </w:pPr>
            <w:r>
              <w:rPr>
                <w:b/>
                <w:bCs/>
              </w:rPr>
              <w:t>F</w:t>
            </w:r>
          </w:p>
        </w:tc>
        <w:tc>
          <w:tcPr>
            <w:tcW w:w="1276" w:type="dxa"/>
            <w:noWrap/>
          </w:tcPr>
          <w:p>
            <w:pPr>
              <w:spacing w:after="0" w:line="240" w:lineRule="auto"/>
              <w:rPr>
                <w:b/>
                <w:bCs/>
              </w:rPr>
            </w:pPr>
            <w:r>
              <w:rPr>
                <w:b/>
                <w:bCs/>
              </w:rPr>
              <w:t>PValue</w:t>
            </w:r>
          </w:p>
        </w:tc>
        <w:tc>
          <w:tcPr>
            <w:tcW w:w="1276" w:type="dxa"/>
            <w:noWrap/>
          </w:tcPr>
          <w:p>
            <w:pPr>
              <w:spacing w:after="0" w:line="240" w:lineRule="auto"/>
              <w:rPr>
                <w:b/>
                <w:bCs/>
              </w:rPr>
            </w:pPr>
            <w:r>
              <w:rPr>
                <w:b/>
                <w:bCs/>
              </w:rPr>
              <w:t>FDR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hsa_piR_018734</w:t>
            </w:r>
          </w:p>
        </w:tc>
        <w:tc>
          <w:tcPr>
            <w:tcW w:w="1452" w:type="dxa"/>
            <w:noWrap/>
            <w:vAlign w:val="bottom"/>
          </w:tcPr>
          <w:p>
            <w:pPr>
              <w:spacing w:after="0" w:line="240" w:lineRule="auto"/>
            </w:pPr>
            <w:r>
              <w:t>9.25</w:t>
            </w:r>
          </w:p>
        </w:tc>
        <w:tc>
          <w:tcPr>
            <w:tcW w:w="1276" w:type="dxa"/>
            <w:noWrap/>
            <w:vAlign w:val="bottom"/>
          </w:tcPr>
          <w:p>
            <w:pPr>
              <w:spacing w:after="0" w:line="240" w:lineRule="auto"/>
            </w:pPr>
            <w:r>
              <w:t>14.51</w:t>
            </w:r>
          </w:p>
        </w:tc>
        <w:tc>
          <w:tcPr>
            <w:tcW w:w="1276" w:type="dxa"/>
            <w:noWrap/>
            <w:vAlign w:val="bottom"/>
          </w:tcPr>
          <w:p>
            <w:pPr>
              <w:spacing w:after="0" w:line="240" w:lineRule="auto"/>
            </w:pPr>
            <w:r>
              <w:t>49.60</w:t>
            </w:r>
          </w:p>
        </w:tc>
        <w:tc>
          <w:tcPr>
            <w:tcW w:w="1276" w:type="dxa"/>
            <w:noWrap/>
            <w:vAlign w:val="bottom"/>
          </w:tcPr>
          <w:p>
            <w:pPr>
              <w:spacing w:after="0" w:line="240" w:lineRule="auto"/>
            </w:pPr>
            <w:r>
              <w:t>1.86E-06</w:t>
            </w:r>
          </w:p>
        </w:tc>
        <w:tc>
          <w:tcPr>
            <w:tcW w:w="1276" w:type="dxa"/>
            <w:noWrap/>
            <w:vAlign w:val="bottom"/>
          </w:tcPr>
          <w:p>
            <w:pPr>
              <w:spacing w:after="0" w:line="240" w:lineRule="auto"/>
            </w:pPr>
            <w: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hsa_piR_001043</w:t>
            </w:r>
          </w:p>
        </w:tc>
        <w:tc>
          <w:tcPr>
            <w:tcW w:w="1452" w:type="dxa"/>
            <w:noWrap/>
            <w:vAlign w:val="bottom"/>
          </w:tcPr>
          <w:p>
            <w:pPr>
              <w:spacing w:after="0" w:line="240" w:lineRule="auto"/>
            </w:pPr>
            <w:r>
              <w:t>9.01</w:t>
            </w:r>
          </w:p>
        </w:tc>
        <w:tc>
          <w:tcPr>
            <w:tcW w:w="1276" w:type="dxa"/>
            <w:noWrap/>
            <w:vAlign w:val="bottom"/>
          </w:tcPr>
          <w:p>
            <w:pPr>
              <w:spacing w:after="0" w:line="240" w:lineRule="auto"/>
            </w:pPr>
            <w:r>
              <w:t>13.53</w:t>
            </w:r>
          </w:p>
        </w:tc>
        <w:tc>
          <w:tcPr>
            <w:tcW w:w="1276" w:type="dxa"/>
            <w:noWrap/>
            <w:vAlign w:val="bottom"/>
          </w:tcPr>
          <w:p>
            <w:pPr>
              <w:spacing w:after="0" w:line="240" w:lineRule="auto"/>
            </w:pPr>
            <w:r>
              <w:t>33.32</w:t>
            </w:r>
          </w:p>
        </w:tc>
        <w:tc>
          <w:tcPr>
            <w:tcW w:w="1276" w:type="dxa"/>
            <w:noWrap/>
            <w:vAlign w:val="bottom"/>
          </w:tcPr>
          <w:p>
            <w:pPr>
              <w:spacing w:after="0" w:line="240" w:lineRule="auto"/>
            </w:pPr>
            <w:r>
              <w:t>2.16E-05</w:t>
            </w:r>
          </w:p>
        </w:tc>
        <w:tc>
          <w:tcPr>
            <w:tcW w:w="1276" w:type="dxa"/>
            <w:noWrap/>
            <w:vAlign w:val="bottom"/>
          </w:tcPr>
          <w:p>
            <w:pPr>
              <w:spacing w:after="0" w:line="240" w:lineRule="auto"/>
            </w:pPr>
            <w:r>
              <w:t>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hsa_piR_008033</w:t>
            </w:r>
          </w:p>
        </w:tc>
        <w:tc>
          <w:tcPr>
            <w:tcW w:w="1452" w:type="dxa"/>
            <w:noWrap/>
            <w:vAlign w:val="bottom"/>
          </w:tcPr>
          <w:p>
            <w:pPr>
              <w:spacing w:after="0" w:line="240" w:lineRule="auto"/>
            </w:pPr>
            <w:r>
              <w:t>9.13</w:t>
            </w:r>
          </w:p>
        </w:tc>
        <w:tc>
          <w:tcPr>
            <w:tcW w:w="1276" w:type="dxa"/>
            <w:noWrap/>
            <w:vAlign w:val="bottom"/>
          </w:tcPr>
          <w:p>
            <w:pPr>
              <w:spacing w:after="0" w:line="240" w:lineRule="auto"/>
            </w:pPr>
            <w:r>
              <w:t>11.63</w:t>
            </w:r>
          </w:p>
        </w:tc>
        <w:tc>
          <w:tcPr>
            <w:tcW w:w="1276" w:type="dxa"/>
            <w:noWrap/>
            <w:vAlign w:val="bottom"/>
          </w:tcPr>
          <w:p>
            <w:pPr>
              <w:spacing w:after="0" w:line="240" w:lineRule="auto"/>
            </w:pPr>
            <w:r>
              <w:t>28.94</w:t>
            </w:r>
          </w:p>
        </w:tc>
        <w:tc>
          <w:tcPr>
            <w:tcW w:w="1276" w:type="dxa"/>
            <w:noWrap/>
            <w:vAlign w:val="bottom"/>
          </w:tcPr>
          <w:p>
            <w:pPr>
              <w:spacing w:after="0" w:line="240" w:lineRule="auto"/>
            </w:pPr>
            <w:r>
              <w:t>4.81E-05</w:t>
            </w:r>
          </w:p>
        </w:tc>
        <w:tc>
          <w:tcPr>
            <w:tcW w:w="1276" w:type="dxa"/>
            <w:noWrap/>
            <w:vAlign w:val="bottom"/>
          </w:tcPr>
          <w:p>
            <w:pPr>
              <w:spacing w:after="0" w:line="240" w:lineRule="auto"/>
            </w:pPr>
            <w:r>
              <w:t>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hsa_piR_020185</w:t>
            </w:r>
          </w:p>
        </w:tc>
        <w:tc>
          <w:tcPr>
            <w:tcW w:w="1452" w:type="dxa"/>
            <w:noWrap/>
            <w:vAlign w:val="bottom"/>
          </w:tcPr>
          <w:p>
            <w:pPr>
              <w:spacing w:after="0" w:line="240" w:lineRule="auto"/>
            </w:pPr>
            <w:r>
              <w:t>9.82</w:t>
            </w:r>
          </w:p>
        </w:tc>
        <w:tc>
          <w:tcPr>
            <w:tcW w:w="1276" w:type="dxa"/>
            <w:noWrap/>
            <w:vAlign w:val="bottom"/>
          </w:tcPr>
          <w:p>
            <w:pPr>
              <w:spacing w:after="0" w:line="240" w:lineRule="auto"/>
            </w:pPr>
            <w:r>
              <w:t>9.98</w:t>
            </w:r>
          </w:p>
        </w:tc>
        <w:tc>
          <w:tcPr>
            <w:tcW w:w="1276" w:type="dxa"/>
            <w:noWrap/>
            <w:vAlign w:val="bottom"/>
          </w:tcPr>
          <w:p>
            <w:pPr>
              <w:spacing w:after="0" w:line="240" w:lineRule="auto"/>
            </w:pPr>
            <w:r>
              <w:t>28.87</w:t>
            </w:r>
          </w:p>
        </w:tc>
        <w:tc>
          <w:tcPr>
            <w:tcW w:w="1276" w:type="dxa"/>
            <w:noWrap/>
            <w:vAlign w:val="bottom"/>
          </w:tcPr>
          <w:p>
            <w:pPr>
              <w:spacing w:after="0" w:line="240" w:lineRule="auto"/>
            </w:pPr>
            <w:r>
              <w:t>4.88E-05</w:t>
            </w:r>
          </w:p>
        </w:tc>
        <w:tc>
          <w:tcPr>
            <w:tcW w:w="1276" w:type="dxa"/>
            <w:noWrap/>
            <w:vAlign w:val="bottom"/>
          </w:tcPr>
          <w:p>
            <w:pPr>
              <w:spacing w:after="0" w:line="240" w:lineRule="auto"/>
            </w:pPr>
            <w:r>
              <w:t>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RNU4-21P</w:t>
            </w:r>
          </w:p>
        </w:tc>
        <w:tc>
          <w:tcPr>
            <w:tcW w:w="1452" w:type="dxa"/>
            <w:noWrap/>
            <w:vAlign w:val="bottom"/>
          </w:tcPr>
          <w:p>
            <w:pPr>
              <w:spacing w:after="0" w:line="240" w:lineRule="auto"/>
            </w:pPr>
            <w:r>
              <w:t>8.32</w:t>
            </w:r>
          </w:p>
        </w:tc>
        <w:tc>
          <w:tcPr>
            <w:tcW w:w="1276" w:type="dxa"/>
            <w:noWrap/>
            <w:vAlign w:val="bottom"/>
          </w:tcPr>
          <w:p>
            <w:pPr>
              <w:spacing w:after="0" w:line="240" w:lineRule="auto"/>
            </w:pPr>
            <w:r>
              <w:t>11.44</w:t>
            </w:r>
          </w:p>
        </w:tc>
        <w:tc>
          <w:tcPr>
            <w:tcW w:w="1276" w:type="dxa"/>
            <w:noWrap/>
            <w:vAlign w:val="bottom"/>
          </w:tcPr>
          <w:p>
            <w:pPr>
              <w:spacing w:after="0" w:line="240" w:lineRule="auto"/>
            </w:pPr>
            <w:r>
              <w:t>26.18</w:t>
            </w:r>
          </w:p>
        </w:tc>
        <w:tc>
          <w:tcPr>
            <w:tcW w:w="1276" w:type="dxa"/>
            <w:noWrap/>
            <w:vAlign w:val="bottom"/>
          </w:tcPr>
          <w:p>
            <w:pPr>
              <w:spacing w:after="0" w:line="240" w:lineRule="auto"/>
            </w:pPr>
            <w:r>
              <w:t>8.32E-05</w:t>
            </w:r>
          </w:p>
        </w:tc>
        <w:tc>
          <w:tcPr>
            <w:tcW w:w="1276" w:type="dxa"/>
            <w:noWrap/>
            <w:vAlign w:val="bottom"/>
          </w:tcPr>
          <w:p>
            <w:pPr>
              <w:spacing w:after="0" w:line="240" w:lineRule="auto"/>
            </w:pPr>
            <w:r>
              <w:t>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hsa_piR_015249</w:t>
            </w:r>
          </w:p>
        </w:tc>
        <w:tc>
          <w:tcPr>
            <w:tcW w:w="1452" w:type="dxa"/>
            <w:noWrap/>
            <w:vAlign w:val="bottom"/>
          </w:tcPr>
          <w:p>
            <w:pPr>
              <w:spacing w:after="0" w:line="240" w:lineRule="auto"/>
            </w:pPr>
            <w:r>
              <w:t>9.04</w:t>
            </w:r>
          </w:p>
        </w:tc>
        <w:tc>
          <w:tcPr>
            <w:tcW w:w="1276" w:type="dxa"/>
            <w:noWrap/>
            <w:vAlign w:val="bottom"/>
          </w:tcPr>
          <w:p>
            <w:pPr>
              <w:spacing w:after="0" w:line="240" w:lineRule="auto"/>
            </w:pPr>
            <w:r>
              <w:t>10.97</w:t>
            </w:r>
          </w:p>
        </w:tc>
        <w:tc>
          <w:tcPr>
            <w:tcW w:w="1276" w:type="dxa"/>
            <w:noWrap/>
            <w:vAlign w:val="bottom"/>
          </w:tcPr>
          <w:p>
            <w:pPr>
              <w:spacing w:after="0" w:line="240" w:lineRule="auto"/>
            </w:pPr>
            <w:r>
              <w:t>22.95</w:t>
            </w:r>
          </w:p>
        </w:tc>
        <w:tc>
          <w:tcPr>
            <w:tcW w:w="1276" w:type="dxa"/>
            <w:noWrap/>
            <w:vAlign w:val="bottom"/>
          </w:tcPr>
          <w:p>
            <w:pPr>
              <w:spacing w:after="0" w:line="240" w:lineRule="auto"/>
            </w:pPr>
            <w:r>
              <w:t>1.65E-04</w:t>
            </w:r>
          </w:p>
        </w:tc>
        <w:tc>
          <w:tcPr>
            <w:tcW w:w="1276" w:type="dxa"/>
            <w:noWrap/>
            <w:vAlign w:val="bottom"/>
          </w:tcPr>
          <w:p>
            <w:pPr>
              <w:spacing w:after="0" w:line="240" w:lineRule="auto"/>
            </w:pPr>
            <w: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RNA5SP467</w:t>
            </w:r>
          </w:p>
        </w:tc>
        <w:tc>
          <w:tcPr>
            <w:tcW w:w="1452" w:type="dxa"/>
            <w:noWrap/>
            <w:vAlign w:val="bottom"/>
          </w:tcPr>
          <w:p>
            <w:pPr>
              <w:spacing w:after="0" w:line="240" w:lineRule="auto"/>
            </w:pPr>
            <w:r>
              <w:t>8.54</w:t>
            </w:r>
          </w:p>
        </w:tc>
        <w:tc>
          <w:tcPr>
            <w:tcW w:w="1276" w:type="dxa"/>
            <w:noWrap/>
            <w:vAlign w:val="bottom"/>
          </w:tcPr>
          <w:p>
            <w:pPr>
              <w:spacing w:after="0" w:line="240" w:lineRule="auto"/>
            </w:pPr>
            <w:r>
              <w:t>12.40</w:t>
            </w:r>
          </w:p>
        </w:tc>
        <w:tc>
          <w:tcPr>
            <w:tcW w:w="1276" w:type="dxa"/>
            <w:noWrap/>
            <w:vAlign w:val="bottom"/>
          </w:tcPr>
          <w:p>
            <w:pPr>
              <w:spacing w:after="0" w:line="240" w:lineRule="auto"/>
            </w:pPr>
            <w:r>
              <w:t>22.61</w:t>
            </w:r>
          </w:p>
        </w:tc>
        <w:tc>
          <w:tcPr>
            <w:tcW w:w="1276" w:type="dxa"/>
            <w:noWrap/>
            <w:vAlign w:val="bottom"/>
          </w:tcPr>
          <w:p>
            <w:pPr>
              <w:spacing w:after="0" w:line="240" w:lineRule="auto"/>
            </w:pPr>
            <w:r>
              <w:t>1.79E-04</w:t>
            </w:r>
          </w:p>
        </w:tc>
        <w:tc>
          <w:tcPr>
            <w:tcW w:w="1276" w:type="dxa"/>
            <w:noWrap/>
            <w:vAlign w:val="bottom"/>
          </w:tcPr>
          <w:p>
            <w:pPr>
              <w:spacing w:after="0" w:line="240" w:lineRule="auto"/>
            </w:pPr>
            <w: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hsa_piR_002969</w:t>
            </w:r>
          </w:p>
        </w:tc>
        <w:tc>
          <w:tcPr>
            <w:tcW w:w="1452" w:type="dxa"/>
            <w:noWrap/>
            <w:vAlign w:val="bottom"/>
          </w:tcPr>
          <w:p>
            <w:pPr>
              <w:spacing w:after="0" w:line="240" w:lineRule="auto"/>
            </w:pPr>
            <w:r>
              <w:t>11.51</w:t>
            </w:r>
          </w:p>
        </w:tc>
        <w:tc>
          <w:tcPr>
            <w:tcW w:w="1276" w:type="dxa"/>
            <w:noWrap/>
            <w:vAlign w:val="bottom"/>
          </w:tcPr>
          <w:p>
            <w:pPr>
              <w:spacing w:after="0" w:line="240" w:lineRule="auto"/>
            </w:pPr>
            <w:r>
              <w:t>10.13</w:t>
            </w:r>
          </w:p>
        </w:tc>
        <w:tc>
          <w:tcPr>
            <w:tcW w:w="1276" w:type="dxa"/>
            <w:noWrap/>
            <w:vAlign w:val="bottom"/>
          </w:tcPr>
          <w:p>
            <w:pPr>
              <w:spacing w:after="0" w:line="240" w:lineRule="auto"/>
            </w:pPr>
            <w:r>
              <w:t>27.50</w:t>
            </w:r>
          </w:p>
        </w:tc>
        <w:tc>
          <w:tcPr>
            <w:tcW w:w="1276" w:type="dxa"/>
            <w:noWrap/>
            <w:vAlign w:val="bottom"/>
          </w:tcPr>
          <w:p>
            <w:pPr>
              <w:spacing w:after="0" w:line="240" w:lineRule="auto"/>
            </w:pPr>
            <w:r>
              <w:t>1.96E-04</w:t>
            </w:r>
          </w:p>
        </w:tc>
        <w:tc>
          <w:tcPr>
            <w:tcW w:w="1276" w:type="dxa"/>
            <w:noWrap/>
            <w:vAlign w:val="bottom"/>
          </w:tcPr>
          <w:p>
            <w:pPr>
              <w:spacing w:after="0" w:line="240" w:lineRule="auto"/>
            </w:pPr>
            <w: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hsa_piR_021626</w:t>
            </w:r>
          </w:p>
        </w:tc>
        <w:tc>
          <w:tcPr>
            <w:tcW w:w="1452" w:type="dxa"/>
            <w:noWrap/>
            <w:vAlign w:val="bottom"/>
          </w:tcPr>
          <w:p>
            <w:pPr>
              <w:spacing w:after="0" w:line="240" w:lineRule="auto"/>
            </w:pPr>
            <w:r>
              <w:t>-10.13</w:t>
            </w:r>
          </w:p>
        </w:tc>
        <w:tc>
          <w:tcPr>
            <w:tcW w:w="1276" w:type="dxa"/>
            <w:noWrap/>
            <w:vAlign w:val="bottom"/>
          </w:tcPr>
          <w:p>
            <w:pPr>
              <w:spacing w:after="0" w:line="240" w:lineRule="auto"/>
            </w:pPr>
            <w:r>
              <w:t>10.85</w:t>
            </w:r>
          </w:p>
        </w:tc>
        <w:tc>
          <w:tcPr>
            <w:tcW w:w="1276" w:type="dxa"/>
            <w:noWrap/>
            <w:vAlign w:val="bottom"/>
          </w:tcPr>
          <w:p>
            <w:pPr>
              <w:spacing w:after="0" w:line="240" w:lineRule="auto"/>
            </w:pPr>
            <w:r>
              <w:t>20.84</w:t>
            </w:r>
          </w:p>
        </w:tc>
        <w:tc>
          <w:tcPr>
            <w:tcW w:w="1276" w:type="dxa"/>
            <w:noWrap/>
            <w:vAlign w:val="bottom"/>
          </w:tcPr>
          <w:p>
            <w:pPr>
              <w:spacing w:after="0" w:line="240" w:lineRule="auto"/>
            </w:pPr>
            <w:r>
              <w:t>2.68E-04</w:t>
            </w:r>
          </w:p>
        </w:tc>
        <w:tc>
          <w:tcPr>
            <w:tcW w:w="1276" w:type="dxa"/>
            <w:noWrap/>
            <w:vAlign w:val="bottom"/>
          </w:tcPr>
          <w:p>
            <w:pPr>
              <w:spacing w:after="0" w:line="240" w:lineRule="auto"/>
            </w:pPr>
            <w: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RNA5SP194</w:t>
            </w:r>
          </w:p>
        </w:tc>
        <w:tc>
          <w:tcPr>
            <w:tcW w:w="1452" w:type="dxa"/>
            <w:noWrap/>
            <w:vAlign w:val="bottom"/>
          </w:tcPr>
          <w:p>
            <w:pPr>
              <w:spacing w:after="0" w:line="240" w:lineRule="auto"/>
            </w:pPr>
            <w:r>
              <w:t>8.17</w:t>
            </w:r>
          </w:p>
        </w:tc>
        <w:tc>
          <w:tcPr>
            <w:tcW w:w="1276" w:type="dxa"/>
            <w:noWrap/>
            <w:vAlign w:val="bottom"/>
          </w:tcPr>
          <w:p>
            <w:pPr>
              <w:spacing w:after="0" w:line="240" w:lineRule="auto"/>
            </w:pPr>
            <w:r>
              <w:t>11.78</w:t>
            </w:r>
          </w:p>
        </w:tc>
        <w:tc>
          <w:tcPr>
            <w:tcW w:w="1276" w:type="dxa"/>
            <w:noWrap/>
            <w:vAlign w:val="bottom"/>
          </w:tcPr>
          <w:p>
            <w:pPr>
              <w:spacing w:after="0" w:line="240" w:lineRule="auto"/>
            </w:pPr>
            <w:r>
              <w:t>20.70</w:t>
            </w:r>
          </w:p>
        </w:tc>
        <w:tc>
          <w:tcPr>
            <w:tcW w:w="1276" w:type="dxa"/>
            <w:noWrap/>
            <w:vAlign w:val="bottom"/>
          </w:tcPr>
          <w:p>
            <w:pPr>
              <w:spacing w:after="0" w:line="240" w:lineRule="auto"/>
            </w:pPr>
            <w:r>
              <w:t>2.77E-04</w:t>
            </w:r>
          </w:p>
        </w:tc>
        <w:tc>
          <w:tcPr>
            <w:tcW w:w="1276" w:type="dxa"/>
            <w:noWrap/>
            <w:vAlign w:val="bottom"/>
          </w:tcPr>
          <w:p>
            <w:pPr>
              <w:spacing w:after="0" w:line="240" w:lineRule="auto"/>
            </w:pPr>
            <w: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hsa_piR_011975</w:t>
            </w:r>
          </w:p>
        </w:tc>
        <w:tc>
          <w:tcPr>
            <w:tcW w:w="1452" w:type="dxa"/>
            <w:noWrap/>
            <w:vAlign w:val="bottom"/>
          </w:tcPr>
          <w:p>
            <w:pPr>
              <w:spacing w:after="0" w:line="240" w:lineRule="auto"/>
            </w:pPr>
            <w:r>
              <w:t>7.63</w:t>
            </w:r>
          </w:p>
        </w:tc>
        <w:tc>
          <w:tcPr>
            <w:tcW w:w="1276" w:type="dxa"/>
            <w:noWrap/>
            <w:vAlign w:val="bottom"/>
          </w:tcPr>
          <w:p>
            <w:pPr>
              <w:spacing w:after="0" w:line="240" w:lineRule="auto"/>
            </w:pPr>
            <w:r>
              <w:t>11.18</w:t>
            </w:r>
          </w:p>
        </w:tc>
        <w:tc>
          <w:tcPr>
            <w:tcW w:w="1276" w:type="dxa"/>
            <w:noWrap/>
            <w:vAlign w:val="bottom"/>
          </w:tcPr>
          <w:p>
            <w:pPr>
              <w:spacing w:after="0" w:line="240" w:lineRule="auto"/>
            </w:pPr>
            <w:r>
              <w:t>19.27</w:t>
            </w:r>
          </w:p>
        </w:tc>
        <w:tc>
          <w:tcPr>
            <w:tcW w:w="1276" w:type="dxa"/>
            <w:noWrap/>
            <w:vAlign w:val="bottom"/>
          </w:tcPr>
          <w:p>
            <w:pPr>
              <w:spacing w:after="0" w:line="240" w:lineRule="auto"/>
            </w:pPr>
            <w:r>
              <w:t>3.91E-04</w:t>
            </w:r>
          </w:p>
        </w:tc>
        <w:tc>
          <w:tcPr>
            <w:tcW w:w="1276" w:type="dxa"/>
            <w:noWrap/>
            <w:vAlign w:val="bottom"/>
          </w:tcPr>
          <w:p>
            <w:pPr>
              <w:spacing w:after="0" w:line="240" w:lineRule="auto"/>
            </w:pPr>
            <w:r>
              <w:t>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hsa_piR_011950</w:t>
            </w:r>
          </w:p>
        </w:tc>
        <w:tc>
          <w:tcPr>
            <w:tcW w:w="1452" w:type="dxa"/>
            <w:noWrap/>
            <w:vAlign w:val="bottom"/>
          </w:tcPr>
          <w:p>
            <w:pPr>
              <w:spacing w:after="0" w:line="240" w:lineRule="auto"/>
            </w:pPr>
            <w:r>
              <w:t>7.85</w:t>
            </w:r>
          </w:p>
        </w:tc>
        <w:tc>
          <w:tcPr>
            <w:tcW w:w="1276" w:type="dxa"/>
            <w:noWrap/>
            <w:vAlign w:val="bottom"/>
          </w:tcPr>
          <w:p>
            <w:pPr>
              <w:spacing w:after="0" w:line="240" w:lineRule="auto"/>
            </w:pPr>
            <w:r>
              <w:t>10.68</w:t>
            </w:r>
          </w:p>
        </w:tc>
        <w:tc>
          <w:tcPr>
            <w:tcW w:w="1276" w:type="dxa"/>
            <w:noWrap/>
            <w:vAlign w:val="bottom"/>
          </w:tcPr>
          <w:p>
            <w:pPr>
              <w:spacing w:after="0" w:line="240" w:lineRule="auto"/>
            </w:pPr>
            <w:r>
              <w:t>18.75</w:t>
            </w:r>
          </w:p>
        </w:tc>
        <w:tc>
          <w:tcPr>
            <w:tcW w:w="1276" w:type="dxa"/>
            <w:noWrap/>
            <w:vAlign w:val="bottom"/>
          </w:tcPr>
          <w:p>
            <w:pPr>
              <w:spacing w:after="0" w:line="240" w:lineRule="auto"/>
            </w:pPr>
            <w:r>
              <w:t>4.44E-04</w:t>
            </w:r>
          </w:p>
        </w:tc>
        <w:tc>
          <w:tcPr>
            <w:tcW w:w="1276" w:type="dxa"/>
            <w:noWrap/>
            <w:vAlign w:val="bottom"/>
          </w:tcPr>
          <w:p>
            <w:pPr>
              <w:spacing w:after="0" w:line="240" w:lineRule="auto"/>
            </w:pPr>
            <w:r>
              <w:t>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hsa_piR_011122</w:t>
            </w:r>
          </w:p>
        </w:tc>
        <w:tc>
          <w:tcPr>
            <w:tcW w:w="1452" w:type="dxa"/>
            <w:noWrap/>
            <w:vAlign w:val="bottom"/>
          </w:tcPr>
          <w:p>
            <w:pPr>
              <w:spacing w:after="0" w:line="240" w:lineRule="auto"/>
            </w:pPr>
            <w:r>
              <w:t>9.89</w:t>
            </w:r>
          </w:p>
        </w:tc>
        <w:tc>
          <w:tcPr>
            <w:tcW w:w="1276" w:type="dxa"/>
            <w:noWrap/>
            <w:vAlign w:val="bottom"/>
          </w:tcPr>
          <w:p>
            <w:pPr>
              <w:spacing w:after="0" w:line="240" w:lineRule="auto"/>
            </w:pPr>
            <w:r>
              <w:t>12.68</w:t>
            </w:r>
          </w:p>
        </w:tc>
        <w:tc>
          <w:tcPr>
            <w:tcW w:w="1276" w:type="dxa"/>
            <w:noWrap/>
            <w:vAlign w:val="bottom"/>
          </w:tcPr>
          <w:p>
            <w:pPr>
              <w:spacing w:after="0" w:line="240" w:lineRule="auto"/>
            </w:pPr>
            <w:r>
              <w:t>18.39</w:t>
            </w:r>
          </w:p>
        </w:tc>
        <w:tc>
          <w:tcPr>
            <w:tcW w:w="1276" w:type="dxa"/>
            <w:noWrap/>
            <w:vAlign w:val="bottom"/>
          </w:tcPr>
          <w:p>
            <w:pPr>
              <w:spacing w:after="0" w:line="240" w:lineRule="auto"/>
            </w:pPr>
            <w:r>
              <w:t>4.86E-04</w:t>
            </w:r>
          </w:p>
        </w:tc>
        <w:tc>
          <w:tcPr>
            <w:tcW w:w="1276" w:type="dxa"/>
            <w:noWrap/>
            <w:vAlign w:val="bottom"/>
          </w:tcPr>
          <w:p>
            <w:pPr>
              <w:spacing w:after="0" w:line="240" w:lineRule="auto"/>
            </w:pPr>
            <w:r>
              <w:t>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hsa_piR_006032</w:t>
            </w:r>
          </w:p>
        </w:tc>
        <w:tc>
          <w:tcPr>
            <w:tcW w:w="1452" w:type="dxa"/>
            <w:noWrap/>
            <w:vAlign w:val="bottom"/>
          </w:tcPr>
          <w:p>
            <w:pPr>
              <w:spacing w:after="0" w:line="240" w:lineRule="auto"/>
            </w:pPr>
            <w:r>
              <w:t>7.75</w:t>
            </w:r>
          </w:p>
        </w:tc>
        <w:tc>
          <w:tcPr>
            <w:tcW w:w="1276" w:type="dxa"/>
            <w:noWrap/>
            <w:vAlign w:val="bottom"/>
          </w:tcPr>
          <w:p>
            <w:pPr>
              <w:spacing w:after="0" w:line="240" w:lineRule="auto"/>
            </w:pPr>
            <w:r>
              <w:t>10.44</w:t>
            </w:r>
          </w:p>
        </w:tc>
        <w:tc>
          <w:tcPr>
            <w:tcW w:w="1276" w:type="dxa"/>
            <w:noWrap/>
            <w:vAlign w:val="bottom"/>
          </w:tcPr>
          <w:p>
            <w:pPr>
              <w:spacing w:after="0" w:line="240" w:lineRule="auto"/>
            </w:pPr>
            <w:r>
              <w:t>18.11</w:t>
            </w:r>
          </w:p>
        </w:tc>
        <w:tc>
          <w:tcPr>
            <w:tcW w:w="1276" w:type="dxa"/>
            <w:noWrap/>
            <w:vAlign w:val="bottom"/>
          </w:tcPr>
          <w:p>
            <w:pPr>
              <w:spacing w:after="0" w:line="240" w:lineRule="auto"/>
            </w:pPr>
            <w:r>
              <w:t>5.22E-04</w:t>
            </w:r>
          </w:p>
        </w:tc>
        <w:tc>
          <w:tcPr>
            <w:tcW w:w="1276" w:type="dxa"/>
            <w:noWrap/>
            <w:vAlign w:val="bottom"/>
          </w:tcPr>
          <w:p>
            <w:pPr>
              <w:spacing w:after="0" w:line="240" w:lineRule="auto"/>
            </w:pPr>
            <w:r>
              <w:t>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hsa_piR_018624</w:t>
            </w:r>
          </w:p>
        </w:tc>
        <w:tc>
          <w:tcPr>
            <w:tcW w:w="1452" w:type="dxa"/>
            <w:noWrap/>
            <w:vAlign w:val="bottom"/>
          </w:tcPr>
          <w:p>
            <w:pPr>
              <w:spacing w:after="0" w:line="240" w:lineRule="auto"/>
            </w:pPr>
            <w:r>
              <w:t>3.78</w:t>
            </w:r>
          </w:p>
        </w:tc>
        <w:tc>
          <w:tcPr>
            <w:tcW w:w="1276" w:type="dxa"/>
            <w:noWrap/>
            <w:vAlign w:val="bottom"/>
          </w:tcPr>
          <w:p>
            <w:pPr>
              <w:spacing w:after="0" w:line="240" w:lineRule="auto"/>
            </w:pPr>
            <w:r>
              <w:t>17.23</w:t>
            </w:r>
          </w:p>
        </w:tc>
        <w:tc>
          <w:tcPr>
            <w:tcW w:w="1276" w:type="dxa"/>
            <w:noWrap/>
            <w:vAlign w:val="bottom"/>
          </w:tcPr>
          <w:p>
            <w:pPr>
              <w:spacing w:after="0" w:line="240" w:lineRule="auto"/>
            </w:pPr>
            <w:r>
              <w:t>17.57</w:t>
            </w:r>
          </w:p>
        </w:tc>
        <w:tc>
          <w:tcPr>
            <w:tcW w:w="1276" w:type="dxa"/>
            <w:noWrap/>
            <w:vAlign w:val="bottom"/>
          </w:tcPr>
          <w:p>
            <w:pPr>
              <w:spacing w:after="0" w:line="240" w:lineRule="auto"/>
            </w:pPr>
            <w:r>
              <w:t>5.99E-04</w:t>
            </w:r>
          </w:p>
        </w:tc>
        <w:tc>
          <w:tcPr>
            <w:tcW w:w="1276" w:type="dxa"/>
            <w:noWrap/>
            <w:vAlign w:val="bottom"/>
          </w:tcPr>
          <w:p>
            <w:pPr>
              <w:spacing w:after="0" w:line="240" w:lineRule="auto"/>
            </w:pPr>
            <w: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RNA5SP402</w:t>
            </w:r>
          </w:p>
        </w:tc>
        <w:tc>
          <w:tcPr>
            <w:tcW w:w="1452" w:type="dxa"/>
            <w:noWrap/>
            <w:vAlign w:val="bottom"/>
          </w:tcPr>
          <w:p>
            <w:pPr>
              <w:spacing w:after="0" w:line="240" w:lineRule="auto"/>
            </w:pPr>
            <w:r>
              <w:t>7.82</w:t>
            </w:r>
          </w:p>
        </w:tc>
        <w:tc>
          <w:tcPr>
            <w:tcW w:w="1276" w:type="dxa"/>
            <w:noWrap/>
            <w:vAlign w:val="bottom"/>
          </w:tcPr>
          <w:p>
            <w:pPr>
              <w:spacing w:after="0" w:line="240" w:lineRule="auto"/>
            </w:pPr>
            <w:r>
              <w:t>11.27</w:t>
            </w:r>
          </w:p>
        </w:tc>
        <w:tc>
          <w:tcPr>
            <w:tcW w:w="1276" w:type="dxa"/>
            <w:noWrap/>
            <w:vAlign w:val="bottom"/>
          </w:tcPr>
          <w:p>
            <w:pPr>
              <w:spacing w:after="0" w:line="240" w:lineRule="auto"/>
            </w:pPr>
            <w:r>
              <w:t>16.69</w:t>
            </w:r>
          </w:p>
        </w:tc>
        <w:tc>
          <w:tcPr>
            <w:tcW w:w="1276" w:type="dxa"/>
            <w:noWrap/>
            <w:vAlign w:val="bottom"/>
          </w:tcPr>
          <w:p>
            <w:pPr>
              <w:spacing w:after="0" w:line="240" w:lineRule="auto"/>
            </w:pPr>
            <w:r>
              <w:t>7.56E-04</w:t>
            </w:r>
          </w:p>
        </w:tc>
        <w:tc>
          <w:tcPr>
            <w:tcW w:w="1276" w:type="dxa"/>
            <w:noWrap/>
            <w:vAlign w:val="bottom"/>
          </w:tcPr>
          <w:p>
            <w:pPr>
              <w:spacing w:after="0" w:line="240" w:lineRule="auto"/>
            </w:pPr>
            <w:r>
              <w:t>0.007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RNA5SP79</w:t>
            </w:r>
          </w:p>
        </w:tc>
        <w:tc>
          <w:tcPr>
            <w:tcW w:w="1452" w:type="dxa"/>
            <w:noWrap/>
            <w:vAlign w:val="bottom"/>
          </w:tcPr>
          <w:p>
            <w:pPr>
              <w:spacing w:after="0" w:line="240" w:lineRule="auto"/>
            </w:pPr>
            <w:r>
              <w:t>7.43</w:t>
            </w:r>
          </w:p>
        </w:tc>
        <w:tc>
          <w:tcPr>
            <w:tcW w:w="1276" w:type="dxa"/>
            <w:noWrap/>
            <w:vAlign w:val="bottom"/>
          </w:tcPr>
          <w:p>
            <w:pPr>
              <w:spacing w:after="0" w:line="240" w:lineRule="auto"/>
            </w:pPr>
            <w:r>
              <w:t>10.34</w:t>
            </w:r>
          </w:p>
        </w:tc>
        <w:tc>
          <w:tcPr>
            <w:tcW w:w="1276" w:type="dxa"/>
            <w:noWrap/>
            <w:vAlign w:val="bottom"/>
          </w:tcPr>
          <w:p>
            <w:pPr>
              <w:spacing w:after="0" w:line="240" w:lineRule="auto"/>
            </w:pPr>
            <w:r>
              <w:t>15.80</w:t>
            </w:r>
          </w:p>
        </w:tc>
        <w:tc>
          <w:tcPr>
            <w:tcW w:w="1276" w:type="dxa"/>
            <w:noWrap/>
            <w:vAlign w:val="bottom"/>
          </w:tcPr>
          <w:p>
            <w:pPr>
              <w:spacing w:after="0" w:line="240" w:lineRule="auto"/>
            </w:pPr>
            <w:r>
              <w:t>9.62E-04</w:t>
            </w:r>
          </w:p>
        </w:tc>
        <w:tc>
          <w:tcPr>
            <w:tcW w:w="1276" w:type="dxa"/>
            <w:noWrap/>
            <w:vAlign w:val="bottom"/>
          </w:tcPr>
          <w:p>
            <w:pPr>
              <w:spacing w:after="0" w:line="240" w:lineRule="auto"/>
            </w:pPr>
            <w: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RNU4-32P</w:t>
            </w:r>
          </w:p>
        </w:tc>
        <w:tc>
          <w:tcPr>
            <w:tcW w:w="1452" w:type="dxa"/>
            <w:noWrap/>
            <w:vAlign w:val="bottom"/>
          </w:tcPr>
          <w:p>
            <w:pPr>
              <w:spacing w:after="0" w:line="240" w:lineRule="auto"/>
            </w:pPr>
            <w:r>
              <w:t>6.99</w:t>
            </w:r>
          </w:p>
        </w:tc>
        <w:tc>
          <w:tcPr>
            <w:tcW w:w="1276" w:type="dxa"/>
            <w:noWrap/>
            <w:vAlign w:val="bottom"/>
          </w:tcPr>
          <w:p>
            <w:pPr>
              <w:spacing w:after="0" w:line="240" w:lineRule="auto"/>
            </w:pPr>
            <w:r>
              <w:t>10.70</w:t>
            </w:r>
          </w:p>
        </w:tc>
        <w:tc>
          <w:tcPr>
            <w:tcW w:w="1276" w:type="dxa"/>
            <w:noWrap/>
            <w:vAlign w:val="bottom"/>
          </w:tcPr>
          <w:p>
            <w:pPr>
              <w:spacing w:after="0" w:line="240" w:lineRule="auto"/>
            </w:pPr>
            <w:r>
              <w:t>15.76</w:t>
            </w:r>
          </w:p>
        </w:tc>
        <w:tc>
          <w:tcPr>
            <w:tcW w:w="1276" w:type="dxa"/>
            <w:noWrap/>
            <w:vAlign w:val="bottom"/>
          </w:tcPr>
          <w:p>
            <w:pPr>
              <w:spacing w:after="0" w:line="240" w:lineRule="auto"/>
            </w:pPr>
            <w:r>
              <w:t>9.71E-04</w:t>
            </w:r>
          </w:p>
        </w:tc>
        <w:tc>
          <w:tcPr>
            <w:tcW w:w="1276" w:type="dxa"/>
            <w:noWrap/>
            <w:vAlign w:val="bottom"/>
          </w:tcPr>
          <w:p>
            <w:pPr>
              <w:spacing w:after="0" w:line="240" w:lineRule="auto"/>
            </w:pPr>
            <w: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hsa_piR_000159</w:t>
            </w:r>
          </w:p>
        </w:tc>
        <w:tc>
          <w:tcPr>
            <w:tcW w:w="1452" w:type="dxa"/>
            <w:noWrap/>
            <w:vAlign w:val="bottom"/>
          </w:tcPr>
          <w:p>
            <w:pPr>
              <w:spacing w:after="0" w:line="240" w:lineRule="auto"/>
            </w:pPr>
            <w:r>
              <w:t>9.58</w:t>
            </w:r>
          </w:p>
        </w:tc>
        <w:tc>
          <w:tcPr>
            <w:tcW w:w="1276" w:type="dxa"/>
            <w:noWrap/>
            <w:vAlign w:val="bottom"/>
          </w:tcPr>
          <w:p>
            <w:pPr>
              <w:spacing w:after="0" w:line="240" w:lineRule="auto"/>
            </w:pPr>
            <w:r>
              <w:t>16.25</w:t>
            </w:r>
          </w:p>
        </w:tc>
        <w:tc>
          <w:tcPr>
            <w:tcW w:w="1276" w:type="dxa"/>
            <w:noWrap/>
            <w:vAlign w:val="bottom"/>
          </w:tcPr>
          <w:p>
            <w:pPr>
              <w:spacing w:after="0" w:line="240" w:lineRule="auto"/>
            </w:pPr>
            <w:r>
              <w:t>15.53</w:t>
            </w:r>
          </w:p>
        </w:tc>
        <w:tc>
          <w:tcPr>
            <w:tcW w:w="1276" w:type="dxa"/>
            <w:noWrap/>
            <w:vAlign w:val="bottom"/>
          </w:tcPr>
          <w:p>
            <w:pPr>
              <w:spacing w:after="0" w:line="240" w:lineRule="auto"/>
            </w:pPr>
            <w:r>
              <w:t>1.03E-03</w:t>
            </w:r>
          </w:p>
        </w:tc>
        <w:tc>
          <w:tcPr>
            <w:tcW w:w="1276" w:type="dxa"/>
            <w:noWrap/>
            <w:vAlign w:val="bottom"/>
          </w:tcPr>
          <w:p>
            <w:pPr>
              <w:spacing w:after="0" w:line="240" w:lineRule="auto"/>
            </w:pPr>
            <w: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hsa_piR_017153</w:t>
            </w:r>
          </w:p>
        </w:tc>
        <w:tc>
          <w:tcPr>
            <w:tcW w:w="1452" w:type="dxa"/>
            <w:noWrap/>
            <w:vAlign w:val="bottom"/>
          </w:tcPr>
          <w:p>
            <w:pPr>
              <w:spacing w:after="0" w:line="240" w:lineRule="auto"/>
            </w:pPr>
            <w:r>
              <w:t>7.63</w:t>
            </w:r>
          </w:p>
        </w:tc>
        <w:tc>
          <w:tcPr>
            <w:tcW w:w="1276" w:type="dxa"/>
            <w:noWrap/>
            <w:vAlign w:val="bottom"/>
          </w:tcPr>
          <w:p>
            <w:pPr>
              <w:spacing w:after="0" w:line="240" w:lineRule="auto"/>
            </w:pPr>
            <w:r>
              <w:t>11.21</w:t>
            </w:r>
          </w:p>
        </w:tc>
        <w:tc>
          <w:tcPr>
            <w:tcW w:w="1276" w:type="dxa"/>
            <w:noWrap/>
            <w:vAlign w:val="bottom"/>
          </w:tcPr>
          <w:p>
            <w:pPr>
              <w:spacing w:after="0" w:line="240" w:lineRule="auto"/>
            </w:pPr>
            <w:r>
              <w:t>14.96</w:t>
            </w:r>
          </w:p>
        </w:tc>
        <w:tc>
          <w:tcPr>
            <w:tcW w:w="1276" w:type="dxa"/>
            <w:noWrap/>
            <w:vAlign w:val="bottom"/>
          </w:tcPr>
          <w:p>
            <w:pPr>
              <w:spacing w:after="0" w:line="240" w:lineRule="auto"/>
            </w:pPr>
            <w:r>
              <w:t>1.22E-03</w:t>
            </w:r>
          </w:p>
        </w:tc>
        <w:tc>
          <w:tcPr>
            <w:tcW w:w="1276" w:type="dxa"/>
            <w:noWrap/>
            <w:vAlign w:val="bottom"/>
          </w:tcPr>
          <w:p>
            <w:pPr>
              <w:spacing w:after="0" w:line="240" w:lineRule="auto"/>
            </w:pPr>
            <w:r>
              <w:t>0.009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RNU6-1163P</w:t>
            </w:r>
          </w:p>
        </w:tc>
        <w:tc>
          <w:tcPr>
            <w:tcW w:w="1452" w:type="dxa"/>
            <w:noWrap/>
            <w:vAlign w:val="bottom"/>
          </w:tcPr>
          <w:p>
            <w:pPr>
              <w:spacing w:after="0" w:line="240" w:lineRule="auto"/>
            </w:pPr>
            <w:r>
              <w:t>7.08</w:t>
            </w:r>
          </w:p>
        </w:tc>
        <w:tc>
          <w:tcPr>
            <w:tcW w:w="1276" w:type="dxa"/>
            <w:noWrap/>
            <w:vAlign w:val="bottom"/>
          </w:tcPr>
          <w:p>
            <w:pPr>
              <w:spacing w:after="0" w:line="240" w:lineRule="auto"/>
            </w:pPr>
            <w:r>
              <w:t>10.03</w:t>
            </w:r>
          </w:p>
        </w:tc>
        <w:tc>
          <w:tcPr>
            <w:tcW w:w="1276" w:type="dxa"/>
            <w:noWrap/>
            <w:vAlign w:val="bottom"/>
          </w:tcPr>
          <w:p>
            <w:pPr>
              <w:spacing w:after="0" w:line="240" w:lineRule="auto"/>
            </w:pPr>
            <w:r>
              <w:t>14.20</w:t>
            </w:r>
          </w:p>
        </w:tc>
        <w:tc>
          <w:tcPr>
            <w:tcW w:w="1276" w:type="dxa"/>
            <w:noWrap/>
            <w:vAlign w:val="bottom"/>
          </w:tcPr>
          <w:p>
            <w:pPr>
              <w:spacing w:after="0" w:line="240" w:lineRule="auto"/>
            </w:pPr>
            <w:r>
              <w:t>1.51E-03</w:t>
            </w:r>
          </w:p>
        </w:tc>
        <w:tc>
          <w:tcPr>
            <w:tcW w:w="1276" w:type="dxa"/>
            <w:noWrap/>
            <w:vAlign w:val="bottom"/>
          </w:tcPr>
          <w:p>
            <w:pPr>
              <w:spacing w:after="0" w:line="240" w:lineRule="auto"/>
            </w:pPr>
            <w:r>
              <w:t>0.010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hsa_piR_020388</w:t>
            </w:r>
          </w:p>
        </w:tc>
        <w:tc>
          <w:tcPr>
            <w:tcW w:w="1452" w:type="dxa"/>
            <w:noWrap/>
            <w:vAlign w:val="bottom"/>
          </w:tcPr>
          <w:p>
            <w:pPr>
              <w:spacing w:after="0" w:line="240" w:lineRule="auto"/>
            </w:pPr>
            <w:r>
              <w:t>7.95</w:t>
            </w:r>
          </w:p>
        </w:tc>
        <w:tc>
          <w:tcPr>
            <w:tcW w:w="1276" w:type="dxa"/>
            <w:noWrap/>
            <w:vAlign w:val="bottom"/>
          </w:tcPr>
          <w:p>
            <w:pPr>
              <w:spacing w:after="0" w:line="240" w:lineRule="auto"/>
            </w:pPr>
            <w:r>
              <w:t>11.10</w:t>
            </w:r>
          </w:p>
        </w:tc>
        <w:tc>
          <w:tcPr>
            <w:tcW w:w="1276" w:type="dxa"/>
            <w:noWrap/>
            <w:vAlign w:val="bottom"/>
          </w:tcPr>
          <w:p>
            <w:pPr>
              <w:spacing w:after="0" w:line="240" w:lineRule="auto"/>
            </w:pPr>
            <w:r>
              <w:t>13.85</w:t>
            </w:r>
          </w:p>
        </w:tc>
        <w:tc>
          <w:tcPr>
            <w:tcW w:w="1276" w:type="dxa"/>
            <w:noWrap/>
            <w:vAlign w:val="bottom"/>
          </w:tcPr>
          <w:p>
            <w:pPr>
              <w:spacing w:after="0" w:line="240" w:lineRule="auto"/>
            </w:pPr>
            <w:r>
              <w:t>1.67E-03</w:t>
            </w:r>
          </w:p>
        </w:tc>
        <w:tc>
          <w:tcPr>
            <w:tcW w:w="1276" w:type="dxa"/>
            <w:noWrap/>
            <w:vAlign w:val="bottom"/>
          </w:tcPr>
          <w:p>
            <w:pPr>
              <w:spacing w:after="0" w:line="240" w:lineRule="auto"/>
            </w:pPr>
            <w:r>
              <w:t>0.010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RNA5SP188</w:t>
            </w:r>
          </w:p>
        </w:tc>
        <w:tc>
          <w:tcPr>
            <w:tcW w:w="1452" w:type="dxa"/>
            <w:noWrap/>
            <w:vAlign w:val="bottom"/>
          </w:tcPr>
          <w:p>
            <w:pPr>
              <w:spacing w:after="0" w:line="240" w:lineRule="auto"/>
            </w:pPr>
            <w:r>
              <w:t>7.67</w:t>
            </w:r>
          </w:p>
        </w:tc>
        <w:tc>
          <w:tcPr>
            <w:tcW w:w="1276" w:type="dxa"/>
            <w:noWrap/>
            <w:vAlign w:val="bottom"/>
          </w:tcPr>
          <w:p>
            <w:pPr>
              <w:spacing w:after="0" w:line="240" w:lineRule="auto"/>
            </w:pPr>
            <w:r>
              <w:t>10.15</w:t>
            </w:r>
          </w:p>
        </w:tc>
        <w:tc>
          <w:tcPr>
            <w:tcW w:w="1276" w:type="dxa"/>
            <w:noWrap/>
            <w:vAlign w:val="bottom"/>
          </w:tcPr>
          <w:p>
            <w:pPr>
              <w:spacing w:after="0" w:line="240" w:lineRule="auto"/>
            </w:pPr>
            <w:r>
              <w:t>13.80</w:t>
            </w:r>
          </w:p>
        </w:tc>
        <w:tc>
          <w:tcPr>
            <w:tcW w:w="1276" w:type="dxa"/>
            <w:noWrap/>
            <w:vAlign w:val="bottom"/>
          </w:tcPr>
          <w:p>
            <w:pPr>
              <w:spacing w:after="0" w:line="240" w:lineRule="auto"/>
            </w:pPr>
            <w:r>
              <w:t>1.69E-03</w:t>
            </w:r>
          </w:p>
        </w:tc>
        <w:tc>
          <w:tcPr>
            <w:tcW w:w="1276" w:type="dxa"/>
            <w:noWrap/>
            <w:vAlign w:val="bottom"/>
          </w:tcPr>
          <w:p>
            <w:pPr>
              <w:spacing w:after="0" w:line="240" w:lineRule="auto"/>
            </w:pPr>
            <w:r>
              <w:t>0.010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hsa_piR_007567</w:t>
            </w:r>
          </w:p>
        </w:tc>
        <w:tc>
          <w:tcPr>
            <w:tcW w:w="1452" w:type="dxa"/>
            <w:noWrap/>
            <w:vAlign w:val="bottom"/>
          </w:tcPr>
          <w:p>
            <w:pPr>
              <w:spacing w:after="0" w:line="240" w:lineRule="auto"/>
            </w:pPr>
            <w:r>
              <w:t>7.00</w:t>
            </w:r>
          </w:p>
        </w:tc>
        <w:tc>
          <w:tcPr>
            <w:tcW w:w="1276" w:type="dxa"/>
            <w:noWrap/>
            <w:vAlign w:val="bottom"/>
          </w:tcPr>
          <w:p>
            <w:pPr>
              <w:spacing w:after="0" w:line="240" w:lineRule="auto"/>
            </w:pPr>
            <w:r>
              <w:t>10.33</w:t>
            </w:r>
          </w:p>
        </w:tc>
        <w:tc>
          <w:tcPr>
            <w:tcW w:w="1276" w:type="dxa"/>
            <w:noWrap/>
            <w:vAlign w:val="bottom"/>
          </w:tcPr>
          <w:p>
            <w:pPr>
              <w:spacing w:after="0" w:line="240" w:lineRule="auto"/>
            </w:pPr>
            <w:r>
              <w:t>13.74</w:t>
            </w:r>
          </w:p>
        </w:tc>
        <w:tc>
          <w:tcPr>
            <w:tcW w:w="1276" w:type="dxa"/>
            <w:noWrap/>
            <w:vAlign w:val="bottom"/>
          </w:tcPr>
          <w:p>
            <w:pPr>
              <w:spacing w:after="0" w:line="240" w:lineRule="auto"/>
            </w:pPr>
            <w:r>
              <w:t>1.73E-03</w:t>
            </w:r>
          </w:p>
        </w:tc>
        <w:tc>
          <w:tcPr>
            <w:tcW w:w="1276" w:type="dxa"/>
            <w:noWrap/>
            <w:vAlign w:val="bottom"/>
          </w:tcPr>
          <w:p>
            <w:pPr>
              <w:spacing w:after="0" w:line="240" w:lineRule="auto"/>
            </w:pPr>
            <w:r>
              <w:t>0.010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hsa_piR_014306</w:t>
            </w:r>
          </w:p>
        </w:tc>
        <w:tc>
          <w:tcPr>
            <w:tcW w:w="1452" w:type="dxa"/>
            <w:noWrap/>
            <w:vAlign w:val="bottom"/>
          </w:tcPr>
          <w:p>
            <w:pPr>
              <w:spacing w:after="0" w:line="240" w:lineRule="auto"/>
            </w:pPr>
            <w:r>
              <w:t>-2.50</w:t>
            </w:r>
          </w:p>
        </w:tc>
        <w:tc>
          <w:tcPr>
            <w:tcW w:w="1276" w:type="dxa"/>
            <w:noWrap/>
            <w:vAlign w:val="bottom"/>
          </w:tcPr>
          <w:p>
            <w:pPr>
              <w:spacing w:after="0" w:line="240" w:lineRule="auto"/>
            </w:pPr>
            <w:r>
              <w:t>6.81</w:t>
            </w:r>
          </w:p>
        </w:tc>
        <w:tc>
          <w:tcPr>
            <w:tcW w:w="1276" w:type="dxa"/>
            <w:noWrap/>
            <w:vAlign w:val="bottom"/>
          </w:tcPr>
          <w:p>
            <w:pPr>
              <w:spacing w:after="0" w:line="240" w:lineRule="auto"/>
            </w:pPr>
            <w:r>
              <w:t>13.72</w:t>
            </w:r>
          </w:p>
        </w:tc>
        <w:tc>
          <w:tcPr>
            <w:tcW w:w="1276" w:type="dxa"/>
            <w:noWrap/>
            <w:vAlign w:val="bottom"/>
          </w:tcPr>
          <w:p>
            <w:pPr>
              <w:spacing w:after="0" w:line="240" w:lineRule="auto"/>
            </w:pPr>
            <w:r>
              <w:t>1.74E-03</w:t>
            </w:r>
          </w:p>
        </w:tc>
        <w:tc>
          <w:tcPr>
            <w:tcW w:w="1276" w:type="dxa"/>
            <w:noWrap/>
            <w:vAlign w:val="bottom"/>
          </w:tcPr>
          <w:p>
            <w:pPr>
              <w:spacing w:after="0" w:line="240" w:lineRule="auto"/>
            </w:pPr>
            <w:r>
              <w:t>0.010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RNA5SP39_RNA5SP395</w:t>
            </w:r>
          </w:p>
        </w:tc>
        <w:tc>
          <w:tcPr>
            <w:tcW w:w="1452" w:type="dxa"/>
            <w:noWrap/>
            <w:vAlign w:val="bottom"/>
          </w:tcPr>
          <w:p>
            <w:pPr>
              <w:spacing w:after="0" w:line="240" w:lineRule="auto"/>
            </w:pPr>
            <w:r>
              <w:t>7.88</w:t>
            </w:r>
          </w:p>
        </w:tc>
        <w:tc>
          <w:tcPr>
            <w:tcW w:w="1276" w:type="dxa"/>
            <w:noWrap/>
            <w:vAlign w:val="bottom"/>
          </w:tcPr>
          <w:p>
            <w:pPr>
              <w:spacing w:after="0" w:line="240" w:lineRule="auto"/>
            </w:pPr>
            <w:r>
              <w:t>12.13</w:t>
            </w:r>
          </w:p>
        </w:tc>
        <w:tc>
          <w:tcPr>
            <w:tcW w:w="1276" w:type="dxa"/>
            <w:noWrap/>
            <w:vAlign w:val="bottom"/>
          </w:tcPr>
          <w:p>
            <w:pPr>
              <w:spacing w:after="0" w:line="240" w:lineRule="auto"/>
            </w:pPr>
            <w:r>
              <w:t>13.44</w:t>
            </w:r>
          </w:p>
        </w:tc>
        <w:tc>
          <w:tcPr>
            <w:tcW w:w="1276" w:type="dxa"/>
            <w:noWrap/>
            <w:vAlign w:val="bottom"/>
          </w:tcPr>
          <w:p>
            <w:pPr>
              <w:spacing w:after="0" w:line="240" w:lineRule="auto"/>
            </w:pPr>
            <w:r>
              <w:t>1.88E-03</w:t>
            </w:r>
          </w:p>
        </w:tc>
        <w:tc>
          <w:tcPr>
            <w:tcW w:w="1276" w:type="dxa"/>
            <w:noWrap/>
            <w:vAlign w:val="bottom"/>
          </w:tcPr>
          <w:p>
            <w:pPr>
              <w:spacing w:after="0" w:line="240" w:lineRule="auto"/>
            </w:pPr>
            <w:r>
              <w:t>0.011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RNA5SP265</w:t>
            </w:r>
          </w:p>
        </w:tc>
        <w:tc>
          <w:tcPr>
            <w:tcW w:w="1452" w:type="dxa"/>
            <w:noWrap/>
            <w:vAlign w:val="bottom"/>
          </w:tcPr>
          <w:p>
            <w:pPr>
              <w:spacing w:after="0" w:line="240" w:lineRule="auto"/>
            </w:pPr>
            <w:r>
              <w:t>5.71</w:t>
            </w:r>
          </w:p>
        </w:tc>
        <w:tc>
          <w:tcPr>
            <w:tcW w:w="1276" w:type="dxa"/>
            <w:noWrap/>
            <w:vAlign w:val="bottom"/>
          </w:tcPr>
          <w:p>
            <w:pPr>
              <w:spacing w:after="0" w:line="240" w:lineRule="auto"/>
            </w:pPr>
            <w:r>
              <w:t>9.74</w:t>
            </w:r>
          </w:p>
        </w:tc>
        <w:tc>
          <w:tcPr>
            <w:tcW w:w="1276" w:type="dxa"/>
            <w:noWrap/>
            <w:vAlign w:val="bottom"/>
          </w:tcPr>
          <w:p>
            <w:pPr>
              <w:spacing w:after="0" w:line="240" w:lineRule="auto"/>
            </w:pPr>
            <w:r>
              <w:t>13.25</w:t>
            </w:r>
          </w:p>
        </w:tc>
        <w:tc>
          <w:tcPr>
            <w:tcW w:w="1276" w:type="dxa"/>
            <w:noWrap/>
            <w:vAlign w:val="bottom"/>
          </w:tcPr>
          <w:p>
            <w:pPr>
              <w:spacing w:after="0" w:line="240" w:lineRule="auto"/>
            </w:pPr>
            <w:r>
              <w:t>2.00E-03</w:t>
            </w:r>
          </w:p>
        </w:tc>
        <w:tc>
          <w:tcPr>
            <w:tcW w:w="1276" w:type="dxa"/>
            <w:noWrap/>
            <w:vAlign w:val="bottom"/>
          </w:tcPr>
          <w:p>
            <w:pPr>
              <w:spacing w:after="0" w:line="240" w:lineRule="auto"/>
            </w:pPr>
            <w:r>
              <w:t>0.011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RNA5SP338_RNA5SP33</w:t>
            </w:r>
          </w:p>
        </w:tc>
        <w:tc>
          <w:tcPr>
            <w:tcW w:w="1452" w:type="dxa"/>
            <w:noWrap/>
            <w:vAlign w:val="bottom"/>
          </w:tcPr>
          <w:p>
            <w:pPr>
              <w:spacing w:after="0" w:line="240" w:lineRule="auto"/>
            </w:pPr>
            <w:r>
              <w:t>8.19</w:t>
            </w:r>
          </w:p>
        </w:tc>
        <w:tc>
          <w:tcPr>
            <w:tcW w:w="1276" w:type="dxa"/>
            <w:noWrap/>
            <w:vAlign w:val="bottom"/>
          </w:tcPr>
          <w:p>
            <w:pPr>
              <w:spacing w:after="0" w:line="240" w:lineRule="auto"/>
            </w:pPr>
            <w:r>
              <w:t>12.80</w:t>
            </w:r>
          </w:p>
        </w:tc>
        <w:tc>
          <w:tcPr>
            <w:tcW w:w="1276" w:type="dxa"/>
            <w:noWrap/>
            <w:vAlign w:val="bottom"/>
          </w:tcPr>
          <w:p>
            <w:pPr>
              <w:spacing w:after="0" w:line="240" w:lineRule="auto"/>
            </w:pPr>
            <w:r>
              <w:t>12.44</w:t>
            </w:r>
          </w:p>
        </w:tc>
        <w:tc>
          <w:tcPr>
            <w:tcW w:w="1276" w:type="dxa"/>
            <w:noWrap/>
            <w:vAlign w:val="bottom"/>
          </w:tcPr>
          <w:p>
            <w:pPr>
              <w:spacing w:after="0" w:line="240" w:lineRule="auto"/>
            </w:pPr>
            <w:r>
              <w:t>2.55E-03</w:t>
            </w:r>
          </w:p>
        </w:tc>
        <w:tc>
          <w:tcPr>
            <w:tcW w:w="1276" w:type="dxa"/>
            <w:noWrap/>
            <w:vAlign w:val="bottom"/>
          </w:tcPr>
          <w:p>
            <w:pPr>
              <w:spacing w:after="0" w:line="240" w:lineRule="auto"/>
            </w:pPr>
            <w:r>
              <w:t>0.013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RNA5SP210</w:t>
            </w:r>
          </w:p>
        </w:tc>
        <w:tc>
          <w:tcPr>
            <w:tcW w:w="1452" w:type="dxa"/>
            <w:noWrap/>
            <w:vAlign w:val="bottom"/>
          </w:tcPr>
          <w:p>
            <w:pPr>
              <w:spacing w:after="0" w:line="240" w:lineRule="auto"/>
            </w:pPr>
            <w:r>
              <w:t>8.49</w:t>
            </w:r>
          </w:p>
        </w:tc>
        <w:tc>
          <w:tcPr>
            <w:tcW w:w="1276" w:type="dxa"/>
            <w:noWrap/>
            <w:vAlign w:val="bottom"/>
          </w:tcPr>
          <w:p>
            <w:pPr>
              <w:spacing w:after="0" w:line="240" w:lineRule="auto"/>
            </w:pPr>
            <w:r>
              <w:t>11.84</w:t>
            </w:r>
          </w:p>
        </w:tc>
        <w:tc>
          <w:tcPr>
            <w:tcW w:w="1276" w:type="dxa"/>
            <w:noWrap/>
            <w:vAlign w:val="bottom"/>
          </w:tcPr>
          <w:p>
            <w:pPr>
              <w:spacing w:after="0" w:line="240" w:lineRule="auto"/>
            </w:pPr>
            <w:r>
              <w:t>11.97</w:t>
            </w:r>
          </w:p>
        </w:tc>
        <w:tc>
          <w:tcPr>
            <w:tcW w:w="1276" w:type="dxa"/>
            <w:noWrap/>
            <w:vAlign w:val="bottom"/>
          </w:tcPr>
          <w:p>
            <w:pPr>
              <w:spacing w:after="0" w:line="240" w:lineRule="auto"/>
            </w:pPr>
            <w:r>
              <w:t>2.95E-03</w:t>
            </w:r>
          </w:p>
        </w:tc>
        <w:tc>
          <w:tcPr>
            <w:tcW w:w="1276" w:type="dxa"/>
            <w:noWrap/>
            <w:vAlign w:val="bottom"/>
          </w:tcPr>
          <w:p>
            <w:pPr>
              <w:spacing w:after="0" w:line="240" w:lineRule="auto"/>
            </w:pPr>
            <w:r>
              <w:t>0.015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hsa_piR_001184</w:t>
            </w:r>
          </w:p>
        </w:tc>
        <w:tc>
          <w:tcPr>
            <w:tcW w:w="1452" w:type="dxa"/>
            <w:noWrap/>
            <w:vAlign w:val="bottom"/>
          </w:tcPr>
          <w:p>
            <w:pPr>
              <w:spacing w:after="0" w:line="240" w:lineRule="auto"/>
            </w:pPr>
            <w:r>
              <w:t>5.85</w:t>
            </w:r>
          </w:p>
        </w:tc>
        <w:tc>
          <w:tcPr>
            <w:tcW w:w="1276" w:type="dxa"/>
            <w:noWrap/>
            <w:vAlign w:val="bottom"/>
          </w:tcPr>
          <w:p>
            <w:pPr>
              <w:spacing w:after="0" w:line="240" w:lineRule="auto"/>
            </w:pPr>
            <w:r>
              <w:t>14.22</w:t>
            </w:r>
          </w:p>
        </w:tc>
        <w:tc>
          <w:tcPr>
            <w:tcW w:w="1276" w:type="dxa"/>
            <w:noWrap/>
            <w:vAlign w:val="bottom"/>
          </w:tcPr>
          <w:p>
            <w:pPr>
              <w:spacing w:after="0" w:line="240" w:lineRule="auto"/>
            </w:pPr>
            <w:r>
              <w:t>10.49</w:t>
            </w:r>
          </w:p>
        </w:tc>
        <w:tc>
          <w:tcPr>
            <w:tcW w:w="1276" w:type="dxa"/>
            <w:noWrap/>
            <w:vAlign w:val="bottom"/>
          </w:tcPr>
          <w:p>
            <w:pPr>
              <w:spacing w:after="0" w:line="240" w:lineRule="auto"/>
            </w:pPr>
            <w:r>
              <w:t>4.78E-03</w:t>
            </w:r>
          </w:p>
        </w:tc>
        <w:tc>
          <w:tcPr>
            <w:tcW w:w="1276" w:type="dxa"/>
            <w:noWrap/>
            <w:vAlign w:val="bottom"/>
          </w:tcPr>
          <w:p>
            <w:pPr>
              <w:spacing w:after="0" w:line="240" w:lineRule="auto"/>
            </w:pPr>
            <w:r>
              <w:t>0.023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SCARNA10</w:t>
            </w:r>
          </w:p>
        </w:tc>
        <w:tc>
          <w:tcPr>
            <w:tcW w:w="1452" w:type="dxa"/>
            <w:noWrap/>
            <w:vAlign w:val="bottom"/>
          </w:tcPr>
          <w:p>
            <w:pPr>
              <w:spacing w:after="0" w:line="240" w:lineRule="auto"/>
            </w:pPr>
            <w:r>
              <w:t>5.63</w:t>
            </w:r>
          </w:p>
        </w:tc>
        <w:tc>
          <w:tcPr>
            <w:tcW w:w="1276" w:type="dxa"/>
            <w:noWrap/>
            <w:vAlign w:val="bottom"/>
          </w:tcPr>
          <w:p>
            <w:pPr>
              <w:spacing w:after="0" w:line="240" w:lineRule="auto"/>
            </w:pPr>
            <w:r>
              <w:t>9.30</w:t>
            </w:r>
          </w:p>
        </w:tc>
        <w:tc>
          <w:tcPr>
            <w:tcW w:w="1276" w:type="dxa"/>
            <w:noWrap/>
            <w:vAlign w:val="bottom"/>
          </w:tcPr>
          <w:p>
            <w:pPr>
              <w:spacing w:after="0" w:line="240" w:lineRule="auto"/>
            </w:pPr>
            <w:r>
              <w:t>10.40</w:t>
            </w:r>
          </w:p>
        </w:tc>
        <w:tc>
          <w:tcPr>
            <w:tcW w:w="1276" w:type="dxa"/>
            <w:noWrap/>
            <w:vAlign w:val="bottom"/>
          </w:tcPr>
          <w:p>
            <w:pPr>
              <w:spacing w:after="0" w:line="240" w:lineRule="auto"/>
            </w:pPr>
            <w:r>
              <w:t>4.92E-03</w:t>
            </w:r>
          </w:p>
        </w:tc>
        <w:tc>
          <w:tcPr>
            <w:tcW w:w="1276" w:type="dxa"/>
            <w:noWrap/>
            <w:vAlign w:val="bottom"/>
          </w:tcPr>
          <w:p>
            <w:pPr>
              <w:spacing w:after="0" w:line="240" w:lineRule="auto"/>
            </w:pPr>
            <w:r>
              <w:t>0.023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 xml:space="preserve">snoMe28S-Am2634 </w:t>
            </w:r>
          </w:p>
        </w:tc>
        <w:tc>
          <w:tcPr>
            <w:tcW w:w="1452" w:type="dxa"/>
            <w:noWrap/>
            <w:vAlign w:val="bottom"/>
          </w:tcPr>
          <w:p>
            <w:pPr>
              <w:spacing w:after="0" w:line="240" w:lineRule="auto"/>
            </w:pPr>
            <w:r>
              <w:t>5.37</w:t>
            </w:r>
          </w:p>
        </w:tc>
        <w:tc>
          <w:tcPr>
            <w:tcW w:w="1276" w:type="dxa"/>
            <w:noWrap/>
            <w:vAlign w:val="bottom"/>
          </w:tcPr>
          <w:p>
            <w:pPr>
              <w:spacing w:after="0" w:line="240" w:lineRule="auto"/>
            </w:pPr>
            <w:r>
              <w:t>9.02</w:t>
            </w:r>
          </w:p>
        </w:tc>
        <w:tc>
          <w:tcPr>
            <w:tcW w:w="1276" w:type="dxa"/>
            <w:noWrap/>
            <w:vAlign w:val="bottom"/>
          </w:tcPr>
          <w:p>
            <w:pPr>
              <w:spacing w:after="0" w:line="240" w:lineRule="auto"/>
            </w:pPr>
            <w:r>
              <w:t>10.31</w:t>
            </w:r>
          </w:p>
        </w:tc>
        <w:tc>
          <w:tcPr>
            <w:tcW w:w="1276" w:type="dxa"/>
            <w:noWrap/>
            <w:vAlign w:val="bottom"/>
          </w:tcPr>
          <w:p>
            <w:pPr>
              <w:spacing w:after="0" w:line="240" w:lineRule="auto"/>
            </w:pPr>
            <w:r>
              <w:t>5.07E-03</w:t>
            </w:r>
          </w:p>
        </w:tc>
        <w:tc>
          <w:tcPr>
            <w:tcW w:w="1276" w:type="dxa"/>
            <w:noWrap/>
            <w:vAlign w:val="bottom"/>
          </w:tcPr>
          <w:p>
            <w:pPr>
              <w:spacing w:after="0" w:line="240" w:lineRule="auto"/>
            </w:pPr>
            <w:r>
              <w:t>0.023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hsa_piR_005165</w:t>
            </w:r>
          </w:p>
        </w:tc>
        <w:tc>
          <w:tcPr>
            <w:tcW w:w="1452" w:type="dxa"/>
            <w:noWrap/>
            <w:vAlign w:val="bottom"/>
          </w:tcPr>
          <w:p>
            <w:pPr>
              <w:spacing w:after="0" w:line="240" w:lineRule="auto"/>
            </w:pPr>
            <w:r>
              <w:t>-5.43</w:t>
            </w:r>
          </w:p>
        </w:tc>
        <w:tc>
          <w:tcPr>
            <w:tcW w:w="1276" w:type="dxa"/>
            <w:noWrap/>
            <w:vAlign w:val="bottom"/>
          </w:tcPr>
          <w:p>
            <w:pPr>
              <w:spacing w:after="0" w:line="240" w:lineRule="auto"/>
            </w:pPr>
            <w:r>
              <w:t>10.04</w:t>
            </w:r>
          </w:p>
        </w:tc>
        <w:tc>
          <w:tcPr>
            <w:tcW w:w="1276" w:type="dxa"/>
            <w:noWrap/>
            <w:vAlign w:val="bottom"/>
          </w:tcPr>
          <w:p>
            <w:pPr>
              <w:spacing w:after="0" w:line="240" w:lineRule="auto"/>
            </w:pPr>
            <w:r>
              <w:t>9.68</w:t>
            </w:r>
          </w:p>
        </w:tc>
        <w:tc>
          <w:tcPr>
            <w:tcW w:w="1276" w:type="dxa"/>
            <w:noWrap/>
            <w:vAlign w:val="bottom"/>
          </w:tcPr>
          <w:p>
            <w:pPr>
              <w:spacing w:after="0" w:line="240" w:lineRule="auto"/>
            </w:pPr>
            <w:r>
              <w:t>6.29E-03</w:t>
            </w:r>
          </w:p>
        </w:tc>
        <w:tc>
          <w:tcPr>
            <w:tcW w:w="1276" w:type="dxa"/>
            <w:noWrap/>
            <w:vAlign w:val="bottom"/>
          </w:tcPr>
          <w:p>
            <w:pPr>
              <w:spacing w:after="0" w:line="240" w:lineRule="auto"/>
            </w:pPr>
            <w:r>
              <w:t>0.028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hsa_piR_020485</w:t>
            </w:r>
          </w:p>
        </w:tc>
        <w:tc>
          <w:tcPr>
            <w:tcW w:w="1452" w:type="dxa"/>
            <w:noWrap/>
            <w:vAlign w:val="bottom"/>
          </w:tcPr>
          <w:p>
            <w:pPr>
              <w:spacing w:after="0" w:line="240" w:lineRule="auto"/>
            </w:pPr>
            <w:r>
              <w:t>3.66</w:t>
            </w:r>
          </w:p>
        </w:tc>
        <w:tc>
          <w:tcPr>
            <w:tcW w:w="1276" w:type="dxa"/>
            <w:noWrap/>
            <w:vAlign w:val="bottom"/>
          </w:tcPr>
          <w:p>
            <w:pPr>
              <w:spacing w:after="0" w:line="240" w:lineRule="auto"/>
            </w:pPr>
            <w:r>
              <w:t>14.53</w:t>
            </w:r>
          </w:p>
        </w:tc>
        <w:tc>
          <w:tcPr>
            <w:tcW w:w="1276" w:type="dxa"/>
            <w:noWrap/>
            <w:vAlign w:val="bottom"/>
          </w:tcPr>
          <w:p>
            <w:pPr>
              <w:spacing w:after="0" w:line="240" w:lineRule="auto"/>
            </w:pPr>
            <w:r>
              <w:t>9.58</w:t>
            </w:r>
          </w:p>
        </w:tc>
        <w:tc>
          <w:tcPr>
            <w:tcW w:w="1276" w:type="dxa"/>
            <w:noWrap/>
            <w:vAlign w:val="bottom"/>
          </w:tcPr>
          <w:p>
            <w:pPr>
              <w:spacing w:after="0" w:line="240" w:lineRule="auto"/>
            </w:pPr>
            <w:r>
              <w:t>6.50E-03</w:t>
            </w:r>
          </w:p>
        </w:tc>
        <w:tc>
          <w:tcPr>
            <w:tcW w:w="1276" w:type="dxa"/>
            <w:noWrap/>
            <w:vAlign w:val="bottom"/>
          </w:tcPr>
          <w:p>
            <w:pPr>
              <w:spacing w:after="0" w:line="240" w:lineRule="auto"/>
            </w:pPr>
            <w:r>
              <w:t>0.028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RNU5E-1_RNU5E-10P</w:t>
            </w:r>
          </w:p>
        </w:tc>
        <w:tc>
          <w:tcPr>
            <w:tcW w:w="1452" w:type="dxa"/>
            <w:noWrap/>
            <w:vAlign w:val="bottom"/>
          </w:tcPr>
          <w:p>
            <w:pPr>
              <w:spacing w:after="0" w:line="240" w:lineRule="auto"/>
            </w:pPr>
            <w:r>
              <w:t>6.23</w:t>
            </w:r>
          </w:p>
        </w:tc>
        <w:tc>
          <w:tcPr>
            <w:tcW w:w="1276" w:type="dxa"/>
            <w:noWrap/>
            <w:vAlign w:val="bottom"/>
          </w:tcPr>
          <w:p>
            <w:pPr>
              <w:spacing w:after="0" w:line="240" w:lineRule="auto"/>
            </w:pPr>
            <w:r>
              <w:t>9.26</w:t>
            </w:r>
          </w:p>
        </w:tc>
        <w:tc>
          <w:tcPr>
            <w:tcW w:w="1276" w:type="dxa"/>
            <w:noWrap/>
            <w:vAlign w:val="bottom"/>
          </w:tcPr>
          <w:p>
            <w:pPr>
              <w:spacing w:after="0" w:line="240" w:lineRule="auto"/>
            </w:pPr>
            <w:r>
              <w:t>9.23</w:t>
            </w:r>
          </w:p>
        </w:tc>
        <w:tc>
          <w:tcPr>
            <w:tcW w:w="1276" w:type="dxa"/>
            <w:noWrap/>
            <w:vAlign w:val="bottom"/>
          </w:tcPr>
          <w:p>
            <w:pPr>
              <w:spacing w:after="0" w:line="240" w:lineRule="auto"/>
            </w:pPr>
            <w:r>
              <w:t>7.36E-03</w:t>
            </w:r>
          </w:p>
        </w:tc>
        <w:tc>
          <w:tcPr>
            <w:tcW w:w="1276" w:type="dxa"/>
            <w:noWrap/>
            <w:vAlign w:val="bottom"/>
          </w:tcPr>
          <w:p>
            <w:pPr>
              <w:spacing w:after="0" w:line="240" w:lineRule="auto"/>
            </w:pPr>
            <w:r>
              <w:t>0.031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RNU2-50P</w:t>
            </w:r>
          </w:p>
        </w:tc>
        <w:tc>
          <w:tcPr>
            <w:tcW w:w="1452" w:type="dxa"/>
            <w:noWrap/>
            <w:vAlign w:val="bottom"/>
          </w:tcPr>
          <w:p>
            <w:pPr>
              <w:spacing w:after="0" w:line="240" w:lineRule="auto"/>
            </w:pPr>
            <w:r>
              <w:t>6.43</w:t>
            </w:r>
          </w:p>
        </w:tc>
        <w:tc>
          <w:tcPr>
            <w:tcW w:w="1276" w:type="dxa"/>
            <w:noWrap/>
            <w:vAlign w:val="bottom"/>
          </w:tcPr>
          <w:p>
            <w:pPr>
              <w:spacing w:after="0" w:line="240" w:lineRule="auto"/>
            </w:pPr>
            <w:r>
              <w:t>8.98</w:t>
            </w:r>
          </w:p>
        </w:tc>
        <w:tc>
          <w:tcPr>
            <w:tcW w:w="1276" w:type="dxa"/>
            <w:noWrap/>
            <w:vAlign w:val="bottom"/>
          </w:tcPr>
          <w:p>
            <w:pPr>
              <w:spacing w:after="0" w:line="240" w:lineRule="auto"/>
            </w:pPr>
            <w:r>
              <w:t>9.10</w:t>
            </w:r>
          </w:p>
        </w:tc>
        <w:tc>
          <w:tcPr>
            <w:tcW w:w="1276" w:type="dxa"/>
            <w:noWrap/>
            <w:vAlign w:val="bottom"/>
          </w:tcPr>
          <w:p>
            <w:pPr>
              <w:spacing w:after="0" w:line="240" w:lineRule="auto"/>
            </w:pPr>
            <w:r>
              <w:t>7.72E-03</w:t>
            </w:r>
          </w:p>
        </w:tc>
        <w:tc>
          <w:tcPr>
            <w:tcW w:w="1276" w:type="dxa"/>
            <w:noWrap/>
            <w:vAlign w:val="bottom"/>
          </w:tcPr>
          <w:p>
            <w:pPr>
              <w:spacing w:after="0" w:line="240" w:lineRule="auto"/>
            </w:pPr>
            <w:r>
              <w:t>0.032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hsa_piR_021256</w:t>
            </w:r>
          </w:p>
        </w:tc>
        <w:tc>
          <w:tcPr>
            <w:tcW w:w="1452" w:type="dxa"/>
            <w:noWrap/>
            <w:vAlign w:val="bottom"/>
          </w:tcPr>
          <w:p>
            <w:pPr>
              <w:spacing w:after="0" w:line="240" w:lineRule="auto"/>
            </w:pPr>
            <w:r>
              <w:t>4.92</w:t>
            </w:r>
          </w:p>
        </w:tc>
        <w:tc>
          <w:tcPr>
            <w:tcW w:w="1276" w:type="dxa"/>
            <w:noWrap/>
            <w:vAlign w:val="bottom"/>
          </w:tcPr>
          <w:p>
            <w:pPr>
              <w:spacing w:after="0" w:line="240" w:lineRule="auto"/>
            </w:pPr>
            <w:r>
              <w:t>12.84</w:t>
            </w:r>
          </w:p>
        </w:tc>
        <w:tc>
          <w:tcPr>
            <w:tcW w:w="1276" w:type="dxa"/>
            <w:noWrap/>
            <w:vAlign w:val="bottom"/>
          </w:tcPr>
          <w:p>
            <w:pPr>
              <w:spacing w:after="0" w:line="240" w:lineRule="auto"/>
            </w:pPr>
            <w:r>
              <w:t>8.68</w:t>
            </w:r>
          </w:p>
        </w:tc>
        <w:tc>
          <w:tcPr>
            <w:tcW w:w="1276" w:type="dxa"/>
            <w:noWrap/>
            <w:vAlign w:val="bottom"/>
          </w:tcPr>
          <w:p>
            <w:pPr>
              <w:spacing w:after="0" w:line="240" w:lineRule="auto"/>
            </w:pPr>
            <w:r>
              <w:t>8.97E-03</w:t>
            </w:r>
          </w:p>
        </w:tc>
        <w:tc>
          <w:tcPr>
            <w:tcW w:w="1276" w:type="dxa"/>
            <w:noWrap/>
            <w:vAlign w:val="bottom"/>
          </w:tcPr>
          <w:p>
            <w:pPr>
              <w:spacing w:after="0" w:line="240" w:lineRule="auto"/>
            </w:pPr>
            <w:r>
              <w:t>0.036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RNA5SP286</w:t>
            </w:r>
          </w:p>
        </w:tc>
        <w:tc>
          <w:tcPr>
            <w:tcW w:w="1452" w:type="dxa"/>
            <w:noWrap/>
            <w:vAlign w:val="bottom"/>
          </w:tcPr>
          <w:p>
            <w:pPr>
              <w:spacing w:after="0" w:line="240" w:lineRule="auto"/>
            </w:pPr>
            <w:r>
              <w:t>5.42</w:t>
            </w:r>
          </w:p>
        </w:tc>
        <w:tc>
          <w:tcPr>
            <w:tcW w:w="1276" w:type="dxa"/>
            <w:noWrap/>
            <w:vAlign w:val="bottom"/>
          </w:tcPr>
          <w:p>
            <w:pPr>
              <w:spacing w:after="0" w:line="240" w:lineRule="auto"/>
            </w:pPr>
            <w:r>
              <w:t>9.43</w:t>
            </w:r>
          </w:p>
        </w:tc>
        <w:tc>
          <w:tcPr>
            <w:tcW w:w="1276" w:type="dxa"/>
            <w:noWrap/>
            <w:vAlign w:val="bottom"/>
          </w:tcPr>
          <w:p>
            <w:pPr>
              <w:spacing w:after="0" w:line="240" w:lineRule="auto"/>
            </w:pPr>
            <w:r>
              <w:t>8.61</w:t>
            </w:r>
          </w:p>
        </w:tc>
        <w:tc>
          <w:tcPr>
            <w:tcW w:w="1276" w:type="dxa"/>
            <w:noWrap/>
            <w:vAlign w:val="bottom"/>
          </w:tcPr>
          <w:p>
            <w:pPr>
              <w:spacing w:after="0" w:line="240" w:lineRule="auto"/>
            </w:pPr>
            <w:r>
              <w:t>9.19E-03</w:t>
            </w:r>
          </w:p>
        </w:tc>
        <w:tc>
          <w:tcPr>
            <w:tcW w:w="1276" w:type="dxa"/>
            <w:noWrap/>
            <w:vAlign w:val="bottom"/>
          </w:tcPr>
          <w:p>
            <w:pPr>
              <w:spacing w:after="0" w:line="240" w:lineRule="auto"/>
            </w:pPr>
            <w:r>
              <w:t>0.036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SNORA45A</w:t>
            </w:r>
          </w:p>
        </w:tc>
        <w:tc>
          <w:tcPr>
            <w:tcW w:w="1452" w:type="dxa"/>
            <w:noWrap/>
            <w:vAlign w:val="bottom"/>
          </w:tcPr>
          <w:p>
            <w:pPr>
              <w:spacing w:after="0" w:line="240" w:lineRule="auto"/>
            </w:pPr>
            <w:r>
              <w:t>-6.67</w:t>
            </w:r>
          </w:p>
        </w:tc>
        <w:tc>
          <w:tcPr>
            <w:tcW w:w="1276" w:type="dxa"/>
            <w:noWrap/>
            <w:vAlign w:val="bottom"/>
          </w:tcPr>
          <w:p>
            <w:pPr>
              <w:spacing w:after="0" w:line="240" w:lineRule="auto"/>
            </w:pPr>
            <w:r>
              <w:t>12.29</w:t>
            </w:r>
          </w:p>
        </w:tc>
        <w:tc>
          <w:tcPr>
            <w:tcW w:w="1276" w:type="dxa"/>
            <w:noWrap/>
            <w:vAlign w:val="bottom"/>
          </w:tcPr>
          <w:p>
            <w:pPr>
              <w:spacing w:after="0" w:line="240" w:lineRule="auto"/>
            </w:pPr>
            <w:r>
              <w:t>8.24</w:t>
            </w:r>
          </w:p>
        </w:tc>
        <w:tc>
          <w:tcPr>
            <w:tcW w:w="1276" w:type="dxa"/>
            <w:noWrap/>
            <w:vAlign w:val="bottom"/>
          </w:tcPr>
          <w:p>
            <w:pPr>
              <w:spacing w:after="0" w:line="240" w:lineRule="auto"/>
            </w:pPr>
            <w:r>
              <w:t>1.05E-02</w:t>
            </w:r>
          </w:p>
        </w:tc>
        <w:tc>
          <w:tcPr>
            <w:tcW w:w="1276" w:type="dxa"/>
            <w:noWrap/>
            <w:vAlign w:val="bottom"/>
          </w:tcPr>
          <w:p>
            <w:pPr>
              <w:spacing w:after="0" w:line="240" w:lineRule="auto"/>
            </w:pPr>
            <w:r>
              <w:t>0.040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50" w:type="dxa"/>
            <w:noWrap/>
          </w:tcPr>
          <w:p>
            <w:pPr>
              <w:spacing w:after="0" w:line="240" w:lineRule="auto"/>
            </w:pPr>
            <w:r>
              <w:t>hsa_piR_004276</w:t>
            </w:r>
          </w:p>
        </w:tc>
        <w:tc>
          <w:tcPr>
            <w:tcW w:w="1452" w:type="dxa"/>
            <w:noWrap/>
            <w:vAlign w:val="bottom"/>
          </w:tcPr>
          <w:p>
            <w:pPr>
              <w:spacing w:after="0" w:line="240" w:lineRule="auto"/>
            </w:pPr>
            <w:r>
              <w:t>5.18</w:t>
            </w:r>
          </w:p>
        </w:tc>
        <w:tc>
          <w:tcPr>
            <w:tcW w:w="1276" w:type="dxa"/>
            <w:noWrap/>
            <w:vAlign w:val="bottom"/>
          </w:tcPr>
          <w:p>
            <w:pPr>
              <w:spacing w:after="0" w:line="240" w:lineRule="auto"/>
            </w:pPr>
            <w:r>
              <w:t>9.20</w:t>
            </w:r>
          </w:p>
        </w:tc>
        <w:tc>
          <w:tcPr>
            <w:tcW w:w="1276" w:type="dxa"/>
            <w:noWrap/>
            <w:vAlign w:val="bottom"/>
          </w:tcPr>
          <w:p>
            <w:pPr>
              <w:spacing w:after="0" w:line="240" w:lineRule="auto"/>
            </w:pPr>
            <w:r>
              <w:t>7.59</w:t>
            </w:r>
          </w:p>
        </w:tc>
        <w:tc>
          <w:tcPr>
            <w:tcW w:w="1276" w:type="dxa"/>
            <w:noWrap/>
            <w:vAlign w:val="bottom"/>
          </w:tcPr>
          <w:p>
            <w:pPr>
              <w:spacing w:after="0" w:line="240" w:lineRule="auto"/>
            </w:pPr>
            <w:r>
              <w:t>1.34E-02</w:t>
            </w:r>
          </w:p>
        </w:tc>
        <w:tc>
          <w:tcPr>
            <w:tcW w:w="1276" w:type="dxa"/>
            <w:noWrap/>
            <w:vAlign w:val="bottom"/>
          </w:tcPr>
          <w:p>
            <w:pPr>
              <w:spacing w:after="0" w:line="240" w:lineRule="auto"/>
            </w:pPr>
            <w:r>
              <w:t>0.049</w:t>
            </w:r>
          </w:p>
        </w:tc>
      </w:tr>
    </w:tbl>
    <w:p>
      <w:pPr>
        <w:pStyle w:val="3"/>
        <w:rPr>
          <w:rFonts w:ascii="Calibri" w:hAnsi="Calibri" w:cs="Calibri"/>
          <w:b/>
          <w:color w:val="auto"/>
          <w:sz w:val="24"/>
          <w:lang w:val="en-GB"/>
        </w:rPr>
      </w:pPr>
      <w:r>
        <w:rPr>
          <w:lang w:val="en-GB"/>
        </w:rPr>
        <w:br w:type="page"/>
      </w:r>
      <w:r>
        <w:rPr>
          <w:rFonts w:ascii="Calibri" w:hAnsi="Calibri" w:cs="Calibri"/>
          <w:b/>
          <w:color w:val="auto"/>
          <w:sz w:val="24"/>
          <w:lang w:val="en-GB"/>
        </w:rPr>
        <w:t xml:space="preserve">Supplementary Table 4: </w:t>
      </w:r>
      <w:r>
        <w:rPr>
          <w:rFonts w:asciiTheme="minorHAnsi" w:hAnsiTheme="minorHAnsi" w:cstheme="minorHAnsi"/>
          <w:color w:val="auto"/>
          <w:sz w:val="24"/>
          <w:lang w:val="en-GB"/>
        </w:rPr>
        <w:t>miRNAs sequences for qRT-PCR of miRNAs</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9"/>
        <w:gridCol w:w="3535"/>
        <w:gridCol w:w="3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spacing w:after="0" w:line="240" w:lineRule="auto"/>
              <w:rPr>
                <w:b/>
                <w:lang w:val="en-GB"/>
              </w:rPr>
            </w:pPr>
            <w:r>
              <w:rPr>
                <w:b/>
                <w:lang w:val="en-GB"/>
              </w:rPr>
              <w:t>miRNA id</w:t>
            </w:r>
          </w:p>
        </w:tc>
        <w:tc>
          <w:tcPr>
            <w:tcW w:w="3544" w:type="dxa"/>
          </w:tcPr>
          <w:p>
            <w:pPr>
              <w:spacing w:after="0" w:line="240" w:lineRule="auto"/>
              <w:rPr>
                <w:b/>
                <w:lang w:val="en-GB"/>
              </w:rPr>
            </w:pPr>
            <w:r>
              <w:rPr>
                <w:b/>
                <w:lang w:val="en-GB"/>
              </w:rPr>
              <w:t>MiRBase miRNA sequence</w:t>
            </w:r>
          </w:p>
        </w:tc>
        <w:tc>
          <w:tcPr>
            <w:tcW w:w="3402" w:type="dxa"/>
          </w:tcPr>
          <w:p>
            <w:pPr>
              <w:spacing w:after="0" w:line="240" w:lineRule="auto"/>
              <w:rPr>
                <w:b/>
                <w:lang w:val="en-GB"/>
              </w:rPr>
            </w:pPr>
            <w:r>
              <w:rPr>
                <w:b/>
                <w:lang w:val="en-GB"/>
              </w:rPr>
              <w:t>Primer sequence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spacing w:after="0" w:line="240" w:lineRule="auto"/>
              <w:rPr>
                <w:b/>
                <w:lang w:val="en-GB"/>
              </w:rPr>
            </w:pPr>
            <w:r>
              <w:rPr>
                <w:rFonts w:cs="Calibri"/>
                <w:color w:val="000000"/>
              </w:rPr>
              <w:t>Hsa-miR-451a</w:t>
            </w:r>
          </w:p>
        </w:tc>
        <w:tc>
          <w:tcPr>
            <w:tcW w:w="3544" w:type="dxa"/>
          </w:tcPr>
          <w:p>
            <w:pPr>
              <w:spacing w:after="0" w:line="240" w:lineRule="auto"/>
              <w:rPr>
                <w:lang w:val="en-GB"/>
              </w:rPr>
            </w:pPr>
            <w:r>
              <w:rPr>
                <w:lang w:val="en-GB"/>
              </w:rPr>
              <w:t>AAACCGUUACCAUUACUGAGUU</w:t>
            </w:r>
          </w:p>
        </w:tc>
        <w:tc>
          <w:tcPr>
            <w:tcW w:w="3402" w:type="dxa"/>
          </w:tcPr>
          <w:p>
            <w:pPr>
              <w:spacing w:after="0" w:line="240" w:lineRule="auto"/>
              <w:rPr>
                <w:lang w:val="en-GB"/>
              </w:rPr>
            </w:pPr>
            <w:r>
              <w:rPr>
                <w:lang w:val="en-GB"/>
              </w:rPr>
              <w:t>AAACCGTTACCATTACTGAGTT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spacing w:after="0" w:line="240" w:lineRule="auto"/>
              <w:rPr>
                <w:b/>
                <w:lang w:val="en-GB"/>
              </w:rPr>
            </w:pPr>
            <w:r>
              <w:rPr>
                <w:rFonts w:cs="Calibri"/>
                <w:color w:val="000000"/>
              </w:rPr>
              <w:t>Hsa- miR-103a-3p</w:t>
            </w:r>
          </w:p>
        </w:tc>
        <w:tc>
          <w:tcPr>
            <w:tcW w:w="3544" w:type="dxa"/>
          </w:tcPr>
          <w:p>
            <w:pPr>
              <w:spacing w:after="0" w:line="240" w:lineRule="auto"/>
              <w:rPr>
                <w:lang w:val="en-GB"/>
              </w:rPr>
            </w:pPr>
            <w:r>
              <w:rPr>
                <w:lang w:val="en-GB"/>
              </w:rPr>
              <w:t>AGCAGCAUUGUACAGGGCUAUGA</w:t>
            </w:r>
          </w:p>
        </w:tc>
        <w:tc>
          <w:tcPr>
            <w:tcW w:w="3402" w:type="dxa"/>
          </w:tcPr>
          <w:p>
            <w:pPr>
              <w:spacing w:after="0" w:line="240" w:lineRule="auto"/>
              <w:rPr>
                <w:lang w:val="en-GB"/>
              </w:rPr>
            </w:pPr>
            <w:r>
              <w:rPr>
                <w:lang w:val="en-GB"/>
              </w:rPr>
              <w:t>AGCAGCATTGTACAGGGCTATGA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spacing w:after="0" w:line="240" w:lineRule="auto"/>
              <w:rPr>
                <w:b/>
                <w:lang w:val="en-GB"/>
              </w:rPr>
            </w:pPr>
            <w:r>
              <w:rPr>
                <w:rFonts w:cs="Calibri"/>
                <w:color w:val="000000"/>
              </w:rPr>
              <w:t>Hsa-miR-92a-3p</w:t>
            </w:r>
          </w:p>
        </w:tc>
        <w:tc>
          <w:tcPr>
            <w:tcW w:w="3544" w:type="dxa"/>
          </w:tcPr>
          <w:p>
            <w:pPr>
              <w:spacing w:after="0" w:line="240" w:lineRule="auto"/>
              <w:rPr>
                <w:lang w:val="en-GB"/>
              </w:rPr>
            </w:pPr>
            <w:r>
              <w:rPr>
                <w:lang w:val="en-GB"/>
              </w:rPr>
              <w:t>UAUUGCACUUGUCCCGGCCUGU</w:t>
            </w:r>
          </w:p>
        </w:tc>
        <w:tc>
          <w:tcPr>
            <w:tcW w:w="3402" w:type="dxa"/>
          </w:tcPr>
          <w:p>
            <w:pPr>
              <w:spacing w:after="0" w:line="240" w:lineRule="auto"/>
              <w:rPr>
                <w:lang w:val="en-GB"/>
              </w:rPr>
            </w:pPr>
            <w:r>
              <w:rPr>
                <w:lang w:val="en-GB"/>
              </w:rPr>
              <w:t>TATTGCACTTGTCCCGGCCTGT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spacing w:after="0" w:line="240" w:lineRule="auto"/>
              <w:rPr>
                <w:lang w:val="en-GB"/>
              </w:rPr>
            </w:pPr>
            <w:r>
              <w:rPr>
                <w:rFonts w:cs="Calibri"/>
                <w:color w:val="000000"/>
              </w:rPr>
              <w:t>Hsa-miR-484</w:t>
            </w:r>
          </w:p>
        </w:tc>
        <w:tc>
          <w:tcPr>
            <w:tcW w:w="3544" w:type="dxa"/>
          </w:tcPr>
          <w:p>
            <w:pPr>
              <w:spacing w:after="0" w:line="240" w:lineRule="auto"/>
              <w:rPr>
                <w:lang w:val="en-GB"/>
              </w:rPr>
            </w:pPr>
            <w:r>
              <w:rPr>
                <w:lang w:val="en-GB"/>
              </w:rPr>
              <w:t>UCAGGCUCAGUCCCCUCCCGAU</w:t>
            </w:r>
          </w:p>
        </w:tc>
        <w:tc>
          <w:tcPr>
            <w:tcW w:w="3402" w:type="dxa"/>
          </w:tcPr>
          <w:p>
            <w:pPr>
              <w:spacing w:after="0" w:line="240" w:lineRule="auto"/>
              <w:rPr>
                <w:lang w:val="en-GB"/>
              </w:rPr>
            </w:pPr>
            <w:r>
              <w:rPr>
                <w:lang w:val="en-GB"/>
              </w:rPr>
              <w:t>TCAGGCTCAGTCCCCTCCCGAT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spacing w:after="0" w:line="240" w:lineRule="auto"/>
              <w:rPr>
                <w:rFonts w:cs="Calibri"/>
                <w:color w:val="000000"/>
              </w:rPr>
            </w:pPr>
            <w:r>
              <w:rPr>
                <w:rFonts w:cs="Calibri"/>
                <w:color w:val="000000"/>
              </w:rPr>
              <w:t>Hsa-miR-16-5p</w:t>
            </w:r>
          </w:p>
        </w:tc>
        <w:tc>
          <w:tcPr>
            <w:tcW w:w="3544" w:type="dxa"/>
          </w:tcPr>
          <w:p>
            <w:pPr>
              <w:spacing w:after="0" w:line="240" w:lineRule="auto"/>
              <w:rPr>
                <w:lang w:val="en-GB"/>
              </w:rPr>
            </w:pPr>
            <w:r>
              <w:rPr>
                <w:lang w:val="en-GB"/>
              </w:rPr>
              <w:t>UAGCAGCACGUAAAUAUUGGCG</w:t>
            </w:r>
          </w:p>
        </w:tc>
        <w:tc>
          <w:tcPr>
            <w:tcW w:w="3402" w:type="dxa"/>
          </w:tcPr>
          <w:p>
            <w:pPr>
              <w:spacing w:after="0" w:line="240" w:lineRule="auto"/>
              <w:rPr>
                <w:lang w:val="en-GB"/>
              </w:rPr>
            </w:pPr>
            <w:r>
              <w:rPr>
                <w:lang w:val="en-GB"/>
              </w:rPr>
              <w:t>TAGCAGCACGTAAATATTGGCG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spacing w:after="0" w:line="240" w:lineRule="auto"/>
              <w:rPr>
                <w:rFonts w:cs="Calibri"/>
                <w:color w:val="000000"/>
              </w:rPr>
            </w:pPr>
            <w:r>
              <w:rPr>
                <w:rFonts w:cs="Calibri"/>
                <w:color w:val="000000"/>
              </w:rPr>
              <w:t>Hsa-miR-150-5p</w:t>
            </w:r>
          </w:p>
        </w:tc>
        <w:tc>
          <w:tcPr>
            <w:tcW w:w="3544" w:type="dxa"/>
          </w:tcPr>
          <w:p>
            <w:pPr>
              <w:spacing w:after="0" w:line="240" w:lineRule="auto"/>
              <w:rPr>
                <w:rFonts w:ascii="Courier New" w:hAnsi="Courier New" w:cs="Courier New"/>
                <w:sz w:val="20"/>
                <w:szCs w:val="20"/>
                <w:lang w:val="en-GB" w:eastAsia="en-GB"/>
              </w:rPr>
            </w:pPr>
            <w:r>
              <w:rPr>
                <w:lang w:val="en-GB"/>
              </w:rPr>
              <w:t>UCUCCCAACCCUUGUACCAGUG</w:t>
            </w:r>
          </w:p>
        </w:tc>
        <w:tc>
          <w:tcPr>
            <w:tcW w:w="3402" w:type="dxa"/>
          </w:tcPr>
          <w:p>
            <w:pPr>
              <w:spacing w:after="0" w:line="240" w:lineRule="auto"/>
              <w:rPr>
                <w:b/>
                <w:lang w:val="en-GB"/>
              </w:rPr>
            </w:pPr>
            <w:r>
              <w:rPr>
                <w:lang w:val="en-GB"/>
              </w:rPr>
              <w:t>TCTCCCAACCCTTGTACCAGTG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spacing w:after="0" w:line="240" w:lineRule="auto"/>
              <w:rPr>
                <w:rFonts w:cs="Calibri"/>
                <w:color w:val="000000"/>
              </w:rPr>
            </w:pPr>
            <w:r>
              <w:rPr>
                <w:rFonts w:cs="Calibri"/>
                <w:color w:val="000000"/>
              </w:rPr>
              <w:t>Hsa-miR-181a-5p</w:t>
            </w:r>
          </w:p>
        </w:tc>
        <w:tc>
          <w:tcPr>
            <w:tcW w:w="3544" w:type="dxa"/>
          </w:tcPr>
          <w:p>
            <w:pPr>
              <w:spacing w:after="0" w:line="240" w:lineRule="auto"/>
              <w:rPr>
                <w:lang w:val="en-GB"/>
              </w:rPr>
            </w:pPr>
            <w:r>
              <w:rPr>
                <w:lang w:val="en-GB"/>
              </w:rPr>
              <w:t>AACAUUCAACGCUGUCGGUGAGU</w:t>
            </w:r>
          </w:p>
        </w:tc>
        <w:tc>
          <w:tcPr>
            <w:tcW w:w="3402" w:type="dxa"/>
          </w:tcPr>
          <w:p>
            <w:pPr>
              <w:spacing w:after="0" w:line="240" w:lineRule="auto"/>
              <w:rPr>
                <w:lang w:val="en-GB"/>
              </w:rPr>
            </w:pPr>
            <w:r>
              <w:rPr>
                <w:lang w:val="en-GB"/>
              </w:rPr>
              <w:t>AACATTCAACGCTGTCGGTGAGT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spacing w:after="0" w:line="240" w:lineRule="auto"/>
              <w:rPr>
                <w:rFonts w:cs="Calibri"/>
                <w:color w:val="000000"/>
              </w:rPr>
            </w:pPr>
            <w:r>
              <w:rPr>
                <w:rFonts w:cs="Calibri"/>
                <w:color w:val="000000"/>
              </w:rPr>
              <w:t>Hsa-miR-423-3p</w:t>
            </w:r>
          </w:p>
        </w:tc>
        <w:tc>
          <w:tcPr>
            <w:tcW w:w="3544" w:type="dxa"/>
          </w:tcPr>
          <w:p>
            <w:pPr>
              <w:spacing w:after="0" w:line="240" w:lineRule="auto"/>
              <w:rPr>
                <w:lang w:val="en-GB"/>
              </w:rPr>
            </w:pPr>
            <w:r>
              <w:rPr>
                <w:lang w:val="en-GB"/>
              </w:rPr>
              <w:t>AGCUCGGUCUGAGGCCCCUCAGU</w:t>
            </w:r>
          </w:p>
        </w:tc>
        <w:tc>
          <w:tcPr>
            <w:tcW w:w="3402" w:type="dxa"/>
          </w:tcPr>
          <w:p>
            <w:pPr>
              <w:spacing w:after="0" w:line="240" w:lineRule="auto"/>
              <w:rPr>
                <w:lang w:val="en-GB"/>
              </w:rPr>
            </w:pPr>
            <w:r>
              <w:rPr>
                <w:lang w:val="en-GB"/>
              </w:rPr>
              <w:t>AGCTCGGTCTGAGGCCCCTCAGT</w:t>
            </w:r>
          </w:p>
        </w:tc>
      </w:tr>
    </w:tbl>
    <w:p>
      <w:pPr>
        <w:rPr>
          <w:b/>
          <w:lang w:val="en-GB"/>
        </w:rPr>
      </w:pPr>
    </w:p>
    <w:p>
      <w:pPr>
        <w:sectPr>
          <w:pgSz w:w="11906" w:h="16838"/>
          <w:pgMar w:top="1418" w:right="1701" w:bottom="1276" w:left="1134" w:header="709" w:footer="709" w:gutter="0"/>
          <w:cols w:space="708" w:num="1"/>
          <w:docGrid w:linePitch="360" w:charSpace="0"/>
        </w:sectPr>
      </w:pPr>
    </w:p>
    <w:p>
      <w:pPr>
        <w:rPr>
          <w:rFonts w:cs="Calibri"/>
          <w:b/>
          <w:sz w:val="24"/>
          <w:szCs w:val="24"/>
          <w:lang w:val="en-GB"/>
        </w:rPr>
      </w:pPr>
      <w:r>
        <w:rPr>
          <w:rFonts w:cs="Calibri"/>
          <w:b/>
          <w:sz w:val="24"/>
          <w:szCs w:val="24"/>
          <w:lang w:val="en-GB"/>
        </w:rPr>
        <w:t>SUPLEMENTARY FIGURES</w:t>
      </w:r>
    </w:p>
    <w:p>
      <w:pPr>
        <w:pStyle w:val="3"/>
        <w:rPr>
          <w:b/>
          <w:color w:val="auto"/>
          <w:sz w:val="24"/>
          <w:lang w:val="en-GB"/>
        </w:rPr>
      </w:pPr>
      <w:r>
        <w:rPr>
          <w:b/>
          <w:color w:val="auto"/>
          <w:sz w:val="24"/>
          <w:lang w:val="en-GB"/>
        </w:rPr>
        <w:t xml:space="preserve">Suplementary Figure 1: </w:t>
      </w:r>
    </w:p>
    <w:p>
      <w:pPr>
        <w:rPr>
          <w:rFonts w:cs="Calibri"/>
          <w:color w:val="000000"/>
          <w:lang w:val="en-GB"/>
        </w:rPr>
      </w:pPr>
      <w:r>
        <w:rPr>
          <w:rFonts w:cs="Calibri"/>
          <w:color w:val="000000"/>
          <w:lang w:val="en-GB"/>
        </w:rPr>
        <w:t>Total miRNA and other smRNAs normalized counts and number of different molecules by experimental procedure. Columns in red correspond to data from miRNeasy, Qiagen (Q), and columns in blue correspond to Norgen RNA isolation kit (N).</w:t>
      </w:r>
    </w:p>
    <w:p>
      <w:pPr>
        <w:rPr>
          <w:lang w:val="en-GB"/>
        </w:rPr>
      </w:pPr>
      <w:r>
        <w:rPr>
          <w:lang/>
        </w:rPr>
        <w:drawing>
          <wp:inline distT="0" distB="0" distL="0" distR="0">
            <wp:extent cx="4464685" cy="2528570"/>
            <wp:effectExtent l="0" t="0" r="12065" b="508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Pr>
          <w:lang/>
        </w:rPr>
        <w:drawing>
          <wp:inline distT="0" distB="0" distL="0" distR="0">
            <wp:extent cx="3894455" cy="2516505"/>
            <wp:effectExtent l="0" t="0" r="10795" b="1714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3"/>
        <w:rPr>
          <w:b/>
          <w:color w:val="auto"/>
          <w:sz w:val="24"/>
          <w:lang w:val="en-GB"/>
        </w:rPr>
      </w:pPr>
      <w:r>
        <w:rPr>
          <w:rFonts w:cs="Calibri"/>
          <w:color w:val="000000"/>
          <w:lang w:val="en-GB"/>
        </w:rPr>
        <w:br w:type="page"/>
      </w:r>
      <w:r>
        <w:rPr>
          <w:b/>
          <w:color w:val="auto"/>
          <w:sz w:val="24"/>
          <w:lang w:val="en-GB"/>
        </w:rPr>
        <w:t xml:space="preserve">Suplementary Figure 2: </w:t>
      </w:r>
    </w:p>
    <w:p>
      <w:pPr>
        <w:rPr>
          <w:bCs/>
          <w:lang w:val="en-GB"/>
        </w:rPr>
      </w:pPr>
      <w:r>
        <w:rPr>
          <w:lang w:val="en-GB"/>
        </w:rPr>
        <w:t xml:space="preserve">Star Venn diagrams show the overlap of the </w:t>
      </w:r>
      <w:r>
        <w:rPr>
          <w:bCs/>
          <w:lang w:val="en-GB"/>
        </w:rPr>
        <w:t xml:space="preserve">smRNAs differentially identified between protocols. Each diagram have five ovals which contain the number of smRNAs differentially identified between each protocol versus  </w:t>
      </w:r>
      <w:r>
        <w:rPr>
          <w:b/>
          <w:bCs/>
          <w:lang w:val="en-GB"/>
        </w:rPr>
        <w:t>A)</w:t>
      </w:r>
      <w:r>
        <w:rPr>
          <w:bCs/>
          <w:lang w:val="en-GB"/>
        </w:rPr>
        <w:t xml:space="preserve"> UCF, </w:t>
      </w:r>
      <w:r>
        <w:rPr>
          <w:b/>
          <w:bCs/>
          <w:lang w:val="en-GB"/>
        </w:rPr>
        <w:t>B)</w:t>
      </w:r>
      <w:r>
        <w:rPr>
          <w:bCs/>
          <w:lang w:val="en-GB"/>
        </w:rPr>
        <w:t xml:space="preserve"> TEI, </w:t>
      </w:r>
      <w:r>
        <w:rPr>
          <w:b/>
          <w:bCs/>
          <w:lang w:val="en-GB"/>
        </w:rPr>
        <w:t>C)</w:t>
      </w:r>
      <w:r>
        <w:rPr>
          <w:bCs/>
          <w:lang w:val="en-GB"/>
        </w:rPr>
        <w:t xml:space="preserve"> MIR, </w:t>
      </w:r>
      <w:r>
        <w:rPr>
          <w:b/>
          <w:bCs/>
          <w:lang w:val="en-GB"/>
        </w:rPr>
        <w:t>C)</w:t>
      </w:r>
      <w:r>
        <w:rPr>
          <w:bCs/>
          <w:lang w:val="en-GB"/>
        </w:rPr>
        <w:t xml:space="preserve"> NOR, </w:t>
      </w:r>
      <w:r>
        <w:rPr>
          <w:b/>
          <w:bCs/>
          <w:lang w:val="en-GB"/>
        </w:rPr>
        <w:t>D)</w:t>
      </w:r>
      <w:r>
        <w:rPr>
          <w:bCs/>
          <w:lang w:val="en-GB"/>
        </w:rPr>
        <w:t xml:space="preserve"> PEG6 and </w:t>
      </w:r>
      <w:r>
        <w:rPr>
          <w:b/>
          <w:bCs/>
          <w:lang w:val="en-GB"/>
        </w:rPr>
        <w:t>E)</w:t>
      </w:r>
      <w:r>
        <w:rPr>
          <w:bCs/>
          <w:lang w:val="en-GB"/>
        </w:rPr>
        <w:t xml:space="preserve"> PEG10. Overlapping numbers correspond to common smRNAs between different comparisons. Ovals colours correspond to comparison with UCF (pink), TEI (blue), MIR (orange), NOR (grey), PEG6 (yellow) and PEG10 (green).</w:t>
      </w:r>
    </w:p>
    <w:p>
      <w:pPr>
        <w:rPr>
          <w:b/>
          <w:lang w:val="en-GB"/>
        </w:rPr>
      </w:pPr>
      <w:r>
        <w:rPr>
          <w:b/>
          <w:lang/>
        </w:rPr>
        <w:drawing>
          <wp:inline distT="0" distB="0" distL="0" distR="0">
            <wp:extent cx="8891270" cy="4947920"/>
            <wp:effectExtent l="0" t="0" r="508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8891270" cy="4947920"/>
                    </a:xfrm>
                    <a:prstGeom prst="rect">
                      <a:avLst/>
                    </a:prstGeom>
                  </pic:spPr>
                </pic:pic>
              </a:graphicData>
            </a:graphic>
          </wp:inline>
        </w:drawing>
      </w:r>
    </w:p>
    <w:p>
      <w:pPr>
        <w:pStyle w:val="3"/>
        <w:rPr>
          <w:rFonts w:cs="Calibri"/>
          <w:b/>
          <w:sz w:val="24"/>
          <w:lang w:val="en-GB"/>
        </w:rPr>
      </w:pPr>
      <w:r>
        <w:rPr>
          <w:b/>
          <w:lang w:val="en-GB"/>
        </w:rPr>
        <w:br w:type="page"/>
      </w:r>
      <w:r>
        <w:rPr>
          <w:b/>
          <w:color w:val="auto"/>
          <w:sz w:val="24"/>
          <w:lang w:val="en-GB"/>
        </w:rPr>
        <w:t>Supplementary Figure 3:</w:t>
      </w:r>
      <w:r>
        <w:rPr>
          <w:rFonts w:cs="Calibri"/>
          <w:b/>
          <w:sz w:val="24"/>
          <w:lang w:val="en-GB"/>
        </w:rPr>
        <w:t xml:space="preserve"> </w:t>
      </w:r>
    </w:p>
    <w:p>
      <w:pPr>
        <w:rPr>
          <w:b/>
          <w:lang w:val="en-GB"/>
        </w:rPr>
      </w:pPr>
      <w:r>
        <w:rPr>
          <w:lang w:val="en-GB"/>
        </w:rPr>
        <w:t>Real time qPCR of selected miRNAs in all samples</w:t>
      </w:r>
    </w:p>
    <w:p>
      <w:r>
        <w:rPr>
          <w:b/>
          <w:lang/>
        </w:rPr>
        <w:drawing>
          <wp:inline distT="0" distB="0" distL="0" distR="0">
            <wp:extent cx="8791575" cy="4191000"/>
            <wp:effectExtent l="0" t="0" r="9525"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8791575" cy="4191000"/>
                    </a:xfrm>
                    <a:prstGeom prst="rect">
                      <a:avLst/>
                    </a:prstGeom>
                    <a:noFill/>
                    <a:ln>
                      <a:noFill/>
                    </a:ln>
                  </pic:spPr>
                </pic:pic>
              </a:graphicData>
            </a:graphic>
          </wp:inline>
        </w:drawing>
      </w:r>
    </w:p>
    <w:sectPr>
      <w:pgSz w:w="16838" w:h="11906" w:orient="landscape"/>
      <w:pgMar w:top="993" w:right="1418" w:bottom="1701" w:left="1418"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Calibri (Cuerpo)">
    <w:altName w:val="Times New Roman"/>
    <w:panose1 w:val="00000000000000000000"/>
    <w:charset w:val="00"/>
    <w:family w:val="roman"/>
    <w:pitch w:val="default"/>
    <w:sig w:usb0="00000000" w:usb1="00000000" w:usb2="00000000" w:usb3="00000000" w:csb0="00000001"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D3B62"/>
    <w:multiLevelType w:val="multilevel"/>
    <w:tmpl w:val="15AD3B62"/>
    <w:lvl w:ilvl="0" w:tentative="0">
      <w:start w:val="1"/>
      <w:numFmt w:val="decimal"/>
      <w:lvlText w:val="(%1)"/>
      <w:lvlJc w:val="left"/>
      <w:pPr>
        <w:ind w:left="927" w:hanging="360"/>
      </w:pPr>
      <w:rPr>
        <w:rFonts w:hint="default" w:cs="Times New Roman"/>
      </w:rPr>
    </w:lvl>
    <w:lvl w:ilvl="1" w:tentative="0">
      <w:start w:val="1"/>
      <w:numFmt w:val="lowerLetter"/>
      <w:lvlText w:val="%2."/>
      <w:lvlJc w:val="left"/>
      <w:pPr>
        <w:ind w:left="1647" w:hanging="360"/>
      </w:pPr>
      <w:rPr>
        <w:rFonts w:cs="Times New Roman"/>
      </w:rPr>
    </w:lvl>
    <w:lvl w:ilvl="2" w:tentative="0">
      <w:start w:val="1"/>
      <w:numFmt w:val="lowerRoman"/>
      <w:lvlText w:val="%3."/>
      <w:lvlJc w:val="right"/>
      <w:pPr>
        <w:ind w:left="2367" w:hanging="180"/>
      </w:pPr>
      <w:rPr>
        <w:rFonts w:cs="Times New Roman"/>
      </w:rPr>
    </w:lvl>
    <w:lvl w:ilvl="3" w:tentative="0">
      <w:start w:val="1"/>
      <w:numFmt w:val="decimal"/>
      <w:lvlText w:val="%4."/>
      <w:lvlJc w:val="left"/>
      <w:pPr>
        <w:ind w:left="3087" w:hanging="360"/>
      </w:pPr>
      <w:rPr>
        <w:rFonts w:cs="Times New Roman"/>
      </w:rPr>
    </w:lvl>
    <w:lvl w:ilvl="4" w:tentative="0">
      <w:start w:val="1"/>
      <w:numFmt w:val="lowerLetter"/>
      <w:lvlText w:val="%5."/>
      <w:lvlJc w:val="left"/>
      <w:pPr>
        <w:ind w:left="3807" w:hanging="360"/>
      </w:pPr>
      <w:rPr>
        <w:rFonts w:cs="Times New Roman"/>
      </w:rPr>
    </w:lvl>
    <w:lvl w:ilvl="5" w:tentative="0">
      <w:start w:val="1"/>
      <w:numFmt w:val="lowerRoman"/>
      <w:lvlText w:val="%6."/>
      <w:lvlJc w:val="right"/>
      <w:pPr>
        <w:ind w:left="4527" w:hanging="180"/>
      </w:pPr>
      <w:rPr>
        <w:rFonts w:cs="Times New Roman"/>
      </w:rPr>
    </w:lvl>
    <w:lvl w:ilvl="6" w:tentative="0">
      <w:start w:val="1"/>
      <w:numFmt w:val="decimal"/>
      <w:lvlText w:val="%7."/>
      <w:lvlJc w:val="left"/>
      <w:pPr>
        <w:ind w:left="5247" w:hanging="360"/>
      </w:pPr>
      <w:rPr>
        <w:rFonts w:cs="Times New Roman"/>
      </w:rPr>
    </w:lvl>
    <w:lvl w:ilvl="7" w:tentative="0">
      <w:start w:val="1"/>
      <w:numFmt w:val="lowerLetter"/>
      <w:lvlText w:val="%8."/>
      <w:lvlJc w:val="left"/>
      <w:pPr>
        <w:ind w:left="5967" w:hanging="360"/>
      </w:pPr>
      <w:rPr>
        <w:rFonts w:cs="Times New Roman"/>
      </w:rPr>
    </w:lvl>
    <w:lvl w:ilvl="8" w:tentative="0">
      <w:start w:val="1"/>
      <w:numFmt w:val="lowerRoman"/>
      <w:lvlText w:val="%9."/>
      <w:lvlJc w:val="right"/>
      <w:pPr>
        <w:ind w:left="668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EzMjI0szQ1NbMwMDRX0lEKTi0uzszPAykwrAUAjp+83iwAAAA="/>
  </w:docVars>
  <w:rsids>
    <w:rsidRoot w:val="00F47E99"/>
    <w:rsid w:val="000301B1"/>
    <w:rsid w:val="00034C1A"/>
    <w:rsid w:val="000504B5"/>
    <w:rsid w:val="00050710"/>
    <w:rsid w:val="000603CC"/>
    <w:rsid w:val="00067A33"/>
    <w:rsid w:val="00072767"/>
    <w:rsid w:val="000815A4"/>
    <w:rsid w:val="0009218B"/>
    <w:rsid w:val="00093E66"/>
    <w:rsid w:val="000952B4"/>
    <w:rsid w:val="000B1FA4"/>
    <w:rsid w:val="000B3545"/>
    <w:rsid w:val="000C5334"/>
    <w:rsid w:val="000C7695"/>
    <w:rsid w:val="000E303B"/>
    <w:rsid w:val="000F54E5"/>
    <w:rsid w:val="001003B2"/>
    <w:rsid w:val="001013DB"/>
    <w:rsid w:val="001114D1"/>
    <w:rsid w:val="001178FC"/>
    <w:rsid w:val="001266DE"/>
    <w:rsid w:val="001267EC"/>
    <w:rsid w:val="00141EDB"/>
    <w:rsid w:val="00143585"/>
    <w:rsid w:val="00152A58"/>
    <w:rsid w:val="001618A7"/>
    <w:rsid w:val="00164BE1"/>
    <w:rsid w:val="001737BE"/>
    <w:rsid w:val="00173C3E"/>
    <w:rsid w:val="00180B4E"/>
    <w:rsid w:val="00180B76"/>
    <w:rsid w:val="00184CC3"/>
    <w:rsid w:val="00195F97"/>
    <w:rsid w:val="00197A3A"/>
    <w:rsid w:val="001A2EE9"/>
    <w:rsid w:val="001C7E89"/>
    <w:rsid w:val="001F176B"/>
    <w:rsid w:val="001F37C8"/>
    <w:rsid w:val="00200A97"/>
    <w:rsid w:val="002120E3"/>
    <w:rsid w:val="00217A68"/>
    <w:rsid w:val="00234608"/>
    <w:rsid w:val="00261870"/>
    <w:rsid w:val="00283663"/>
    <w:rsid w:val="00291B38"/>
    <w:rsid w:val="00296964"/>
    <w:rsid w:val="002A618B"/>
    <w:rsid w:val="002D3E07"/>
    <w:rsid w:val="002E23E1"/>
    <w:rsid w:val="002E4120"/>
    <w:rsid w:val="003155BE"/>
    <w:rsid w:val="00317862"/>
    <w:rsid w:val="00331A19"/>
    <w:rsid w:val="003407F5"/>
    <w:rsid w:val="003410E4"/>
    <w:rsid w:val="003426BD"/>
    <w:rsid w:val="003619D7"/>
    <w:rsid w:val="00372220"/>
    <w:rsid w:val="00372841"/>
    <w:rsid w:val="003800B0"/>
    <w:rsid w:val="003A6E8F"/>
    <w:rsid w:val="003B40C7"/>
    <w:rsid w:val="003D1FAF"/>
    <w:rsid w:val="003D7F67"/>
    <w:rsid w:val="003E0F9E"/>
    <w:rsid w:val="003E3C86"/>
    <w:rsid w:val="003F5105"/>
    <w:rsid w:val="00405443"/>
    <w:rsid w:val="00407414"/>
    <w:rsid w:val="00410BB8"/>
    <w:rsid w:val="0042095F"/>
    <w:rsid w:val="004224C2"/>
    <w:rsid w:val="0043050F"/>
    <w:rsid w:val="004505A1"/>
    <w:rsid w:val="004521DB"/>
    <w:rsid w:val="00452299"/>
    <w:rsid w:val="00471F80"/>
    <w:rsid w:val="00483EC7"/>
    <w:rsid w:val="00484EFB"/>
    <w:rsid w:val="004930EB"/>
    <w:rsid w:val="004A26E6"/>
    <w:rsid w:val="004B0885"/>
    <w:rsid w:val="004C2D54"/>
    <w:rsid w:val="004C6FF8"/>
    <w:rsid w:val="004E68B4"/>
    <w:rsid w:val="004F76EE"/>
    <w:rsid w:val="00522360"/>
    <w:rsid w:val="005318E8"/>
    <w:rsid w:val="00532540"/>
    <w:rsid w:val="00542860"/>
    <w:rsid w:val="005459FD"/>
    <w:rsid w:val="00566255"/>
    <w:rsid w:val="00575E30"/>
    <w:rsid w:val="00580524"/>
    <w:rsid w:val="00583FA6"/>
    <w:rsid w:val="00585CC9"/>
    <w:rsid w:val="00591A04"/>
    <w:rsid w:val="005B722C"/>
    <w:rsid w:val="005C577F"/>
    <w:rsid w:val="006121B4"/>
    <w:rsid w:val="00624099"/>
    <w:rsid w:val="006501E1"/>
    <w:rsid w:val="00650C6E"/>
    <w:rsid w:val="006516C9"/>
    <w:rsid w:val="006566AD"/>
    <w:rsid w:val="00672491"/>
    <w:rsid w:val="006730CF"/>
    <w:rsid w:val="0067670B"/>
    <w:rsid w:val="00680BE8"/>
    <w:rsid w:val="006E068E"/>
    <w:rsid w:val="006E3158"/>
    <w:rsid w:val="006E5D75"/>
    <w:rsid w:val="006E764B"/>
    <w:rsid w:val="006F1371"/>
    <w:rsid w:val="006F1DF9"/>
    <w:rsid w:val="00700559"/>
    <w:rsid w:val="00702D4B"/>
    <w:rsid w:val="00710710"/>
    <w:rsid w:val="00711521"/>
    <w:rsid w:val="00714891"/>
    <w:rsid w:val="00716C69"/>
    <w:rsid w:val="00717061"/>
    <w:rsid w:val="00717349"/>
    <w:rsid w:val="00733F75"/>
    <w:rsid w:val="00765171"/>
    <w:rsid w:val="0076583A"/>
    <w:rsid w:val="00767830"/>
    <w:rsid w:val="0079549B"/>
    <w:rsid w:val="007955CF"/>
    <w:rsid w:val="007A2C8E"/>
    <w:rsid w:val="007A7C58"/>
    <w:rsid w:val="007C487E"/>
    <w:rsid w:val="007C4DCB"/>
    <w:rsid w:val="007E3BD5"/>
    <w:rsid w:val="007E735B"/>
    <w:rsid w:val="0080288F"/>
    <w:rsid w:val="00811E3C"/>
    <w:rsid w:val="0081204E"/>
    <w:rsid w:val="00820C50"/>
    <w:rsid w:val="0082210E"/>
    <w:rsid w:val="00823AA7"/>
    <w:rsid w:val="008314F2"/>
    <w:rsid w:val="00832976"/>
    <w:rsid w:val="0083790B"/>
    <w:rsid w:val="00837E01"/>
    <w:rsid w:val="0086124C"/>
    <w:rsid w:val="008677F5"/>
    <w:rsid w:val="00886C66"/>
    <w:rsid w:val="008872F3"/>
    <w:rsid w:val="008B3C8A"/>
    <w:rsid w:val="008C40BF"/>
    <w:rsid w:val="008D07ED"/>
    <w:rsid w:val="008F2E1C"/>
    <w:rsid w:val="008F4A4E"/>
    <w:rsid w:val="008F56C9"/>
    <w:rsid w:val="008F5B1C"/>
    <w:rsid w:val="008F6041"/>
    <w:rsid w:val="008F6C2F"/>
    <w:rsid w:val="0090155C"/>
    <w:rsid w:val="009301F2"/>
    <w:rsid w:val="00943DC1"/>
    <w:rsid w:val="0095255B"/>
    <w:rsid w:val="009702BE"/>
    <w:rsid w:val="00991CA7"/>
    <w:rsid w:val="00992AFD"/>
    <w:rsid w:val="00994886"/>
    <w:rsid w:val="009D2264"/>
    <w:rsid w:val="009D465D"/>
    <w:rsid w:val="009E2811"/>
    <w:rsid w:val="009E2897"/>
    <w:rsid w:val="009E352E"/>
    <w:rsid w:val="009F70E9"/>
    <w:rsid w:val="009F7191"/>
    <w:rsid w:val="00A1419B"/>
    <w:rsid w:val="00A23D16"/>
    <w:rsid w:val="00A24F42"/>
    <w:rsid w:val="00A27F92"/>
    <w:rsid w:val="00A440B1"/>
    <w:rsid w:val="00A44425"/>
    <w:rsid w:val="00A64CAC"/>
    <w:rsid w:val="00A70159"/>
    <w:rsid w:val="00A820E7"/>
    <w:rsid w:val="00A92ED7"/>
    <w:rsid w:val="00AB652A"/>
    <w:rsid w:val="00AC6725"/>
    <w:rsid w:val="00AD1592"/>
    <w:rsid w:val="00AD2D5F"/>
    <w:rsid w:val="00AD4249"/>
    <w:rsid w:val="00AE27F3"/>
    <w:rsid w:val="00AE6BEE"/>
    <w:rsid w:val="00B0535F"/>
    <w:rsid w:val="00B06E0E"/>
    <w:rsid w:val="00B15573"/>
    <w:rsid w:val="00B15BD5"/>
    <w:rsid w:val="00B15F88"/>
    <w:rsid w:val="00B26E0C"/>
    <w:rsid w:val="00B26F8E"/>
    <w:rsid w:val="00B338BF"/>
    <w:rsid w:val="00B42607"/>
    <w:rsid w:val="00B44AD9"/>
    <w:rsid w:val="00B53813"/>
    <w:rsid w:val="00B54271"/>
    <w:rsid w:val="00B555A6"/>
    <w:rsid w:val="00B61446"/>
    <w:rsid w:val="00BC01BB"/>
    <w:rsid w:val="00BC31E1"/>
    <w:rsid w:val="00BC7166"/>
    <w:rsid w:val="00BD13E0"/>
    <w:rsid w:val="00BE151F"/>
    <w:rsid w:val="00C00B94"/>
    <w:rsid w:val="00C040A0"/>
    <w:rsid w:val="00C245C5"/>
    <w:rsid w:val="00C32B8C"/>
    <w:rsid w:val="00C4591C"/>
    <w:rsid w:val="00C54AE5"/>
    <w:rsid w:val="00C638EF"/>
    <w:rsid w:val="00C64340"/>
    <w:rsid w:val="00C766FB"/>
    <w:rsid w:val="00C91983"/>
    <w:rsid w:val="00CA7DAF"/>
    <w:rsid w:val="00CB0751"/>
    <w:rsid w:val="00CC6A4A"/>
    <w:rsid w:val="00CC6CA0"/>
    <w:rsid w:val="00CE066A"/>
    <w:rsid w:val="00CE3AFD"/>
    <w:rsid w:val="00D02AFB"/>
    <w:rsid w:val="00D02F5D"/>
    <w:rsid w:val="00D1227E"/>
    <w:rsid w:val="00D30F0A"/>
    <w:rsid w:val="00D42700"/>
    <w:rsid w:val="00D50186"/>
    <w:rsid w:val="00D578D2"/>
    <w:rsid w:val="00D73A93"/>
    <w:rsid w:val="00D740E9"/>
    <w:rsid w:val="00D7762F"/>
    <w:rsid w:val="00D808A1"/>
    <w:rsid w:val="00D86756"/>
    <w:rsid w:val="00D967FF"/>
    <w:rsid w:val="00DC0B64"/>
    <w:rsid w:val="00DD68D0"/>
    <w:rsid w:val="00DE43AB"/>
    <w:rsid w:val="00DE62FF"/>
    <w:rsid w:val="00E24D18"/>
    <w:rsid w:val="00E25459"/>
    <w:rsid w:val="00E2694A"/>
    <w:rsid w:val="00E318D6"/>
    <w:rsid w:val="00E33DFE"/>
    <w:rsid w:val="00E53C0F"/>
    <w:rsid w:val="00E6256F"/>
    <w:rsid w:val="00EA1B41"/>
    <w:rsid w:val="00EA20D3"/>
    <w:rsid w:val="00EB0E26"/>
    <w:rsid w:val="00EB314F"/>
    <w:rsid w:val="00EC3D99"/>
    <w:rsid w:val="00ED145D"/>
    <w:rsid w:val="00ED2B32"/>
    <w:rsid w:val="00ED5721"/>
    <w:rsid w:val="00F05750"/>
    <w:rsid w:val="00F143FD"/>
    <w:rsid w:val="00F351A3"/>
    <w:rsid w:val="00F36A70"/>
    <w:rsid w:val="00F37CC3"/>
    <w:rsid w:val="00F4327E"/>
    <w:rsid w:val="00F47E99"/>
    <w:rsid w:val="00F662CE"/>
    <w:rsid w:val="00F927D9"/>
    <w:rsid w:val="00FB1108"/>
    <w:rsid w:val="00FB71DB"/>
    <w:rsid w:val="00FC13EA"/>
    <w:rsid w:val="00FC39E7"/>
    <w:rsid w:val="00FD1186"/>
    <w:rsid w:val="044A15AF"/>
    <w:rsid w:val="06F2FFEC"/>
    <w:rsid w:val="08D31605"/>
    <w:rsid w:val="135E5985"/>
    <w:rsid w:val="13A6F94B"/>
    <w:rsid w:val="160EEBB2"/>
    <w:rsid w:val="18220464"/>
    <w:rsid w:val="1FFC3ACC"/>
    <w:rsid w:val="20E1D0BE"/>
    <w:rsid w:val="2168F2E0"/>
    <w:rsid w:val="23BC4AC2"/>
    <w:rsid w:val="24AF0831"/>
    <w:rsid w:val="29F5A51F"/>
    <w:rsid w:val="2B070355"/>
    <w:rsid w:val="35011465"/>
    <w:rsid w:val="353E8370"/>
    <w:rsid w:val="35FDDA66"/>
    <w:rsid w:val="3BC324D7"/>
    <w:rsid w:val="41E76163"/>
    <w:rsid w:val="41EE755F"/>
    <w:rsid w:val="458A252E"/>
    <w:rsid w:val="4B703DD5"/>
    <w:rsid w:val="4CB4803A"/>
    <w:rsid w:val="4E223ADA"/>
    <w:rsid w:val="52613D4C"/>
    <w:rsid w:val="568BC4B2"/>
    <w:rsid w:val="5EC718E0"/>
    <w:rsid w:val="652754E9"/>
    <w:rsid w:val="6BBD25FA"/>
    <w:rsid w:val="6C6E763D"/>
    <w:rsid w:val="6E0E9CBC"/>
    <w:rsid w:val="7056724E"/>
    <w:rsid w:val="7434074D"/>
    <w:rsid w:val="7DB99BA2"/>
  </w:rsids>
  <m:mathPr>
    <m:mathFont m:val="Cambria Math"/>
    <m:brkBin m:val="before"/>
    <m:brkBinSub m:val="--"/>
    <m:smallFrac m:val="0"/>
    <m:dispDef/>
    <m:lMargin m:val="0"/>
    <m:rMargin m:val="0"/>
    <m:defJc m:val="centerGroup"/>
    <m:wrapIndent m:val="1440"/>
    <m:intLim m:val="subSup"/>
    <m:naryLim m:val="undOvr"/>
  </m:mathPr>
  <w:doNotAutoCompressPictures/>
  <w:themeFontLang w:val="es-ES_tradnl"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es-ES" w:eastAsia="en-US" w:bidi="ar-SA"/>
    </w:rPr>
  </w:style>
  <w:style w:type="paragraph" w:styleId="2">
    <w:name w:val="heading 1"/>
    <w:basedOn w:val="1"/>
    <w:next w:val="1"/>
    <w:link w:val="20"/>
    <w:qFormat/>
    <w:uiPriority w:val="99"/>
    <w:pPr>
      <w:keepNext/>
      <w:keepLines/>
      <w:spacing w:before="240" w:after="0"/>
      <w:outlineLvl w:val="0"/>
    </w:pPr>
    <w:rPr>
      <w:rFonts w:ascii="Calibri Light" w:hAnsi="Calibri Light" w:eastAsia="Times New Roman"/>
      <w:color w:val="2E74B5"/>
      <w:sz w:val="32"/>
      <w:szCs w:val="32"/>
    </w:rPr>
  </w:style>
  <w:style w:type="paragraph" w:styleId="3">
    <w:name w:val="heading 2"/>
    <w:basedOn w:val="1"/>
    <w:next w:val="1"/>
    <w:link w:val="21"/>
    <w:qFormat/>
    <w:uiPriority w:val="99"/>
    <w:pPr>
      <w:keepNext/>
      <w:keepLines/>
      <w:spacing w:before="40" w:after="0"/>
      <w:outlineLvl w:val="1"/>
    </w:pPr>
    <w:rPr>
      <w:rFonts w:ascii="Calibri Light" w:hAnsi="Calibri Light" w:eastAsia="Times New Roman"/>
      <w:color w:val="2E74B5"/>
      <w:sz w:val="26"/>
      <w:szCs w:val="26"/>
    </w:rPr>
  </w:style>
  <w:style w:type="paragraph" w:styleId="4">
    <w:name w:val="heading 3"/>
    <w:basedOn w:val="1"/>
    <w:next w:val="1"/>
    <w:link w:val="22"/>
    <w:qFormat/>
    <w:uiPriority w:val="99"/>
    <w:pPr>
      <w:keepNext/>
      <w:keepLines/>
      <w:spacing w:before="40" w:after="0"/>
      <w:outlineLvl w:val="2"/>
    </w:pPr>
    <w:rPr>
      <w:rFonts w:ascii="Calibri Light" w:hAnsi="Calibri Light" w:eastAsia="Times New Roman"/>
      <w:color w:val="1F4D78"/>
      <w:sz w:val="24"/>
      <w:szCs w:val="24"/>
    </w:rPr>
  </w:style>
  <w:style w:type="paragraph" w:styleId="5">
    <w:name w:val="heading 4"/>
    <w:basedOn w:val="1"/>
    <w:next w:val="1"/>
    <w:link w:val="32"/>
    <w:unhideWhenUsed/>
    <w:qFormat/>
    <w:locked/>
    <w:uiPriority w:val="0"/>
    <w:pPr>
      <w:keepNext/>
      <w:spacing w:before="240" w:after="60"/>
      <w:outlineLvl w:val="3"/>
    </w:pPr>
    <w:rPr>
      <w:rFonts w:eastAsia="Times New Roman"/>
      <w:b/>
      <w:bCs/>
      <w:sz w:val="28"/>
      <w:szCs w:val="28"/>
    </w:rPr>
  </w:style>
  <w:style w:type="character" w:default="1" w:styleId="13">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7"/>
    <w:semiHidden/>
    <w:qFormat/>
    <w:uiPriority w:val="99"/>
    <w:pPr>
      <w:spacing w:after="0" w:line="240" w:lineRule="auto"/>
    </w:pPr>
    <w:rPr>
      <w:rFonts w:ascii="Segoe UI" w:hAnsi="Segoe UI" w:cs="Segoe UI"/>
      <w:sz w:val="18"/>
      <w:szCs w:val="18"/>
    </w:rPr>
  </w:style>
  <w:style w:type="paragraph" w:styleId="7">
    <w:name w:val="annotation text"/>
    <w:basedOn w:val="1"/>
    <w:link w:val="26"/>
    <w:semiHidden/>
    <w:uiPriority w:val="99"/>
    <w:pPr>
      <w:spacing w:line="240" w:lineRule="auto"/>
    </w:pPr>
    <w:rPr>
      <w:sz w:val="20"/>
      <w:szCs w:val="20"/>
    </w:rPr>
  </w:style>
  <w:style w:type="paragraph" w:styleId="8">
    <w:name w:val="annotation subject"/>
    <w:basedOn w:val="7"/>
    <w:next w:val="7"/>
    <w:link w:val="31"/>
    <w:semiHidden/>
    <w:qFormat/>
    <w:uiPriority w:val="99"/>
    <w:rPr>
      <w:b/>
      <w:bCs/>
    </w:rPr>
  </w:style>
  <w:style w:type="paragraph" w:styleId="9">
    <w:name w:val="footer"/>
    <w:basedOn w:val="1"/>
    <w:link w:val="29"/>
    <w:qFormat/>
    <w:uiPriority w:val="99"/>
    <w:pPr>
      <w:tabs>
        <w:tab w:val="center" w:pos="4252"/>
        <w:tab w:val="right" w:pos="8504"/>
      </w:tabs>
      <w:spacing w:after="0" w:line="240" w:lineRule="auto"/>
    </w:pPr>
  </w:style>
  <w:style w:type="paragraph" w:styleId="10">
    <w:name w:val="header"/>
    <w:basedOn w:val="1"/>
    <w:link w:val="28"/>
    <w:qFormat/>
    <w:uiPriority w:val="99"/>
    <w:pPr>
      <w:tabs>
        <w:tab w:val="center" w:pos="4252"/>
        <w:tab w:val="right" w:pos="8504"/>
      </w:tabs>
      <w:spacing w:after="0" w:line="240" w:lineRule="auto"/>
    </w:pPr>
  </w:style>
  <w:style w:type="paragraph" w:styleId="11">
    <w:name w:val="HTML Preformatted"/>
    <w:basedOn w:val="1"/>
    <w:link w:val="30"/>
    <w:semiHidden/>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en-GB" w:eastAsia="en-GB"/>
    </w:rPr>
  </w:style>
  <w:style w:type="paragraph" w:styleId="12">
    <w:name w:val="Normal (Web)"/>
    <w:basedOn w:val="1"/>
    <w:qFormat/>
    <w:uiPriority w:val="99"/>
    <w:pPr>
      <w:spacing w:before="100" w:beforeAutospacing="1" w:after="100" w:afterAutospacing="1" w:line="240" w:lineRule="auto"/>
    </w:pPr>
    <w:rPr>
      <w:rFonts w:ascii="Times New Roman" w:hAnsi="Times New Roman" w:eastAsia="Times New Roman"/>
      <w:sz w:val="24"/>
      <w:szCs w:val="24"/>
      <w:lang w:eastAsia="es-ES"/>
    </w:rPr>
  </w:style>
  <w:style w:type="character" w:styleId="14">
    <w:name w:val="annotation reference"/>
    <w:semiHidden/>
    <w:qFormat/>
    <w:uiPriority w:val="99"/>
    <w:rPr>
      <w:rFonts w:cs="Times New Roman"/>
      <w:sz w:val="16"/>
      <w:szCs w:val="16"/>
    </w:rPr>
  </w:style>
  <w:style w:type="character" w:styleId="15">
    <w:name w:val="Emphasis"/>
    <w:qFormat/>
    <w:uiPriority w:val="99"/>
    <w:rPr>
      <w:rFonts w:cs="Times New Roman"/>
      <w:i/>
      <w:iCs/>
    </w:rPr>
  </w:style>
  <w:style w:type="character" w:styleId="16">
    <w:name w:val="Hyperlink"/>
    <w:qFormat/>
    <w:uiPriority w:val="99"/>
    <w:rPr>
      <w:rFonts w:cs="Times New Roman"/>
      <w:color w:val="0033CC"/>
      <w:u w:val="single"/>
    </w:rPr>
  </w:style>
  <w:style w:type="character" w:styleId="17">
    <w:name w:val="Strong"/>
    <w:qFormat/>
    <w:locked/>
    <w:uiPriority w:val="0"/>
    <w:rPr>
      <w:b/>
      <w:bCs/>
    </w:rPr>
  </w:style>
  <w:style w:type="table" w:styleId="19">
    <w:name w:val="Table Grid"/>
    <w:basedOn w:val="1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Título 1 Car"/>
    <w:link w:val="2"/>
    <w:qFormat/>
    <w:locked/>
    <w:uiPriority w:val="99"/>
    <w:rPr>
      <w:rFonts w:ascii="Calibri Light" w:hAnsi="Calibri Light" w:cs="Times New Roman"/>
      <w:color w:val="2E74B5"/>
      <w:sz w:val="32"/>
      <w:szCs w:val="32"/>
    </w:rPr>
  </w:style>
  <w:style w:type="character" w:customStyle="1" w:styleId="21">
    <w:name w:val="Título 2 Car"/>
    <w:link w:val="3"/>
    <w:locked/>
    <w:uiPriority w:val="99"/>
    <w:rPr>
      <w:rFonts w:ascii="Calibri Light" w:hAnsi="Calibri Light" w:cs="Times New Roman"/>
      <w:color w:val="2E74B5"/>
      <w:sz w:val="26"/>
      <w:szCs w:val="26"/>
    </w:rPr>
  </w:style>
  <w:style w:type="character" w:customStyle="1" w:styleId="22">
    <w:name w:val="Título 3 Car"/>
    <w:link w:val="4"/>
    <w:qFormat/>
    <w:locked/>
    <w:uiPriority w:val="99"/>
    <w:rPr>
      <w:rFonts w:ascii="Calibri Light" w:hAnsi="Calibri Light" w:cs="Times New Roman"/>
      <w:color w:val="1F4D78"/>
      <w:sz w:val="24"/>
      <w:szCs w:val="24"/>
    </w:rPr>
  </w:style>
  <w:style w:type="table" w:customStyle="1" w:styleId="23">
    <w:name w:val="Tabla de cuadrícula 6 con colores - Énfasis 11"/>
    <w:uiPriority w:val="99"/>
    <w:rPr>
      <w:color w:val="2E74B5"/>
    </w:rPr>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CellMar>
        <w:top w:w="0" w:type="dxa"/>
        <w:left w:w="108" w:type="dxa"/>
        <w:bottom w:w="0" w:type="dxa"/>
        <w:right w:w="108" w:type="dxa"/>
      </w:tblCellMar>
    </w:tblPr>
  </w:style>
  <w:style w:type="table" w:customStyle="1" w:styleId="24">
    <w:name w:val="Tabla normal 21"/>
    <w:uiPriority w:val="99"/>
    <w:tblPr>
      <w:tblBorders>
        <w:top w:val="single" w:color="7F7F7F" w:sz="4" w:space="0"/>
        <w:bottom w:val="single" w:color="7F7F7F" w:sz="4" w:space="0"/>
      </w:tblBorders>
      <w:tblCellMar>
        <w:top w:w="0" w:type="dxa"/>
        <w:left w:w="108" w:type="dxa"/>
        <w:bottom w:w="0" w:type="dxa"/>
        <w:right w:w="108" w:type="dxa"/>
      </w:tblCellMar>
    </w:tblPr>
  </w:style>
  <w:style w:type="table" w:customStyle="1" w:styleId="25">
    <w:name w:val="Tabla de cuadrícula 4 - Énfasis 11"/>
    <w:uiPriority w:val="99"/>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CellMar>
        <w:top w:w="0" w:type="dxa"/>
        <w:left w:w="108" w:type="dxa"/>
        <w:bottom w:w="0" w:type="dxa"/>
        <w:right w:w="108" w:type="dxa"/>
      </w:tblCellMar>
    </w:tblPr>
  </w:style>
  <w:style w:type="character" w:customStyle="1" w:styleId="26">
    <w:name w:val="Texto comentario Car"/>
    <w:link w:val="7"/>
    <w:semiHidden/>
    <w:locked/>
    <w:uiPriority w:val="99"/>
    <w:rPr>
      <w:rFonts w:cs="Times New Roman"/>
      <w:sz w:val="20"/>
      <w:szCs w:val="20"/>
    </w:rPr>
  </w:style>
  <w:style w:type="character" w:customStyle="1" w:styleId="27">
    <w:name w:val="Texto de globo Car"/>
    <w:link w:val="6"/>
    <w:semiHidden/>
    <w:qFormat/>
    <w:locked/>
    <w:uiPriority w:val="99"/>
    <w:rPr>
      <w:rFonts w:ascii="Segoe UI" w:hAnsi="Segoe UI" w:cs="Segoe UI"/>
      <w:sz w:val="18"/>
      <w:szCs w:val="18"/>
    </w:rPr>
  </w:style>
  <w:style w:type="character" w:customStyle="1" w:styleId="28">
    <w:name w:val="Encabezado Car"/>
    <w:link w:val="10"/>
    <w:qFormat/>
    <w:locked/>
    <w:uiPriority w:val="99"/>
    <w:rPr>
      <w:rFonts w:cs="Times New Roman"/>
    </w:rPr>
  </w:style>
  <w:style w:type="character" w:customStyle="1" w:styleId="29">
    <w:name w:val="Pie de página Car"/>
    <w:link w:val="9"/>
    <w:qFormat/>
    <w:locked/>
    <w:uiPriority w:val="99"/>
    <w:rPr>
      <w:rFonts w:cs="Times New Roman"/>
    </w:rPr>
  </w:style>
  <w:style w:type="character" w:customStyle="1" w:styleId="30">
    <w:name w:val="HTML con formato previo Car"/>
    <w:link w:val="11"/>
    <w:semiHidden/>
    <w:qFormat/>
    <w:locked/>
    <w:uiPriority w:val="99"/>
    <w:rPr>
      <w:rFonts w:ascii="Courier New" w:hAnsi="Courier New" w:cs="Courier New"/>
      <w:sz w:val="20"/>
      <w:szCs w:val="20"/>
      <w:lang w:val="en-GB" w:eastAsia="en-GB"/>
    </w:rPr>
  </w:style>
  <w:style w:type="character" w:customStyle="1" w:styleId="31">
    <w:name w:val="Asunto del comentario Car"/>
    <w:link w:val="8"/>
    <w:semiHidden/>
    <w:qFormat/>
    <w:locked/>
    <w:uiPriority w:val="99"/>
    <w:rPr>
      <w:rFonts w:cs="Times New Roman"/>
      <w:b/>
      <w:bCs/>
      <w:sz w:val="20"/>
      <w:szCs w:val="20"/>
    </w:rPr>
  </w:style>
  <w:style w:type="character" w:customStyle="1" w:styleId="32">
    <w:name w:val="Título 4 Car"/>
    <w:link w:val="5"/>
    <w:qFormat/>
    <w:uiPriority w:val="0"/>
    <w:rPr>
      <w:rFonts w:ascii="Calibri" w:hAnsi="Calibri" w:eastAsia="Times New Roman" w:cs="Times New Roman"/>
      <w:b/>
      <w:bCs/>
      <w:sz w:val="28"/>
      <w:szCs w:val="28"/>
      <w:lang w:val="es-ES" w:eastAsia="en-US"/>
    </w:rPr>
  </w:style>
  <w:style w:type="table" w:customStyle="1" w:styleId="33">
    <w:name w:val="Plain Table 2"/>
    <w:basedOn w:val="18"/>
    <w:qFormat/>
    <w:uiPriority w:val="42"/>
    <w:rPr>
      <w:rFonts w:asciiTheme="minorHAnsi" w:hAnsiTheme="minorHAnsi" w:eastAsiaTheme="minorHAnsi" w:cstheme="minorBidi"/>
      <w:sz w:val="22"/>
      <w:szCs w:val="22"/>
      <w:lang w:val="es-ES" w:eastAsia="en-US"/>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styleId="34">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image" Target="media/image1.tiff"/><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mandafr\Dropbox\2019.Exosomes%20HIVHCV_EMG\Analysis\id%20and%20counts.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mandafr\Dropbox\2019.Exosomes%20HIVHCV_EMG\Analysis\id%20and%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Hoja1!$A$18</c:f>
              <c:strCache>
                <c:ptCount val="1"/>
                <c:pt idx="0">
                  <c:v>miRNAs</c:v>
                </c:pt>
              </c:strCache>
            </c:strRef>
          </c:tx>
          <c:spPr>
            <a:solidFill>
              <a:schemeClr val="bg1">
                <a:lumMod val="50000"/>
              </a:schemeClr>
            </a:solidFill>
            <a:ln>
              <a:noFill/>
            </a:ln>
            <a:effectLst/>
          </c:spPr>
          <c:invertIfNegative val="0"/>
          <c:dPt>
            <c:idx val="0"/>
            <c:invertIfNegative val="0"/>
            <c:bubble3D val="0"/>
            <c:spPr>
              <a:solidFill>
                <a:schemeClr val="accent1"/>
              </a:solidFill>
              <a:ln>
                <a:noFill/>
              </a:ln>
              <a:effectLst/>
            </c:spPr>
          </c:dPt>
          <c:dPt>
            <c:idx val="1"/>
            <c:invertIfNegative val="0"/>
            <c:bubble3D val="0"/>
            <c:spPr>
              <a:solidFill>
                <a:srgbClr val="ED5511"/>
              </a:solidFill>
              <a:ln>
                <a:noFill/>
              </a:ln>
              <a:effectLst/>
            </c:spPr>
          </c:dPt>
          <c:dPt>
            <c:idx val="2"/>
            <c:invertIfNegative val="0"/>
            <c:bubble3D val="0"/>
            <c:spPr>
              <a:solidFill>
                <a:schemeClr val="accent1"/>
              </a:solidFill>
              <a:ln>
                <a:noFill/>
              </a:ln>
              <a:effectLst/>
            </c:spPr>
          </c:dPt>
          <c:dPt>
            <c:idx val="3"/>
            <c:invertIfNegative val="0"/>
            <c:bubble3D val="0"/>
            <c:spPr>
              <a:solidFill>
                <a:srgbClr val="ED5511"/>
              </a:solidFill>
              <a:ln>
                <a:noFill/>
              </a:ln>
              <a:effectLst/>
            </c:spPr>
          </c:dPt>
          <c:dPt>
            <c:idx val="4"/>
            <c:invertIfNegative val="0"/>
            <c:bubble3D val="0"/>
            <c:spPr>
              <a:solidFill>
                <a:schemeClr val="accent1"/>
              </a:solidFill>
              <a:ln>
                <a:noFill/>
              </a:ln>
              <a:effectLst/>
            </c:spPr>
          </c:dPt>
          <c:dPt>
            <c:idx val="5"/>
            <c:invertIfNegative val="0"/>
            <c:bubble3D val="0"/>
            <c:spPr>
              <a:solidFill>
                <a:srgbClr val="ED5511"/>
              </a:solidFill>
              <a:ln>
                <a:noFill/>
              </a:ln>
              <a:effectLst/>
            </c:spPr>
          </c:dPt>
          <c:dPt>
            <c:idx val="6"/>
            <c:invertIfNegative val="0"/>
            <c:bubble3D val="0"/>
            <c:spPr>
              <a:solidFill>
                <a:schemeClr val="accent1"/>
              </a:solidFill>
              <a:ln>
                <a:noFill/>
              </a:ln>
              <a:effectLst/>
            </c:spPr>
          </c:dPt>
          <c:dPt>
            <c:idx val="7"/>
            <c:invertIfNegative val="0"/>
            <c:bubble3D val="0"/>
            <c:spPr>
              <a:solidFill>
                <a:srgbClr val="ED5511"/>
              </a:solidFill>
              <a:ln>
                <a:noFill/>
              </a:ln>
              <a:effectLst/>
            </c:spPr>
          </c:dPt>
          <c:dPt>
            <c:idx val="8"/>
            <c:invertIfNegative val="0"/>
            <c:bubble3D val="0"/>
            <c:spPr>
              <a:solidFill>
                <a:schemeClr val="accent1"/>
              </a:solidFill>
              <a:ln>
                <a:noFill/>
              </a:ln>
              <a:effectLst/>
            </c:spPr>
          </c:dPt>
          <c:dPt>
            <c:idx val="9"/>
            <c:invertIfNegative val="0"/>
            <c:bubble3D val="0"/>
            <c:spPr>
              <a:solidFill>
                <a:srgbClr val="ED5511"/>
              </a:solidFill>
              <a:ln>
                <a:noFill/>
              </a:ln>
              <a:effectLst/>
            </c:spPr>
          </c:dPt>
          <c:dPt>
            <c:idx val="10"/>
            <c:invertIfNegative val="0"/>
            <c:bubble3D val="0"/>
            <c:spPr>
              <a:solidFill>
                <a:schemeClr val="accent1"/>
              </a:solidFill>
              <a:ln>
                <a:noFill/>
              </a:ln>
              <a:effectLst/>
            </c:spPr>
          </c:dPt>
          <c:dPt>
            <c:idx val="11"/>
            <c:invertIfNegative val="0"/>
            <c:bubble3D val="0"/>
            <c:spPr>
              <a:solidFill>
                <a:srgbClr val="ED5511"/>
              </a:solidFill>
              <a:ln>
                <a:noFill/>
              </a:ln>
              <a:effectLst/>
            </c:spPr>
          </c:dPt>
          <c:dLbls>
            <c:delete val="1"/>
          </c:dLbls>
          <c:cat>
            <c:strRef>
              <c:f>Hoja1!$B$17:$M$17</c:f>
              <c:strCache>
                <c:ptCount val="12"/>
                <c:pt idx="0">
                  <c:v>MIRn</c:v>
                </c:pt>
                <c:pt idx="1">
                  <c:v>MIRq</c:v>
                </c:pt>
                <c:pt idx="2">
                  <c:v>NORn</c:v>
                </c:pt>
                <c:pt idx="3">
                  <c:v>NORq</c:v>
                </c:pt>
                <c:pt idx="4">
                  <c:v>PEG10n</c:v>
                </c:pt>
                <c:pt idx="5">
                  <c:v>PEG1q</c:v>
                </c:pt>
                <c:pt idx="6">
                  <c:v>PEG6n</c:v>
                </c:pt>
                <c:pt idx="7">
                  <c:v>PEG6q</c:v>
                </c:pt>
                <c:pt idx="8">
                  <c:v>TEIn</c:v>
                </c:pt>
                <c:pt idx="9">
                  <c:v>TEIq</c:v>
                </c:pt>
                <c:pt idx="10">
                  <c:v>UCFn</c:v>
                </c:pt>
                <c:pt idx="11">
                  <c:v>UCFq</c:v>
                </c:pt>
              </c:strCache>
            </c:strRef>
          </c:cat>
          <c:val>
            <c:numRef>
              <c:f>Hoja1!$B$18:$M$18</c:f>
              <c:numCache>
                <c:formatCode>General</c:formatCode>
                <c:ptCount val="12"/>
                <c:pt idx="0">
                  <c:v>14416</c:v>
                </c:pt>
                <c:pt idx="1">
                  <c:v>8547</c:v>
                </c:pt>
                <c:pt idx="2">
                  <c:v>12195</c:v>
                </c:pt>
                <c:pt idx="3">
                  <c:v>13158</c:v>
                </c:pt>
                <c:pt idx="4">
                  <c:v>8264</c:v>
                </c:pt>
                <c:pt idx="5">
                  <c:v>6452</c:v>
                </c:pt>
                <c:pt idx="6">
                  <c:v>10869</c:v>
                </c:pt>
                <c:pt idx="7">
                  <c:v>6622</c:v>
                </c:pt>
                <c:pt idx="8">
                  <c:v>7520</c:v>
                </c:pt>
                <c:pt idx="9">
                  <c:v>6536</c:v>
                </c:pt>
                <c:pt idx="10">
                  <c:v>8264</c:v>
                </c:pt>
                <c:pt idx="11">
                  <c:v>10989</c:v>
                </c:pt>
              </c:numCache>
            </c:numRef>
          </c:val>
        </c:ser>
        <c:ser>
          <c:idx val="1"/>
          <c:order val="1"/>
          <c:tx>
            <c:strRef>
              <c:f>Hoja1!$A$19</c:f>
              <c:strCache>
                <c:ptCount val="1"/>
                <c:pt idx="0">
                  <c:v>smRNAs</c:v>
                </c:pt>
              </c:strCache>
            </c:strRef>
          </c:tx>
          <c:spPr>
            <a:solidFill>
              <a:schemeClr val="bg1"/>
            </a:solidFill>
            <a:ln>
              <a:solidFill>
                <a:schemeClr val="tx1"/>
              </a:solidFill>
            </a:ln>
            <a:effectLst/>
          </c:spPr>
          <c:invertIfNegative val="0"/>
          <c:dPt>
            <c:idx val="0"/>
            <c:invertIfNegative val="0"/>
            <c:bubble3D val="0"/>
            <c:spPr>
              <a:solidFill>
                <a:schemeClr val="bg1"/>
              </a:solidFill>
              <a:ln>
                <a:solidFill>
                  <a:schemeClr val="accent1"/>
                </a:solidFill>
              </a:ln>
              <a:effectLst/>
            </c:spPr>
          </c:dPt>
          <c:dPt>
            <c:idx val="1"/>
            <c:invertIfNegative val="0"/>
            <c:bubble3D val="0"/>
            <c:spPr>
              <a:solidFill>
                <a:schemeClr val="bg1"/>
              </a:solidFill>
              <a:ln>
                <a:solidFill>
                  <a:srgbClr val="ED5511"/>
                </a:solidFill>
              </a:ln>
              <a:effectLst/>
            </c:spPr>
          </c:dPt>
          <c:dPt>
            <c:idx val="2"/>
            <c:invertIfNegative val="0"/>
            <c:bubble3D val="0"/>
            <c:spPr>
              <a:solidFill>
                <a:schemeClr val="bg1"/>
              </a:solidFill>
              <a:ln>
                <a:solidFill>
                  <a:schemeClr val="accent1"/>
                </a:solidFill>
              </a:ln>
              <a:effectLst/>
            </c:spPr>
          </c:dPt>
          <c:dPt>
            <c:idx val="3"/>
            <c:invertIfNegative val="0"/>
            <c:bubble3D val="0"/>
            <c:spPr>
              <a:solidFill>
                <a:schemeClr val="bg1"/>
              </a:solidFill>
              <a:ln>
                <a:solidFill>
                  <a:srgbClr val="ED5511"/>
                </a:solidFill>
              </a:ln>
              <a:effectLst/>
            </c:spPr>
          </c:dPt>
          <c:dPt>
            <c:idx val="4"/>
            <c:invertIfNegative val="0"/>
            <c:bubble3D val="0"/>
            <c:spPr>
              <a:solidFill>
                <a:schemeClr val="bg1"/>
              </a:solidFill>
              <a:ln>
                <a:solidFill>
                  <a:schemeClr val="accent1"/>
                </a:solidFill>
              </a:ln>
              <a:effectLst/>
            </c:spPr>
          </c:dPt>
          <c:dPt>
            <c:idx val="5"/>
            <c:invertIfNegative val="0"/>
            <c:bubble3D val="0"/>
            <c:spPr>
              <a:solidFill>
                <a:schemeClr val="bg1"/>
              </a:solidFill>
              <a:ln>
                <a:solidFill>
                  <a:srgbClr val="ED5511"/>
                </a:solidFill>
              </a:ln>
              <a:effectLst/>
            </c:spPr>
          </c:dPt>
          <c:dPt>
            <c:idx val="6"/>
            <c:invertIfNegative val="0"/>
            <c:bubble3D val="0"/>
            <c:spPr>
              <a:solidFill>
                <a:schemeClr val="bg1"/>
              </a:solidFill>
              <a:ln>
                <a:solidFill>
                  <a:schemeClr val="accent1"/>
                </a:solidFill>
              </a:ln>
              <a:effectLst/>
            </c:spPr>
          </c:dPt>
          <c:dPt>
            <c:idx val="7"/>
            <c:invertIfNegative val="0"/>
            <c:bubble3D val="0"/>
            <c:spPr>
              <a:solidFill>
                <a:schemeClr val="bg1"/>
              </a:solidFill>
              <a:ln>
                <a:solidFill>
                  <a:srgbClr val="ED5511"/>
                </a:solidFill>
              </a:ln>
              <a:effectLst/>
            </c:spPr>
          </c:dPt>
          <c:dPt>
            <c:idx val="8"/>
            <c:invertIfNegative val="0"/>
            <c:bubble3D val="0"/>
            <c:spPr>
              <a:solidFill>
                <a:schemeClr val="bg1"/>
              </a:solidFill>
              <a:ln>
                <a:solidFill>
                  <a:schemeClr val="accent1"/>
                </a:solidFill>
              </a:ln>
              <a:effectLst/>
            </c:spPr>
          </c:dPt>
          <c:dPt>
            <c:idx val="9"/>
            <c:invertIfNegative val="0"/>
            <c:bubble3D val="0"/>
            <c:spPr>
              <a:solidFill>
                <a:schemeClr val="bg1"/>
              </a:solidFill>
              <a:ln>
                <a:solidFill>
                  <a:srgbClr val="ED5511"/>
                </a:solidFill>
              </a:ln>
              <a:effectLst/>
            </c:spPr>
          </c:dPt>
          <c:dPt>
            <c:idx val="10"/>
            <c:invertIfNegative val="0"/>
            <c:bubble3D val="0"/>
            <c:spPr>
              <a:solidFill>
                <a:schemeClr val="bg1"/>
              </a:solidFill>
              <a:ln>
                <a:solidFill>
                  <a:schemeClr val="accent1"/>
                </a:solidFill>
              </a:ln>
              <a:effectLst/>
            </c:spPr>
          </c:dPt>
          <c:dPt>
            <c:idx val="11"/>
            <c:invertIfNegative val="0"/>
            <c:bubble3D val="0"/>
            <c:spPr>
              <a:solidFill>
                <a:schemeClr val="bg1"/>
              </a:solidFill>
              <a:ln>
                <a:solidFill>
                  <a:srgbClr val="ED5511"/>
                </a:solidFill>
              </a:ln>
              <a:effectLst/>
            </c:spPr>
          </c:dPt>
          <c:dLbls>
            <c:delete val="1"/>
          </c:dLbls>
          <c:cat>
            <c:strRef>
              <c:f>Hoja1!$B$17:$M$17</c:f>
              <c:strCache>
                <c:ptCount val="12"/>
                <c:pt idx="0">
                  <c:v>MIRn</c:v>
                </c:pt>
                <c:pt idx="1">
                  <c:v>MIRq</c:v>
                </c:pt>
                <c:pt idx="2">
                  <c:v>NORn</c:v>
                </c:pt>
                <c:pt idx="3">
                  <c:v>NORq</c:v>
                </c:pt>
                <c:pt idx="4">
                  <c:v>PEG10n</c:v>
                </c:pt>
                <c:pt idx="5">
                  <c:v>PEG1q</c:v>
                </c:pt>
                <c:pt idx="6">
                  <c:v>PEG6n</c:v>
                </c:pt>
                <c:pt idx="7">
                  <c:v>PEG6q</c:v>
                </c:pt>
                <c:pt idx="8">
                  <c:v>TEIn</c:v>
                </c:pt>
                <c:pt idx="9">
                  <c:v>TEIq</c:v>
                </c:pt>
                <c:pt idx="10">
                  <c:v>UCFn</c:v>
                </c:pt>
                <c:pt idx="11">
                  <c:v>UCFq</c:v>
                </c:pt>
              </c:strCache>
            </c:strRef>
          </c:cat>
          <c:val>
            <c:numRef>
              <c:f>Hoja1!$B$19:$M$19</c:f>
              <c:numCache>
                <c:formatCode>General</c:formatCode>
                <c:ptCount val="12"/>
                <c:pt idx="0">
                  <c:v>1412</c:v>
                </c:pt>
                <c:pt idx="1">
                  <c:v>1623</c:v>
                </c:pt>
                <c:pt idx="2">
                  <c:v>2392</c:v>
                </c:pt>
                <c:pt idx="3">
                  <c:v>2079</c:v>
                </c:pt>
                <c:pt idx="4">
                  <c:v>2500</c:v>
                </c:pt>
                <c:pt idx="5">
                  <c:v>1373</c:v>
                </c:pt>
                <c:pt idx="6">
                  <c:v>2193</c:v>
                </c:pt>
                <c:pt idx="7">
                  <c:v>1615</c:v>
                </c:pt>
                <c:pt idx="8">
                  <c:v>2358</c:v>
                </c:pt>
                <c:pt idx="9">
                  <c:v>1346</c:v>
                </c:pt>
                <c:pt idx="10">
                  <c:v>2294</c:v>
                </c:pt>
                <c:pt idx="11">
                  <c:v>1709</c:v>
                </c:pt>
              </c:numCache>
            </c:numRef>
          </c:val>
        </c:ser>
        <c:dLbls>
          <c:showLegendKey val="0"/>
          <c:showVal val="0"/>
          <c:showCatName val="0"/>
          <c:showSerName val="0"/>
          <c:showPercent val="0"/>
          <c:showBubbleSize val="0"/>
        </c:dLbls>
        <c:gapWidth val="219"/>
        <c:overlap val="-27"/>
        <c:axId val="-435406592"/>
        <c:axId val="-435402784"/>
      </c:barChart>
      <c:catAx>
        <c:axId val="-43540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35402784"/>
        <c:crosses val="autoZero"/>
        <c:auto val="1"/>
        <c:lblAlgn val="ctr"/>
        <c:lblOffset val="100"/>
        <c:noMultiLvlLbl val="0"/>
      </c:catAx>
      <c:valAx>
        <c:axId val="-435402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s-ES"/>
                  <a:t>normalized counts</a:t>
                </a:r>
                <a:endParaRPr lang="es-ES"/>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354065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bg1"/>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Hoja1!$A$24</c:f>
              <c:strCache>
                <c:ptCount val="1"/>
                <c:pt idx="0">
                  <c:v>miRNAs</c:v>
                </c:pt>
              </c:strCache>
            </c:strRef>
          </c:tx>
          <c:spPr>
            <a:solidFill>
              <a:schemeClr val="bg1">
                <a:lumMod val="50000"/>
              </a:schemeClr>
            </a:solidFill>
            <a:ln>
              <a:noFill/>
            </a:ln>
            <a:effectLst/>
          </c:spPr>
          <c:invertIfNegative val="0"/>
          <c:dPt>
            <c:idx val="0"/>
            <c:invertIfNegative val="0"/>
            <c:bubble3D val="0"/>
            <c:spPr>
              <a:solidFill>
                <a:schemeClr val="accent1"/>
              </a:solidFill>
              <a:ln>
                <a:noFill/>
              </a:ln>
              <a:effectLst/>
            </c:spPr>
          </c:dPt>
          <c:dPt>
            <c:idx val="1"/>
            <c:invertIfNegative val="0"/>
            <c:bubble3D val="0"/>
            <c:spPr>
              <a:solidFill>
                <a:srgbClr val="ED5511"/>
              </a:solidFill>
              <a:ln>
                <a:noFill/>
              </a:ln>
              <a:effectLst/>
            </c:spPr>
          </c:dPt>
          <c:dPt>
            <c:idx val="2"/>
            <c:invertIfNegative val="0"/>
            <c:bubble3D val="0"/>
            <c:spPr>
              <a:solidFill>
                <a:schemeClr val="accent1"/>
              </a:solidFill>
              <a:ln>
                <a:noFill/>
              </a:ln>
              <a:effectLst/>
            </c:spPr>
          </c:dPt>
          <c:dPt>
            <c:idx val="3"/>
            <c:invertIfNegative val="0"/>
            <c:bubble3D val="0"/>
            <c:spPr>
              <a:solidFill>
                <a:srgbClr val="ED5511"/>
              </a:solidFill>
              <a:ln>
                <a:noFill/>
              </a:ln>
              <a:effectLst/>
            </c:spPr>
          </c:dPt>
          <c:dPt>
            <c:idx val="4"/>
            <c:invertIfNegative val="0"/>
            <c:bubble3D val="0"/>
            <c:spPr>
              <a:solidFill>
                <a:schemeClr val="accent1"/>
              </a:solidFill>
              <a:ln>
                <a:noFill/>
              </a:ln>
              <a:effectLst/>
            </c:spPr>
          </c:dPt>
          <c:dPt>
            <c:idx val="5"/>
            <c:invertIfNegative val="0"/>
            <c:bubble3D val="0"/>
            <c:spPr>
              <a:solidFill>
                <a:srgbClr val="ED5511"/>
              </a:solidFill>
              <a:ln>
                <a:noFill/>
              </a:ln>
              <a:effectLst/>
            </c:spPr>
          </c:dPt>
          <c:dPt>
            <c:idx val="6"/>
            <c:invertIfNegative val="0"/>
            <c:bubble3D val="0"/>
            <c:spPr>
              <a:solidFill>
                <a:schemeClr val="accent1"/>
              </a:solidFill>
              <a:ln>
                <a:noFill/>
              </a:ln>
              <a:effectLst/>
            </c:spPr>
          </c:dPt>
          <c:dPt>
            <c:idx val="7"/>
            <c:invertIfNegative val="0"/>
            <c:bubble3D val="0"/>
            <c:spPr>
              <a:solidFill>
                <a:srgbClr val="ED5511"/>
              </a:solidFill>
              <a:ln>
                <a:noFill/>
              </a:ln>
              <a:effectLst/>
            </c:spPr>
          </c:dPt>
          <c:dPt>
            <c:idx val="8"/>
            <c:invertIfNegative val="0"/>
            <c:bubble3D val="0"/>
            <c:spPr>
              <a:solidFill>
                <a:schemeClr val="accent1"/>
              </a:solidFill>
              <a:ln>
                <a:noFill/>
              </a:ln>
              <a:effectLst/>
            </c:spPr>
          </c:dPt>
          <c:dPt>
            <c:idx val="9"/>
            <c:invertIfNegative val="0"/>
            <c:bubble3D val="0"/>
            <c:spPr>
              <a:solidFill>
                <a:srgbClr val="ED5511"/>
              </a:solidFill>
              <a:ln>
                <a:noFill/>
              </a:ln>
              <a:effectLst/>
            </c:spPr>
          </c:dPt>
          <c:dPt>
            <c:idx val="10"/>
            <c:invertIfNegative val="0"/>
            <c:bubble3D val="0"/>
            <c:spPr>
              <a:solidFill>
                <a:schemeClr val="accent1"/>
              </a:solidFill>
              <a:ln>
                <a:noFill/>
              </a:ln>
              <a:effectLst/>
            </c:spPr>
          </c:dPt>
          <c:dPt>
            <c:idx val="11"/>
            <c:invertIfNegative val="0"/>
            <c:bubble3D val="0"/>
            <c:spPr>
              <a:solidFill>
                <a:srgbClr val="ED5511"/>
              </a:solidFill>
              <a:ln>
                <a:noFill/>
              </a:ln>
              <a:effectLst/>
            </c:spPr>
          </c:dPt>
          <c:dLbls>
            <c:delete val="1"/>
          </c:dLbls>
          <c:cat>
            <c:strRef>
              <c:f>Hoja1!$B$17:$M$17</c:f>
              <c:strCache>
                <c:ptCount val="12"/>
                <c:pt idx="0">
                  <c:v>MIRn</c:v>
                </c:pt>
                <c:pt idx="1">
                  <c:v>MIRq</c:v>
                </c:pt>
                <c:pt idx="2">
                  <c:v>NORn</c:v>
                </c:pt>
                <c:pt idx="3">
                  <c:v>NORq</c:v>
                </c:pt>
                <c:pt idx="4">
                  <c:v>PEG10n</c:v>
                </c:pt>
                <c:pt idx="5">
                  <c:v>PEG1q</c:v>
                </c:pt>
                <c:pt idx="6">
                  <c:v>PEG6n</c:v>
                </c:pt>
                <c:pt idx="7">
                  <c:v>PEG6q</c:v>
                </c:pt>
                <c:pt idx="8">
                  <c:v>TEIn</c:v>
                </c:pt>
                <c:pt idx="9">
                  <c:v>TEIq</c:v>
                </c:pt>
                <c:pt idx="10">
                  <c:v>UCFn</c:v>
                </c:pt>
                <c:pt idx="11">
                  <c:v>UCFq</c:v>
                </c:pt>
              </c:strCache>
            </c:strRef>
          </c:cat>
          <c:val>
            <c:numRef>
              <c:f>Hoja1!$B$24:$M$24</c:f>
              <c:numCache>
                <c:formatCode>General</c:formatCode>
                <c:ptCount val="12"/>
                <c:pt idx="0">
                  <c:v>97</c:v>
                </c:pt>
                <c:pt idx="1">
                  <c:v>118</c:v>
                </c:pt>
                <c:pt idx="2">
                  <c:v>83</c:v>
                </c:pt>
                <c:pt idx="3">
                  <c:v>77</c:v>
                </c:pt>
                <c:pt idx="4">
                  <c:v>122</c:v>
                </c:pt>
                <c:pt idx="5">
                  <c:v>156</c:v>
                </c:pt>
                <c:pt idx="6">
                  <c:v>93</c:v>
                </c:pt>
                <c:pt idx="7">
                  <c:v>152</c:v>
                </c:pt>
                <c:pt idx="8">
                  <c:v>130</c:v>
                </c:pt>
                <c:pt idx="9">
                  <c:v>154</c:v>
                </c:pt>
                <c:pt idx="10">
                  <c:v>122</c:v>
                </c:pt>
                <c:pt idx="11">
                  <c:v>92</c:v>
                </c:pt>
              </c:numCache>
            </c:numRef>
          </c:val>
        </c:ser>
        <c:ser>
          <c:idx val="1"/>
          <c:order val="1"/>
          <c:tx>
            <c:strRef>
              <c:f>Hoja1!$A$25</c:f>
              <c:strCache>
                <c:ptCount val="1"/>
                <c:pt idx="0">
                  <c:v>smRNAs</c:v>
                </c:pt>
              </c:strCache>
            </c:strRef>
          </c:tx>
          <c:spPr>
            <a:solidFill>
              <a:schemeClr val="bg1"/>
            </a:solidFill>
            <a:ln>
              <a:solidFill>
                <a:schemeClr val="tx1"/>
              </a:solidFill>
            </a:ln>
            <a:effectLst/>
          </c:spPr>
          <c:invertIfNegative val="0"/>
          <c:dPt>
            <c:idx val="0"/>
            <c:invertIfNegative val="0"/>
            <c:bubble3D val="0"/>
            <c:spPr>
              <a:noFill/>
              <a:ln>
                <a:solidFill>
                  <a:schemeClr val="accent1"/>
                </a:solidFill>
              </a:ln>
              <a:effectLst/>
            </c:spPr>
          </c:dPt>
          <c:dPt>
            <c:idx val="1"/>
            <c:invertIfNegative val="0"/>
            <c:bubble3D val="0"/>
            <c:spPr>
              <a:solidFill>
                <a:schemeClr val="bg1"/>
              </a:solidFill>
              <a:ln>
                <a:solidFill>
                  <a:srgbClr val="ED5511"/>
                </a:solidFill>
              </a:ln>
              <a:effectLst/>
            </c:spPr>
          </c:dPt>
          <c:dPt>
            <c:idx val="2"/>
            <c:invertIfNegative val="0"/>
            <c:bubble3D val="0"/>
            <c:spPr>
              <a:solidFill>
                <a:schemeClr val="bg1"/>
              </a:solidFill>
              <a:ln>
                <a:solidFill>
                  <a:schemeClr val="accent1"/>
                </a:solidFill>
              </a:ln>
              <a:effectLst/>
            </c:spPr>
          </c:dPt>
          <c:dPt>
            <c:idx val="3"/>
            <c:invertIfNegative val="0"/>
            <c:bubble3D val="0"/>
            <c:spPr>
              <a:solidFill>
                <a:schemeClr val="bg1"/>
              </a:solidFill>
              <a:ln>
                <a:solidFill>
                  <a:srgbClr val="ED5511"/>
                </a:solidFill>
              </a:ln>
              <a:effectLst/>
            </c:spPr>
          </c:dPt>
          <c:dPt>
            <c:idx val="4"/>
            <c:invertIfNegative val="0"/>
            <c:bubble3D val="0"/>
            <c:spPr>
              <a:solidFill>
                <a:schemeClr val="bg1"/>
              </a:solidFill>
              <a:ln>
                <a:solidFill>
                  <a:schemeClr val="accent1"/>
                </a:solidFill>
              </a:ln>
              <a:effectLst/>
            </c:spPr>
          </c:dPt>
          <c:dPt>
            <c:idx val="5"/>
            <c:invertIfNegative val="0"/>
            <c:bubble3D val="0"/>
            <c:spPr>
              <a:solidFill>
                <a:schemeClr val="bg1"/>
              </a:solidFill>
              <a:ln>
                <a:solidFill>
                  <a:srgbClr val="ED5511"/>
                </a:solidFill>
              </a:ln>
              <a:effectLst/>
            </c:spPr>
          </c:dPt>
          <c:dPt>
            <c:idx val="6"/>
            <c:invertIfNegative val="0"/>
            <c:bubble3D val="0"/>
            <c:spPr>
              <a:solidFill>
                <a:schemeClr val="bg1"/>
              </a:solidFill>
              <a:ln>
                <a:solidFill>
                  <a:schemeClr val="accent1"/>
                </a:solidFill>
              </a:ln>
              <a:effectLst/>
            </c:spPr>
          </c:dPt>
          <c:dPt>
            <c:idx val="7"/>
            <c:invertIfNegative val="0"/>
            <c:bubble3D val="0"/>
            <c:spPr>
              <a:solidFill>
                <a:schemeClr val="bg1"/>
              </a:solidFill>
              <a:ln>
                <a:solidFill>
                  <a:srgbClr val="ED5511"/>
                </a:solidFill>
              </a:ln>
              <a:effectLst/>
            </c:spPr>
          </c:dPt>
          <c:dPt>
            <c:idx val="8"/>
            <c:invertIfNegative val="0"/>
            <c:bubble3D val="0"/>
            <c:spPr>
              <a:solidFill>
                <a:schemeClr val="bg1"/>
              </a:solidFill>
              <a:ln>
                <a:solidFill>
                  <a:schemeClr val="accent1"/>
                </a:solidFill>
              </a:ln>
              <a:effectLst/>
            </c:spPr>
          </c:dPt>
          <c:dPt>
            <c:idx val="9"/>
            <c:invertIfNegative val="0"/>
            <c:bubble3D val="0"/>
            <c:spPr>
              <a:solidFill>
                <a:schemeClr val="bg1"/>
              </a:solidFill>
              <a:ln>
                <a:solidFill>
                  <a:srgbClr val="ED5511"/>
                </a:solidFill>
              </a:ln>
              <a:effectLst/>
            </c:spPr>
          </c:dPt>
          <c:dPt>
            <c:idx val="10"/>
            <c:invertIfNegative val="0"/>
            <c:bubble3D val="0"/>
            <c:spPr>
              <a:solidFill>
                <a:schemeClr val="bg1"/>
              </a:solidFill>
              <a:ln>
                <a:solidFill>
                  <a:schemeClr val="accent1"/>
                </a:solidFill>
              </a:ln>
              <a:effectLst/>
            </c:spPr>
          </c:dPt>
          <c:dPt>
            <c:idx val="11"/>
            <c:invertIfNegative val="0"/>
            <c:bubble3D val="0"/>
            <c:spPr>
              <a:solidFill>
                <a:schemeClr val="bg1"/>
              </a:solidFill>
              <a:ln>
                <a:solidFill>
                  <a:srgbClr val="ED5511"/>
                </a:solidFill>
              </a:ln>
              <a:effectLst/>
            </c:spPr>
          </c:dPt>
          <c:dLbls>
            <c:delete val="1"/>
          </c:dLbls>
          <c:cat>
            <c:strRef>
              <c:f>Hoja1!$B$17:$M$17</c:f>
              <c:strCache>
                <c:ptCount val="12"/>
                <c:pt idx="0">
                  <c:v>MIRn</c:v>
                </c:pt>
                <c:pt idx="1">
                  <c:v>MIRq</c:v>
                </c:pt>
                <c:pt idx="2">
                  <c:v>NORn</c:v>
                </c:pt>
                <c:pt idx="3">
                  <c:v>NORq</c:v>
                </c:pt>
                <c:pt idx="4">
                  <c:v>PEG10n</c:v>
                </c:pt>
                <c:pt idx="5">
                  <c:v>PEG1q</c:v>
                </c:pt>
                <c:pt idx="6">
                  <c:v>PEG6n</c:v>
                </c:pt>
                <c:pt idx="7">
                  <c:v>PEG6q</c:v>
                </c:pt>
                <c:pt idx="8">
                  <c:v>TEIn</c:v>
                </c:pt>
                <c:pt idx="9">
                  <c:v>TEIq</c:v>
                </c:pt>
                <c:pt idx="10">
                  <c:v>UCFn</c:v>
                </c:pt>
                <c:pt idx="11">
                  <c:v>UCFq</c:v>
                </c:pt>
              </c:strCache>
            </c:strRef>
          </c:cat>
          <c:val>
            <c:numRef>
              <c:f>Hoja1!$B$25:$M$25</c:f>
              <c:numCache>
                <c:formatCode>General</c:formatCode>
                <c:ptCount val="12"/>
                <c:pt idx="0">
                  <c:v>710</c:v>
                </c:pt>
                <c:pt idx="1">
                  <c:v>618</c:v>
                </c:pt>
                <c:pt idx="2">
                  <c:v>420</c:v>
                </c:pt>
                <c:pt idx="3">
                  <c:v>483</c:v>
                </c:pt>
                <c:pt idx="4">
                  <c:v>402</c:v>
                </c:pt>
                <c:pt idx="5">
                  <c:v>730</c:v>
                </c:pt>
                <c:pt idx="6">
                  <c:v>458</c:v>
                </c:pt>
                <c:pt idx="7">
                  <c:v>621</c:v>
                </c:pt>
                <c:pt idx="8">
                  <c:v>426</c:v>
                </c:pt>
                <c:pt idx="9">
                  <c:v>745</c:v>
                </c:pt>
                <c:pt idx="10">
                  <c:v>438</c:v>
                </c:pt>
                <c:pt idx="11">
                  <c:v>587</c:v>
                </c:pt>
              </c:numCache>
            </c:numRef>
          </c:val>
        </c:ser>
        <c:dLbls>
          <c:showLegendKey val="0"/>
          <c:showVal val="0"/>
          <c:showCatName val="0"/>
          <c:showSerName val="0"/>
          <c:showPercent val="0"/>
          <c:showBubbleSize val="0"/>
        </c:dLbls>
        <c:gapWidth val="219"/>
        <c:overlap val="-27"/>
        <c:axId val="-435402240"/>
        <c:axId val="-435401696"/>
      </c:barChart>
      <c:catAx>
        <c:axId val="-43540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35401696"/>
        <c:crosses val="autoZero"/>
        <c:auto val="1"/>
        <c:lblAlgn val="ctr"/>
        <c:lblOffset val="100"/>
        <c:noMultiLvlLbl val="0"/>
      </c:catAx>
      <c:valAx>
        <c:axId val="-435401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s-ES"/>
                  <a:t>number</a:t>
                </a:r>
                <a:r>
                  <a:rPr lang="es-ES" baseline="0"/>
                  <a:t> of molecules</a:t>
                </a:r>
                <a:endParaRPr lang="es-ES"/>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354022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bg1"/>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5581</Words>
  <Characters>30699</Characters>
  <Lines>255</Lines>
  <Paragraphs>72</Paragraphs>
  <TotalTime>90</TotalTime>
  <ScaleCrop>false</ScaleCrop>
  <LinksUpToDate>false</LinksUpToDate>
  <CharactersWithSpaces>36208</CharactersWithSpaces>
  <Application>WPS Office_11.2.0.9431_F1E327BC-269C-435d-A152-05C5408002CA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2020-01-13T15:45:00Z</dcterms:created>
  <dc:creator>Amanda Fernandez Rodriguez</dc:creator>
  <cp:lastModifiedBy>amand</cp:lastModifiedBy>
  <dcterms:modified xsi:type="dcterms:W3CDTF">2020-06-22T00:09:29Z</dcterms:modified>
  <dc:title>SUPPLEMENTARY MATERIAL AND METHODS</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1033-11.2.0.9431</vt:lpwstr>
  </property>
</Properties>
</file>