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37342" w14:textId="77777777" w:rsidR="00063891" w:rsidRPr="00063891" w:rsidRDefault="00063891" w:rsidP="00B74BA6">
      <w:pPr>
        <w:spacing w:line="480" w:lineRule="auto"/>
        <w:rPr>
          <w:b/>
          <w:sz w:val="32"/>
          <w:u w:val="single"/>
        </w:rPr>
      </w:pPr>
      <w:r w:rsidRPr="00063891">
        <w:rPr>
          <w:b/>
          <w:sz w:val="32"/>
          <w:u w:val="single"/>
        </w:rPr>
        <w:t>SUPPLEMENTARY FIGURES FOR</w:t>
      </w:r>
    </w:p>
    <w:p w14:paraId="01C4146B" w14:textId="77777777" w:rsidR="006D5064" w:rsidRPr="00D50F2A" w:rsidRDefault="006D5064" w:rsidP="006D5064">
      <w:pPr>
        <w:spacing w:line="480" w:lineRule="auto"/>
        <w:rPr>
          <w:b/>
          <w:bCs/>
          <w:sz w:val="32"/>
          <w:lang w:val="en-US"/>
        </w:rPr>
      </w:pPr>
      <w:r w:rsidRPr="00785054">
        <w:rPr>
          <w:b/>
          <w:sz w:val="32"/>
        </w:rPr>
        <w:t>Quantitative immunohistochemical analysis of myeloid cell marker expression in human cortex captures microglia heterogeneity wi</w:t>
      </w:r>
      <w:bookmarkStart w:id="0" w:name="_GoBack"/>
      <w:bookmarkEnd w:id="0"/>
      <w:r w:rsidRPr="00785054">
        <w:rPr>
          <w:b/>
          <w:sz w:val="32"/>
        </w:rPr>
        <w:t>th anatomical context</w:t>
      </w:r>
    </w:p>
    <w:p w14:paraId="7C866A7F" w14:textId="019FB55A" w:rsidR="00761BBC" w:rsidRDefault="00761BBC" w:rsidP="00B74BA6">
      <w:pPr>
        <w:spacing w:line="480" w:lineRule="auto"/>
      </w:pPr>
      <w:r>
        <w:t>Molly E. V. Swanson</w:t>
      </w:r>
      <w:r w:rsidRPr="00761BBC">
        <w:rPr>
          <w:vertAlign w:val="superscript"/>
        </w:rPr>
        <w:t>1,2</w:t>
      </w:r>
      <w:r>
        <w:t>, Helen C. Murray</w:t>
      </w:r>
      <w:r w:rsidRPr="00761BBC">
        <w:rPr>
          <w:vertAlign w:val="superscript"/>
        </w:rPr>
        <w:t>1,2</w:t>
      </w:r>
      <w:r>
        <w:t>, Brigid Ryan</w:t>
      </w:r>
      <w:r w:rsidRPr="00761BBC">
        <w:rPr>
          <w:vertAlign w:val="superscript"/>
        </w:rPr>
        <w:t>1,2</w:t>
      </w:r>
      <w:r>
        <w:t>, Richard L. M. Faull</w:t>
      </w:r>
      <w:r w:rsidRPr="00761BBC">
        <w:rPr>
          <w:vertAlign w:val="superscript"/>
        </w:rPr>
        <w:t>1,2</w:t>
      </w:r>
      <w:r>
        <w:t>, Mike Dragunow</w:t>
      </w:r>
      <w:r w:rsidRPr="00761BBC">
        <w:rPr>
          <w:vertAlign w:val="superscript"/>
        </w:rPr>
        <w:t>2,3</w:t>
      </w:r>
      <w:r>
        <w:t>, Maurice A. Curtis</w:t>
      </w:r>
      <w:r w:rsidRPr="00761BBC">
        <w:rPr>
          <w:vertAlign w:val="superscript"/>
        </w:rPr>
        <w:t>1,2</w:t>
      </w:r>
      <w:r w:rsidR="00E67A09">
        <w:rPr>
          <w:vertAlign w:val="superscript"/>
        </w:rPr>
        <w:t>,4</w:t>
      </w:r>
    </w:p>
    <w:p w14:paraId="0AAF3A23" w14:textId="70B501A6" w:rsidR="00761BBC" w:rsidRDefault="00761BBC" w:rsidP="00B74BA6">
      <w:pPr>
        <w:spacing w:line="480" w:lineRule="auto"/>
      </w:pPr>
      <w:r w:rsidRPr="00761BBC">
        <w:rPr>
          <w:vertAlign w:val="superscript"/>
        </w:rPr>
        <w:t>1</w:t>
      </w:r>
      <w:r>
        <w:t xml:space="preserve"> Department of Anatomy and Medical Imaging, Faculty of Medical and Health Science, University of Auckland, Private Bag 92019, Auckland, New Zealand</w:t>
      </w:r>
    </w:p>
    <w:p w14:paraId="6B0D259A" w14:textId="2207A0A0" w:rsidR="00761BBC" w:rsidRDefault="00761BBC" w:rsidP="00B74BA6">
      <w:pPr>
        <w:spacing w:line="480" w:lineRule="auto"/>
      </w:pPr>
      <w:r w:rsidRPr="00761BBC">
        <w:rPr>
          <w:vertAlign w:val="superscript"/>
        </w:rPr>
        <w:t>2</w:t>
      </w:r>
      <w:r>
        <w:t xml:space="preserve"> Centre for Brain Research, Faculty of Medical and Health Science, University of Auckland, Private Bag 92019, Auckland, New Zealand</w:t>
      </w:r>
    </w:p>
    <w:p w14:paraId="28B0BE99" w14:textId="77777777" w:rsidR="00761BBC" w:rsidRDefault="00761BBC" w:rsidP="00B74BA6">
      <w:pPr>
        <w:spacing w:line="480" w:lineRule="auto"/>
      </w:pPr>
      <w:r w:rsidRPr="00761BBC">
        <w:rPr>
          <w:vertAlign w:val="superscript"/>
        </w:rPr>
        <w:t>3</w:t>
      </w:r>
      <w:r>
        <w:t xml:space="preserve"> Department of Pharmacology and Clinical Pharmacology, Faculty of Medical and Health Science, University of Auckland, Private Bag 92019, Auckland, New Zealand</w:t>
      </w:r>
    </w:p>
    <w:p w14:paraId="2D070E7A" w14:textId="77777777" w:rsidR="00DB31C7" w:rsidRDefault="00DB31C7">
      <w:pPr>
        <w:spacing w:line="276" w:lineRule="auto"/>
      </w:pPr>
      <w:r>
        <w:br w:type="page"/>
      </w:r>
    </w:p>
    <w:tbl>
      <w:tblPr>
        <w:tblStyle w:val="TableGrid"/>
        <w:tblW w:w="0" w:type="auto"/>
        <w:tblLook w:val="04A0" w:firstRow="1" w:lastRow="0" w:firstColumn="1" w:lastColumn="0" w:noHBand="0" w:noVBand="1"/>
      </w:tblPr>
      <w:tblGrid>
        <w:gridCol w:w="1206"/>
        <w:gridCol w:w="3230"/>
        <w:gridCol w:w="4580"/>
      </w:tblGrid>
      <w:tr w:rsidR="00DB31C7" w14:paraId="5749CDFF" w14:textId="77777777" w:rsidTr="0022086D">
        <w:tc>
          <w:tcPr>
            <w:tcW w:w="0" w:type="auto"/>
            <w:gridSpan w:val="3"/>
          </w:tcPr>
          <w:p w14:paraId="34FC8A13" w14:textId="163D7CDB" w:rsidR="00DB31C7" w:rsidRPr="00DB31C7" w:rsidRDefault="00DB31C7" w:rsidP="0022086D">
            <w:pPr>
              <w:jc w:val="both"/>
              <w:rPr>
                <w:lang w:val="en-US"/>
              </w:rPr>
            </w:pPr>
            <w:r>
              <w:rPr>
                <w:b/>
                <w:bCs/>
                <w:lang w:val="en-US"/>
              </w:rPr>
              <w:lastRenderedPageBreak/>
              <w:t xml:space="preserve">Supplementary Table 1: </w:t>
            </w:r>
            <w:r w:rsidRPr="00DB31C7">
              <w:rPr>
                <w:lang w:val="en-US"/>
              </w:rPr>
              <w:t>Markers of interest chosen to study in this study</w:t>
            </w:r>
          </w:p>
        </w:tc>
      </w:tr>
      <w:tr w:rsidR="00DB31C7" w14:paraId="0A67B89C" w14:textId="77777777" w:rsidTr="0022086D">
        <w:tc>
          <w:tcPr>
            <w:tcW w:w="0" w:type="auto"/>
          </w:tcPr>
          <w:p w14:paraId="45709A56" w14:textId="49B3F027" w:rsidR="00DB31C7" w:rsidRPr="00FC6DF6" w:rsidRDefault="00DB31C7" w:rsidP="0022086D">
            <w:pPr>
              <w:jc w:val="both"/>
              <w:rPr>
                <w:b/>
                <w:bCs/>
                <w:lang w:val="en-US"/>
              </w:rPr>
            </w:pPr>
            <w:r>
              <w:rPr>
                <w:b/>
                <w:bCs/>
                <w:lang w:val="en-US"/>
              </w:rPr>
              <w:t>Marker</w:t>
            </w:r>
          </w:p>
        </w:tc>
        <w:tc>
          <w:tcPr>
            <w:tcW w:w="0" w:type="auto"/>
          </w:tcPr>
          <w:p w14:paraId="0BDDA1E6" w14:textId="77777777" w:rsidR="00DB31C7" w:rsidRPr="00FC6DF6" w:rsidRDefault="00DB31C7" w:rsidP="0022086D">
            <w:pPr>
              <w:jc w:val="both"/>
              <w:rPr>
                <w:b/>
                <w:bCs/>
                <w:lang w:val="en-US"/>
              </w:rPr>
            </w:pPr>
            <w:r w:rsidRPr="00FC6DF6">
              <w:rPr>
                <w:b/>
                <w:bCs/>
                <w:lang w:val="en-US"/>
              </w:rPr>
              <w:t>Function</w:t>
            </w:r>
          </w:p>
        </w:tc>
        <w:tc>
          <w:tcPr>
            <w:tcW w:w="0" w:type="auto"/>
          </w:tcPr>
          <w:p w14:paraId="5098A110" w14:textId="209694B2" w:rsidR="00DB31C7" w:rsidRPr="0019150A" w:rsidRDefault="00DB31C7" w:rsidP="0022086D">
            <w:pPr>
              <w:jc w:val="both"/>
              <w:rPr>
                <w:b/>
                <w:bCs/>
                <w:lang w:val="en-US"/>
              </w:rPr>
            </w:pPr>
            <w:r w:rsidRPr="0019150A">
              <w:rPr>
                <w:b/>
                <w:bCs/>
                <w:lang w:val="en-US"/>
              </w:rPr>
              <w:t>Reason to characteri</w:t>
            </w:r>
            <w:r>
              <w:rPr>
                <w:b/>
                <w:bCs/>
                <w:lang w:val="en-US"/>
              </w:rPr>
              <w:t>z</w:t>
            </w:r>
            <w:r w:rsidRPr="0019150A">
              <w:rPr>
                <w:b/>
                <w:bCs/>
                <w:lang w:val="en-US"/>
              </w:rPr>
              <w:t>e</w:t>
            </w:r>
          </w:p>
        </w:tc>
      </w:tr>
      <w:tr w:rsidR="00DB31C7" w14:paraId="065F161E" w14:textId="77777777" w:rsidTr="0022086D">
        <w:tc>
          <w:tcPr>
            <w:tcW w:w="0" w:type="auto"/>
          </w:tcPr>
          <w:p w14:paraId="4821EB53" w14:textId="77777777" w:rsidR="00DB31C7" w:rsidRDefault="00DB31C7" w:rsidP="0022086D">
            <w:pPr>
              <w:rPr>
                <w:lang w:val="en-US"/>
              </w:rPr>
            </w:pPr>
            <w:r>
              <w:rPr>
                <w:lang w:val="en-US"/>
              </w:rPr>
              <w:t>P2RY12</w:t>
            </w:r>
          </w:p>
        </w:tc>
        <w:tc>
          <w:tcPr>
            <w:tcW w:w="0" w:type="auto"/>
          </w:tcPr>
          <w:p w14:paraId="584DA0E6" w14:textId="77777777" w:rsidR="00DB31C7" w:rsidRDefault="00DB31C7" w:rsidP="0022086D">
            <w:pPr>
              <w:rPr>
                <w:lang w:val="en-US"/>
              </w:rPr>
            </w:pPr>
            <w:r>
              <w:rPr>
                <w:lang w:val="en-US"/>
              </w:rPr>
              <w:t>Detection of extracellular nucleotides</w:t>
            </w:r>
            <w:r>
              <w:rPr>
                <w:lang w:val="en-US"/>
              </w:rPr>
              <w:fldChar w:fldCharType="begin" w:fldLock="1"/>
            </w:r>
            <w:r>
              <w:rPr>
                <w:lang w:val="en-US"/>
              </w:rPr>
              <w:instrText>ADDIN CSL_CITATION {"citationItems":[{"id":"ITEM-1","itemData":{"DOI":"10.1038/nn1805","ISBN":"1097-6256 (Print)\\r1097-6256 (Linking)","ISSN":"10976256","PMID":"17115040","abstract":"Microglia are primary immune sentinels of the CNS. Following injury, these cells migrate or extend processes toward sites of tissue damage. CNS injury is accompanied by release of nucleotides, serving as signals for microglial activation or chemotaxis. Microglia express several purinoceptors, including a G(i)-coupled subtype that has been implicated in ATP- and ADP-mediated migration in vitro. Here we show that microglia from mice lacking G(i)-coupled P2Y(12) receptors exhibit normal baseline motility but are unable to polarize, migrate or extend processes toward nucleotides in vitro or in vivo. Microglia in P2ry(12)(-/-) mice show significantly diminished directional branch extension toward sites of cortical damage in the living mouse. Moreover, P2Y(12) expression is robust in the 'resting' state, but dramatically reduced after microglial activation. These results imply that P2Y(12) is a primary site at which nucleotides act to induce microglial chemotaxis at early stages of the response to local CNS injury.","author":[{"dropping-particle":"","family":"Haynes","given":"Sharon E.","non-dropping-particle":"","parse-names":false,"suffix":""},{"dropping-particle":"","family":"Hollopeter","given":"Gunther","non-dropping-particle":"","parse-names":false,"suffix":""},{"dropping-particle":"","family":"Yang","given":"Guang","non-dropping-particle":"","parse-names":false,"suffix":""},{"dropping-particle":"","family":"Kurpius","given":"Dana","non-dropping-particle":"","parse-names":false,"suffix":""},{"dropping-particle":"","family":"Dailey","given":"Michael E.","non-dropping-particle":"","parse-names":false,"suffix":""},{"dropping-particle":"","family":"Gan","given":"Wen Biao","non-dropping-particle":"","parse-names":false,"suffix":""},{"dropping-particle":"","family":"Julius","given":"David","non-dropping-particle":"","parse-names":false,"suffix":""}],"container-title":"Nature Neuroscience","id":"ITEM-1","issue":"12","issued":{"date-parts":[["2006"]]},"page":"1512-1519","title":"The P2Y12 receptor regulates microglial activation by extracellular nucleotides","type":"article-journal","volume":"9"},"uris":["http://www.mendeley.com/documents/?uuid=cf3c612e-0908-4ad8-abc5-8f309bea01c8"]}],"mendeley":{"formattedCitation":"&lt;sup&gt;2&lt;/sup&gt;","plainTextFormattedCitation":"2","previouslyFormattedCitation":"&lt;sup&gt;2&lt;/sup&gt;"},"properties":{"noteIndex":0},"schema":"https://github.com/citation-style-language/schema/raw/master/csl-citation.json"}</w:instrText>
            </w:r>
            <w:r>
              <w:rPr>
                <w:lang w:val="en-US"/>
              </w:rPr>
              <w:fldChar w:fldCharType="separate"/>
            </w:r>
            <w:r w:rsidRPr="004934FF">
              <w:rPr>
                <w:noProof/>
                <w:vertAlign w:val="superscript"/>
                <w:lang w:val="en-US"/>
              </w:rPr>
              <w:t>2</w:t>
            </w:r>
            <w:r>
              <w:rPr>
                <w:lang w:val="en-US"/>
              </w:rPr>
              <w:fldChar w:fldCharType="end"/>
            </w:r>
          </w:p>
        </w:tc>
        <w:tc>
          <w:tcPr>
            <w:tcW w:w="0" w:type="auto"/>
          </w:tcPr>
          <w:p w14:paraId="352277EA" w14:textId="77777777" w:rsidR="00DB31C7" w:rsidRDefault="00DB31C7" w:rsidP="0022086D">
            <w:pPr>
              <w:rPr>
                <w:lang w:val="en-US"/>
              </w:rPr>
            </w:pPr>
            <w:r>
              <w:rPr>
                <w:lang w:val="en-US"/>
              </w:rPr>
              <w:t>Microglial-specific marker</w:t>
            </w:r>
            <w:r>
              <w:rPr>
                <w:lang w:val="en-US"/>
              </w:rPr>
              <w:fldChar w:fldCharType="begin" w:fldLock="1"/>
            </w:r>
            <w:r>
              <w:rPr>
                <w:lang w:val="en-US"/>
              </w:rPr>
              <w:instrText>ADDIN CSL_CITATION {"citationItems":[{"id":"ITEM-1","itemData":{"DOI":"10.1038/nn.3599","ISBN":"1546-1726 (Electronic)\\r1097-6256 (Linking)","ISSN":"10976256","PMID":"24316888","abstract":"Microglia are myeloid cells of the CNS that participate both in normal CNS function and in disease. We investigated the molecular signature of microglia and identified 239 genes and 8 microRNAs that were uniquely or highly expressed in microglia versus myeloid and other immune cells. Of the 239 genes, 106 were enriched in microglia as compared with astrocytes, oligodendrocytes and neurons. This microglia signature was not observed in microglial lines or in monocytes recruited to the CNS, and was also observed in human microglia. We found that TGF-β was required for the in vitro development of microglia that express the microglial molecular signature characteristic of adult microglia and that microglia were absent in the CNS of TGF-β1-deficient mice. Our results identify a unique microglial signature that is dependent on TGF-β signaling and provide insights into microglial biology and the possibility of targeting microglia for the treatment of CNS disease.","author":[{"dropping-particle":"","family":"Butovsky","given":"Oleg","non-dropping-particle":"","parse-names":false,"suffix":""},{"dropping-particle":"","family":"Jedrychowski","given":"Mark P.","non-dropping-particle":"","parse-names":false,"suffix":""},{"dropping-particle":"","family":"Moore","given":"Craig S.","non-dropping-particle":"","parse-names":false,"suffix":""},{"dropping-particle":"","family":"Cialic","given":"Ron","non-dropping-particle":"","parse-names":false,"suffix":""},{"dropping-particle":"","family":"Lanser","given":"Amanda J.","non-dropping-particle":"","parse-names":false,"suffix":""},{"dropping-particle":"","family":"Gabriely","given":"Galina","non-dropping-particle":"","parse-names":false,"suffix":""},{"dropping-particle":"","family":"Koeglsperger","given":"Thomas","non-dropping-particle":"","parse-names":false,"suffix":""},{"dropping-particle":"","family":"Dake","given":"Ben","non-dropping-particle":"","parse-names":false,"suffix":""},{"dropping-particle":"","family":"Wu","given":"Pauline M.","non-dropping-particle":"","parse-names":false,"suffix":""},{"dropping-particle":"","family":"Doykan","given":"Camille E.","non-dropping-particle":"","parse-names":false,"suffix":""},{"dropping-particle":"","family":"Fanek","given":"Zain","non-dropping-particle":"","parse-names":false,"suffix":""},{"dropping-particle":"","family":"Liu","given":"Liping","non-dropping-particle":"","parse-names":false,"suffix":""},{"dropping-particle":"","family":"Chen","given":"Zhuoxun","non-dropping-particle":"","parse-names":false,"suffix":""},{"dropping-particle":"","family":"Rothstein","given":"Jeffrey D.","non-dropping-particle":"","parse-names":false,"suffix":""},{"dropping-particle":"","family":"Ransohoff","given":"Richard M.","non-dropping-particle":"","parse-names":false,"suffix":""},{"dropping-particle":"","family":"Gygi","given":"Steven P.","non-dropping-particle":"","parse-names":false,"suffix":""},{"dropping-particle":"","family":"Antel","given":"Jack P.","non-dropping-particle":"","parse-names":false,"suffix":""},{"dropping-particle":"","family":"Weiner","given":"Howard L.","non-dropping-particle":"","parse-names":false,"suffix":""}],"container-title":"Nature Neuroscience","id":"ITEM-1","issue":"1","issued":{"date-parts":[["2014"]]},"page":"131-143","title":"Identification of a unique TGF-β-dependent molecular and functional signature in microglia","type":"article-journal","volume":"17"},"uris":["http://www.mendeley.com/documents/?uuid=8d26ab52-f848-4929-9af7-48b2660befe1"]}],"mendeley":{"formattedCitation":"&lt;sup&gt;3&lt;/sup&gt;","plainTextFormattedCitation":"3","previouslyFormattedCitation":"&lt;sup&gt;3&lt;/sup&gt;"},"properties":{"noteIndex":0},"schema":"https://github.com/citation-style-language/schema/raw/master/csl-citation.json"}</w:instrText>
            </w:r>
            <w:r>
              <w:rPr>
                <w:lang w:val="en-US"/>
              </w:rPr>
              <w:fldChar w:fldCharType="separate"/>
            </w:r>
            <w:r w:rsidRPr="004934FF">
              <w:rPr>
                <w:noProof/>
                <w:vertAlign w:val="superscript"/>
                <w:lang w:val="en-US"/>
              </w:rPr>
              <w:t>3</w:t>
            </w:r>
            <w:r>
              <w:rPr>
                <w:lang w:val="en-US"/>
              </w:rPr>
              <w:fldChar w:fldCharType="end"/>
            </w:r>
            <w:r>
              <w:rPr>
                <w:lang w:val="en-US"/>
              </w:rPr>
              <w:t>; reduced in disease-associated microglial population</w:t>
            </w:r>
            <w:r>
              <w:rPr>
                <w:lang w:val="en-US"/>
              </w:rPr>
              <w:fldChar w:fldCharType="begin" w:fldLock="1"/>
            </w:r>
            <w:r>
              <w:rPr>
                <w:lang w:val="en-US"/>
              </w:rPr>
              <w:instrText>ADDIN CSL_CITATION {"citationItems":[{"id":"ITEM-1","itemData":{"DOI":"10.1016/j.cell.2017.05.018","ISBN":"0379-7112","ISSN":"10974172","PMID":"28602351","abstract":"Alzheimer's disease (AD) is a detrimental neurodegenerative disease with no effective treatments. Due to cellular heterogeneity, defining the roles of immune cell subsets in AD onset and progression has been challenging. Using transcriptional single-cell sorting, we comprehensively map all immune populations in wild-type and AD-transgenic (Tg-AD) mouse brains. We describe a novel microglia type associated with neurodegenerative diseases (DAM) and identify markers, spatial localization, and pathways associated with these cells. Immunohistochemical staining of mice and human brain slices shows DAM with intracellular/phagocytic Aβ particles. Single-cell analysis of DAM in Tg-AD and triggering receptor expressed on myeloid cells 2 (Trem2)−/− Tg-AD reveals that the DAM program is activated in a two-step process. Activation is initiated in a Trem2-independent manner that involves downregulation of microglia checkpoints, followed by activation of a Trem2-dependent program. This unique microglia-type has the potential to restrict neurodegeneration, which may have important implications for future treatment of AD and other neurodegenerative diseases. Video Abstract","author":[{"dropping-particle":"","family":"Keren-Shaul","given":"Hadas","non-dropping-particle":"","parse-names":false,"suffix":""},{"dropping-particle":"","family":"Spinrad","given":"Amit","non-dropping-particle":"","parse-names":false,"suffix":""},{"dropping-particle":"","family":"Weiner","given":"Assaf","non-dropping-particle":"","parse-names":false,"suffix":""},{"dropping-particle":"","family":"Matcovitch-Natan","given":"Orit","non-dropping-particle":"","parse-names":false,"suffix":""},{"dropping-particle":"","family":"Dvir-Szternfeld","given":"Raz","non-dropping-particle":"","parse-names":false,"suffix":""},{"dropping-particle":"","family":"Ulland","given":"Tyler K.","non-dropping-particle":"","parse-names":false,"suffix":""},{"dropping-particle":"","family":"David","given":"Eyal","non-dropping-particle":"","parse-names":false,"suffix":""},{"dropping-particle":"","family":"Baruch","given":"Kuti","non-dropping-particle":"","parse-names":false,"suffix":""},{"dropping-particle":"","family":"Lara-Astaiso","given":"David","non-dropping-particle":"","parse-names":false,"suffix":""},{"dropping-particle":"","family":"Toth","given":"Beata","non-dropping-particle":"","parse-names":false,"suffix":""},{"dropping-particle":"","family":"Itzkovitz","given":"Shalev","non-dropping-particle":"","parse-names":false,"suffix":""},{"dropping-particle":"","family":"Colonna","given":"Marco","non-dropping-particle":"","parse-names":false,"suffix":""},{"dropping-particle":"","family":"Schwartz","given":"Michal","non-dropping-particle":"","parse-names":false,"suffix":""},{"dropping-particle":"","family":"Amit","given":"Ido","non-dropping-particle":"","parse-names":false,"suffix":""}],"container-title":"Cell","id":"ITEM-1","issue":"7","issued":{"date-parts":[["2017"]]},"page":"1276-1290.e17","publisher":"Elsevier","title":"A Unique Microglia Type Associated with Restricting Development of Alzheimer's Disease","type":"article-journal","volume":"169"},"uris":["http://www.mendeley.com/documents/?uuid=2eddc2d5-bba9-4d9b-82ee-6703a613c011"]}],"mendeley":{"formattedCitation":"&lt;sup&gt;4&lt;/sup&gt;","plainTextFormattedCitation":"4","previouslyFormattedCitation":"&lt;sup&gt;4&lt;/sup&gt;"},"properties":{"noteIndex":0},"schema":"https://github.com/citation-style-language/schema/raw/master/csl-citation.json"}</w:instrText>
            </w:r>
            <w:r>
              <w:rPr>
                <w:lang w:val="en-US"/>
              </w:rPr>
              <w:fldChar w:fldCharType="separate"/>
            </w:r>
            <w:r w:rsidRPr="004934FF">
              <w:rPr>
                <w:noProof/>
                <w:vertAlign w:val="superscript"/>
                <w:lang w:val="en-US"/>
              </w:rPr>
              <w:t>4</w:t>
            </w:r>
            <w:r>
              <w:rPr>
                <w:lang w:val="en-US"/>
              </w:rPr>
              <w:fldChar w:fldCharType="end"/>
            </w:r>
            <w:r>
              <w:rPr>
                <w:lang w:val="en-US"/>
              </w:rPr>
              <w:t>; reduced expression by acutely active microglia</w:t>
            </w:r>
            <w:r>
              <w:rPr>
                <w:lang w:val="en-US"/>
              </w:rPr>
              <w:fldChar w:fldCharType="begin" w:fldLock="1"/>
            </w:r>
            <w:r>
              <w:rPr>
                <w:lang w:val="en-US"/>
              </w:rPr>
              <w:instrText>ADDIN CSL_CITATION {"citationItems":[{"id":"ITEM-1","itemData":{"DOI":"10.1212/NXI.0000000000000080","ISBN":"0000000000000","ISSN":"2332-7812","PMID":"25821842","abstract":"OBJECTIVE To investigate and measure the functional significance of altered P2Y12 expression in the context of human microglia activation. METHODS We performed in vitro and in situ experiments to measure how P2Y12 expression can influence disease-relevant functional properties of classically activated (M1) and alternatively activated (M2) human microglia in the inflamed brain. RESULTS We demonstrated that compared to resting and classically activated (M1) human microglia, P2Y12 expression is increased under alternatively activated (M2) conditions. In response to ADP, the endogenous ligand of P2Y12, M2 microglia have increased ligand-mediated calcium responses, which are blocked by selective P2Y12 antagonism. P2Y12 antagonism was also shown to decrease migratory and inflammatory responses in human microglia upon exposure to nucleotides that are released during CNS injury; no effects were observed in human monocytes or macrophages. In situ experiments confirm that P2Y12 is selectively expressed on human microglia and elevated under neuropathologic conditions that promote Th2 responses, such as parasitic CNS infection. CONCLUSION These findings provide insight into the roles of M2 microglia in the context of neuroinflammation and suggest a mechanism to selectively target a functionally unique population of myeloid cells in the CNS.","author":[{"dropping-particle":"","family":"Moore","given":"Craig S.","non-dropping-particle":"","parse-names":false,"suffix":""},{"dropping-particle":"","family":"Ase","given":"Ariel R.","non-dropping-particle":"","parse-names":false,"suffix":""},{"dropping-particle":"","family":"Kinsara","given":"Angham","non-dropping-particle":"","parse-names":false,"suffix":""},{"dropping-particle":"","family":"Rao","given":"Vijayaraghava T S","non-dropping-particle":"","parse-names":false,"suffix":""},{"dropping-particle":"","family":"Michell-Robinson","given":"Mackenzie","non-dropping-particle":"","parse-names":false,"suffix":""},{"dropping-particle":"","family":"Leong","given":"Soo Yuen","non-dropping-particle":"","parse-names":false,"suffix":""},{"dropping-particle":"","family":"Butovsky","given":"Oleg","non-dropping-particle":"","parse-names":false,"suffix":""},{"dropping-particle":"","family":"Ludwin","given":"Samuel K.","non-dropping-particle":"","parse-names":false,"suffix":""},{"dropping-particle":"","family":"Séguéla","given":"Philippe","non-dropping-particle":"","parse-names":false,"suffix":""},{"dropping-particle":"","family":"Bar-Or","given":"Amit","non-dropping-particle":"","parse-names":false,"suffix":""},{"dropping-particle":"","family":"Antel","given":"Jack P.","non-dropping-particle":"","parse-names":false,"suffix":""}],"container-title":"Neurology: neuroimmunology &amp; neuroinflammation","id":"ITEM-1","issue":"2","issued":{"date-parts":[["2015","4"]]},"page":"e80","title":"P2Y12 expression and function in alternatively activated human microglia.","type":"article-journal","volume":"2"},"uris":["http://www.mendeley.com/documents/?uuid=d7381dab-be7b-442a-bfcc-d72c9e1985e6"]},{"id":"ITEM-2","itemData":{"DOI":"10.3390/ijms21020678","ISSN":"14220067","abstract":"Neuroinflammation is considered a key pathological process in neurodegenerative diseases of aging, including Alzheimer’s disease (AD). Many studies have defined phenotypes of reactive microglia, the brain-resident macrophages, with different antigenic markers to identify those potentially causing inflammatory damage. We took an alternative approach with the goal of characterizing the distribution of purinergic receptor P2RY12-positive microglia, a marker previously defined as identifying homeostatic or non-activated microglia. We examined the expression of P2RY12 by dual-color light and fluorescence immunohistochemistry using sections of middle temporal gyrus from AD, high plaque and low plaque non-demented cases in relation to amyloid beta (Aβ) plaques and phosphorylated tau, markers of pathology, and HLA-DR, IBA-1, CD68, and progranulin, microglial phenotype markers. In low plaque cases, P2RY12-positive microglia mostly had non-activated morphologies, while the morphologies of P2RY12-positive microglia in AD brains were highly variable, suggesting its expression could encompass a wider range of phenotypes than originally hypothesized. P2RY12 expression by microglia differed depending on the types of plaques or tangles they were associated with. Areas of inflammation characterized by lack of P2RY12-positive microglia around mature plaques could be observed, but many diffuse plaques showed colocalization with P2RY12-positive microglia. Based on these results, P2RY12 expression by microglia should not be considered solely a marker of resting microglia as P2RY12 immunoreactivity was identifying microglia positive for CD68, progranulin and to a limited extent HLA-DR, markers of activation.","author":[{"dropping-particle":"","family":"Walker","given":"Douglas G.","non-dropping-particle":"","parse-names":false,"suffix":""},{"dropping-particle":"","family":"Tang","given":"Tiffany M.","non-dropping-particle":"","parse-names":false,"suffix":""},{"dropping-particle":"","family":"Mendsaikhan","given":"Anarmaa","non-dropping-particle":"","parse-names":false,"suffix":""},{"dropping-particle":"","family":"Tooyama","given":"Ikuo","non-dropping-particle":"","parse-names":false,"suffix":""},{"dropping-particle":"","family":"Serrano","given":"Geidy E.","non-dropping-particle":"","parse-names":false,"suffix":""},{"dropping-particle":"","family":"Sue","given":"Lucia I.","non-dropping-particle":"","parse-names":false,"suffix":""},{"dropping-particle":"","family":"Beach","given":"Thomas G.","non-dropping-particle":"","parse-names":false,"suffix":""},{"dropping-particle":"","family":"Lue","given":"Lih Fen","non-dropping-particle":"","parse-names":false,"suffix":""}],"container-title":"International Journal of Molecular Sciences","id":"ITEM-2","issue":"2","issued":{"date-parts":[["2020"]]},"title":"Patterns of expression of purinergic receptor P2RY12, a putative marker for non-activated microglia, in aged and alzheimer’s disease brains","type":"article-journal","volume":"21"},"uris":["http://www.mendeley.com/documents/?uuid=b9afe1de-428d-4228-aedb-a6cf22a76c3b"]}],"mendeley":{"formattedCitation":"&lt;sup&gt;5,6&lt;/sup&gt;","plainTextFormattedCitation":"5,6","previouslyFormattedCitation":"&lt;sup&gt;5,6&lt;/sup&gt;"},"properties":{"noteIndex":0},"schema":"https://github.com/citation-style-language/schema/raw/master/csl-citation.json"}</w:instrText>
            </w:r>
            <w:r>
              <w:rPr>
                <w:lang w:val="en-US"/>
              </w:rPr>
              <w:fldChar w:fldCharType="separate"/>
            </w:r>
            <w:r w:rsidRPr="004934FF">
              <w:rPr>
                <w:noProof/>
                <w:vertAlign w:val="superscript"/>
                <w:lang w:val="en-US"/>
              </w:rPr>
              <w:t>5,6</w:t>
            </w:r>
            <w:r>
              <w:rPr>
                <w:lang w:val="en-US"/>
              </w:rPr>
              <w:fldChar w:fldCharType="end"/>
            </w:r>
            <w:r>
              <w:rPr>
                <w:lang w:val="en-US"/>
              </w:rPr>
              <w:t>; enriched in some single cell RNA-sequencing populations</w:t>
            </w:r>
            <w:r>
              <w:rPr>
                <w:lang w:val="en-US"/>
              </w:rPr>
              <w:fldChar w:fldCharType="begin" w:fldLock="1"/>
            </w:r>
            <w:r>
              <w:rPr>
                <w:lang w:val="en-US"/>
              </w:rPr>
              <w:instrText>ADDIN CSL_CITATION {"citationItems":[{"id":"ITEM-1","itemData":{"DOI":"10.1038/s41586-019-1195-2","ISBN":"4158601911952","ISSN":"14764687","PMID":"31042697","abstract":"Alzheimer’s disease is a pervasive neurodegenerative disorder, the molecular complexity of which remains poorly understood. Here, we analysed 80,660 single-nucleus transcriptomes from the prefrontal cortex of 48 individuals with varying degrees of Alzheimer’s disease pathology. Across six major brain cell types, we identified transcriptionally distinct subpopulations, including those associated with pathology and characterized by regulators of myelination, inflammation, and neuron survival. The strongest disease-associated changes appeared early in pathological progression and were highly cell-type specific, whereas genes upregulated at late stages were common across cell types and primarily involved in the global stress response. Notably, we found that female cells were overrepresented in disease-associated subpopulations, and that transcriptional responses were substantially different between sexes in several cell types, including oligodendrocytes. Overall, myelination-related processes were recurrently perturbed in multiple cell types, suggesting that myelination has a key role in Alzheimer’s disease pathophysiology. Our single-cell transcriptomic resource provides a blueprint for interrogating the molecular and cellular basis of Alzheimer’s disease.","author":[{"dropping-particle":"","family":"Mathys","given":"Hansruedi","non-dropping-particle":"","parse-names":false,"suffix":""},{"dropping-particle":"","family":"Davila-Velderrain","given":"Jose","non-dropping-particle":"","parse-names":false,"suffix":""},{"dropping-particle":"","family":"Peng","given":"Zhuyu","non-dropping-particle":"","parse-names":false,"suffix":""},{"dropping-particle":"","family":"Gao","given":"Fan","non-dropping-particle":"","parse-names":false,"suffix":""},{"dropping-particle":"","family":"Mohammadi","given":"Shahin","non-dropping-particle":"","parse-names":false,"suffix":""},{"dropping-particle":"","family":"Young","given":"Jennie Z.","non-dropping-particle":"","parse-names":false,"suffix":""},{"dropping-particle":"","family":"Menon","given":"Madhvi","non-dropping-particle":"","parse-names":false,"suffix":""},{"dropping-particle":"","family":"He","given":"Liang","non-dropping-particle":"","parse-names":false,"suffix":""},{"dropping-particle":"","family":"Abdurrob","given":"Fatema","non-dropping-particle":"","parse-names":false,"suffix":""},{"dropping-particle":"","family":"Jiang","given":"Xueqiao","non-dropping-particle":"","parse-names":false,"suffix":""},{"dropping-particle":"","family":"Martorell","given":"Anthony J.","non-dropping-particle":"","parse-names":false,"suffix":""},{"dropping-particle":"","family":"Ransohoff","given":"Richard M.","non-dropping-particle":"","parse-names":false,"suffix":""},{"dropping-particle":"","family":"Hafler","given":"Brian P.","non-dropping-particle":"","parse-names":false,"suffix":""},{"dropping-particle":"","family":"Bennett","given":"David A.","non-dropping-particle":"","parse-names":false,"suffix":""},{"dropping-particle":"","family":"Kellis","given":"Manolis","non-dropping-particle":"","parse-names":false,"suffix":""},{"dropping-particle":"","family":"Tsai","given":"Li Huei","non-dropping-particle":"","parse-names":false,"suffix":""}],"container-title":"Nature","id":"ITEM-1","issue":"7761","issued":{"date-parts":[["2019"]]},"page":"332-337","publisher":"Springer US","title":"Single-cell transcriptomic analysis of Alzheimer’s disease","type":"article-journal","volume":"570"},"uris":["http://www.mendeley.com/documents/?uuid=d43f2250-0559-4d63-bc51-70d5012307f8"]}],"mendeley":{"formattedCitation":"&lt;sup&gt;7&lt;/sup&gt;","plainTextFormattedCitation":"7","previouslyFormattedCitation":"&lt;sup&gt;7&lt;/sup&gt;"},"properties":{"noteIndex":0},"schema":"https://github.com/citation-style-language/schema/raw/master/csl-citation.json"}</w:instrText>
            </w:r>
            <w:r>
              <w:rPr>
                <w:lang w:val="en-US"/>
              </w:rPr>
              <w:fldChar w:fldCharType="separate"/>
            </w:r>
            <w:r w:rsidRPr="004934FF">
              <w:rPr>
                <w:noProof/>
                <w:vertAlign w:val="superscript"/>
                <w:lang w:val="en-US"/>
              </w:rPr>
              <w:t>7</w:t>
            </w:r>
            <w:r>
              <w:rPr>
                <w:lang w:val="en-US"/>
              </w:rPr>
              <w:fldChar w:fldCharType="end"/>
            </w:r>
          </w:p>
        </w:tc>
      </w:tr>
      <w:tr w:rsidR="00DB31C7" w14:paraId="2BEBD85F" w14:textId="77777777" w:rsidTr="0022086D">
        <w:tc>
          <w:tcPr>
            <w:tcW w:w="0" w:type="auto"/>
          </w:tcPr>
          <w:p w14:paraId="08E022AA" w14:textId="77777777" w:rsidR="00DB31C7" w:rsidRDefault="00DB31C7" w:rsidP="0022086D">
            <w:pPr>
              <w:rPr>
                <w:lang w:val="en-US"/>
              </w:rPr>
            </w:pPr>
            <w:r>
              <w:rPr>
                <w:lang w:val="en-US"/>
              </w:rPr>
              <w:t>TMEM119</w:t>
            </w:r>
          </w:p>
        </w:tc>
        <w:tc>
          <w:tcPr>
            <w:tcW w:w="0" w:type="auto"/>
          </w:tcPr>
          <w:p w14:paraId="199E9C37" w14:textId="77777777" w:rsidR="00DB31C7" w:rsidRDefault="00DB31C7" w:rsidP="0022086D">
            <w:pPr>
              <w:rPr>
                <w:lang w:val="en-US"/>
              </w:rPr>
            </w:pPr>
            <w:r>
              <w:rPr>
                <w:lang w:val="en-US"/>
              </w:rPr>
              <w:t>Unknown</w:t>
            </w:r>
          </w:p>
        </w:tc>
        <w:tc>
          <w:tcPr>
            <w:tcW w:w="0" w:type="auto"/>
          </w:tcPr>
          <w:p w14:paraId="74DBB641" w14:textId="77777777" w:rsidR="00DB31C7" w:rsidRDefault="00DB31C7" w:rsidP="0022086D">
            <w:pPr>
              <w:rPr>
                <w:lang w:val="en-US"/>
              </w:rPr>
            </w:pPr>
            <w:r>
              <w:rPr>
                <w:lang w:val="en-US"/>
              </w:rPr>
              <w:t>Microglial-specific marker</w:t>
            </w:r>
            <w:r>
              <w:rPr>
                <w:lang w:val="en-US"/>
              </w:rPr>
              <w:fldChar w:fldCharType="begin" w:fldLock="1"/>
            </w:r>
            <w:r>
              <w:rPr>
                <w:lang w:val="en-US"/>
              </w:rPr>
              <w:instrText>ADDIN CSL_CITATION {"citationItems":[{"id":"ITEM-1","itemData":{"DOI":"10.1073/pnas.1525528113","ISBN":"1091-6490 (Electronic)\\r0027-8424 (Linking)","ISSN":"1091-6490","PMID":"26884166","abstract":"The specific function of microglia, the tissue resident macrophages of the brain and spinal cord, has been difficult to ascertain because of a lack of tools to distinguish microglia from other immune cells, thereby limiting specific immunostaining, purification, and manipulation. Because of their unique developmental origins and predicted functions, the distinction of microglia from other myeloid cells is critically important for understanding brain development and disease; better tools would greatly facilitate studies of microglia function in the developing, adult, and injured CNS. Here, we identify transmembrane protein 119 (Tmem119), a cell-surface protein of unknown function, as a highly expressed microglia-specific marker in both mouse and human. We developed monoclonal antibodies to its intracellular and extracellular domains that enable the immunostaining of microglia in histological sections in healthy and diseased brains, as well as isolation of pure nonactivated microglia by FACS. Using our antibodies, we provide, to our knowledge, the first RNAseq profiles of highly pure mouse microglia during development and after an immune challenge. We used these to demonstrate that mouse microglia mature by the second postnatal week and to predict novel microglial functions. Together, we anticipate these resources will be valuable for the future study and understanding of microglia in health and disease.","author":[{"dropping-particle":"","family":"Bennett","given":"Mariko L","non-dropping-particle":"","parse-names":false,"suffix":""},{"dropping-particle":"","family":"Bennett","given":"F. Chris","non-dropping-particle":"","parse-names":false,"suffix":""},{"dropping-particle":"","family":"Liddelow","given":"Shane A.","non-dropping-particle":"","parse-names":false,"suffix":""},{"dropping-particle":"","family":"Ajami","given":"Bahareh","non-dropping-particle":"","parse-names":false,"suffix":""},{"dropping-particle":"","family":"Zamanian","given":"Jennifer L.","non-dropping-particle":"","parse-names":false,"suffix":""},{"dropping-particle":"","family":"Fernhoff","given":"Nathaniel B.","non-dropping-particle":"","parse-names":false,"suffix":""},{"dropping-particle":"","family":"Mulinyawe","given":"Sara B.","non-dropping-particle":"","parse-names":false,"suffix":""},{"dropping-particle":"","family":"Bohlen","given":"Christopher J.","non-dropping-particle":"","parse-names":false,"suffix":""},{"dropping-particle":"","family":"Adil","given":"Aykezar","non-dropping-particle":"","parse-names":false,"suffix":""},{"dropping-particle":"","family":"Tucker","given":"Andrew","non-dropping-particle":"","parse-names":false,"suffix":""},{"dropping-particle":"","family":"Weissman","given":"Irving L.","non-dropping-particle":"","parse-names":false,"suffix":""},{"dropping-particle":"","family":"Chang","given":"Edward F.","non-dropping-particle":"","parse-names":false,"suffix":""},{"dropping-particle":"","family":"Li","given":"Gordon","non-dropping-particle":"","parse-names":false,"suffix":""},{"dropping-particle":"","family":"Grant","given":"Gerald A.","non-dropping-particle":"","parse-names":false,"suffix":""},{"dropping-particle":"","family":"Hayden Gephart","given":"Melanie G.","non-dropping-particle":"","parse-names":false,"suffix":""},{"dropping-particle":"","family":"Barres","given":"Ben A.","non-dropping-particle":"","parse-names":false,"suffix":""}],"container-title":"Proceedings of the National Academy of Sciences of the United States of America","id":"ITEM-1","issue":"12","issued":{"date-parts":[["2016","3","22"]]},"page":"E1738-46","title":"New tools for studying microglia in the mouse and human CNS.","type":"article-journal","volume":"113"},"uris":["http://www.mendeley.com/documents/?uuid=52b7e63f-7b10-31f3-97bf-4bcf845c604a"]},{"id":"ITEM-2","itemData":{"DOI":"10.1111/neup.12235","ISBN":"1440-1789 (Electronic)\\r0919-6544 (Linking)","ISSN":"14401789","PMID":"26250788","abstract":"Microglia are resident myeloid cells of the central nervous system (CNS), activated in the brains of various neurological diseases. Microglia are ontogenetically and functionally distinct from monocyte-derived macrophages that infiltrate the CNS under pathological conditions. However, a lack of specific markers that distinguish resident microglia from circulating blood-derived macrophages in human brain tissues hampers accurate evaluation of microglial contributions to the human brain pathology. By comparative analysis of five comprehensive microglial transcriptome datasets, we identified an evolutionarily conserved protein TMEM119 as the most promising candidate for human microglial markers. TMEM119 was expressed on immortalized human microglia, in which the expression levels were not elevated by exposure to lipopolysaccharide, IFNγ, IL-4, IL-13 or TGFβ1. Notably, TMEM119 immunoreactivity was expressed exclusively on a subset of Iba1+ CD68+ microglia with ramified and amoeboid morphologies in the brains of neurodegenerative diseases, such as Alzheimer's disease (AD), whereas Iba1+ CD68+ infiltrating macrophages do not express TMEM119 in demyelinating lesions of multiple sclerosis and necrotic lesions of cerebral infarction. TMEM119 mRNA levels were elevated in AD brains, although the protein levels were not significantly different between AD and non-AD cases by western blot and morphometric analyses. TMEM119-positive microglia did not consistently express polarized markers for M1 (CD80) or M2 (CD163, CD209) in AD brains. These results suggest that TMEM119 serves as a reliable microglial marker that discriminates resident microglia from blood-derived macrophages in the human brain.","author":[{"dropping-particle":"","family":"Satoh","given":"Jun Ichi","non-dropping-particle":"","parse-names":false,"suffix":""},{"dropping-particle":"","family":"Kino","given":"Yoshihiro","non-dropping-particle":"","parse-names":false,"suffix":""},{"dropping-particle":"","family":"Asahina","given":"Naohiro","non-dropping-particle":"","parse-names":false,"suffix":""},{"dropping-particle":"","family":"Takitani","given":"Mika","non-dropping-particle":"","parse-names":false,"suffix":""},{"dropping-particle":"","family":"Miyoshi","given":"Junko","non-dropping-particle":"","parse-names":false,"suffix":""},{"dropping-particle":"","family":"Ishida","given":"Tsuyoshi","non-dropping-particle":"","parse-names":false,"suffix":""},{"dropping-particle":"","family":"Saito","given":"Yuko","non-dropping-particle":"","parse-names":false,"suffix":""}],"container-title":"Neuropathology","id":"ITEM-2","issue":"1","issued":{"date-parts":[["2016"]]},"page":"39-49","title":"TMEM119 marks a subset of microglia in the human brain","type":"article-journal","volume":"36"},"uris":["http://www.mendeley.com/documents/?uuid=86837c01-661c-4a4d-89d8-9b2739fa4d97"]}],"mendeley":{"formattedCitation":"&lt;sup&gt;8,9&lt;/sup&gt;","plainTextFormattedCitation":"8,9","previouslyFormattedCitation":"&lt;sup&gt;8,9&lt;/sup&gt;"},"properties":{"noteIndex":0},"schema":"https://github.com/citation-style-language/schema/raw/master/csl-citation.json"}</w:instrText>
            </w:r>
            <w:r>
              <w:rPr>
                <w:lang w:val="en-US"/>
              </w:rPr>
              <w:fldChar w:fldCharType="separate"/>
            </w:r>
            <w:r w:rsidRPr="004934FF">
              <w:rPr>
                <w:noProof/>
                <w:vertAlign w:val="superscript"/>
                <w:lang w:val="en-US"/>
              </w:rPr>
              <w:t>8,9</w:t>
            </w:r>
            <w:r>
              <w:rPr>
                <w:lang w:val="en-US"/>
              </w:rPr>
              <w:fldChar w:fldCharType="end"/>
            </w:r>
            <w:r>
              <w:rPr>
                <w:lang w:val="en-US"/>
              </w:rPr>
              <w:t>; reduced in disease-associated microglial population</w:t>
            </w:r>
            <w:r>
              <w:rPr>
                <w:lang w:val="en-US"/>
              </w:rPr>
              <w:fldChar w:fldCharType="begin" w:fldLock="1"/>
            </w:r>
            <w:r>
              <w:rPr>
                <w:lang w:val="en-US"/>
              </w:rPr>
              <w:instrText>ADDIN CSL_CITATION {"citationItems":[{"id":"ITEM-1","itemData":{"DOI":"10.1016/j.cell.2017.05.018","ISBN":"0379-7112","ISSN":"10974172","PMID":"28602351","abstract":"Alzheimer's disease (AD) is a detrimental neurodegenerative disease with no effective treatments. Due to cellular heterogeneity, defining the roles of immune cell subsets in AD onset and progression has been challenging. Using transcriptional single-cell sorting, we comprehensively map all immune populations in wild-type and AD-transgenic (Tg-AD) mouse brains. We describe a novel microglia type associated with neurodegenerative diseases (DAM) and identify markers, spatial localization, and pathways associated with these cells. Immunohistochemical staining of mice and human brain slices shows DAM with intracellular/phagocytic Aβ particles. Single-cell analysis of DAM in Tg-AD and triggering receptor expressed on myeloid cells 2 (Trem2)−/− Tg-AD reveals that the DAM program is activated in a two-step process. Activation is initiated in a Trem2-independent manner that involves downregulation of microglia checkpoints, followed by activation of a Trem2-dependent program. This unique microglia-type has the potential to restrict neurodegeneration, which may have important implications for future treatment of AD and other neurodegenerative diseases. Video Abstract","author":[{"dropping-particle":"","family":"Keren-Shaul","given":"Hadas","non-dropping-particle":"","parse-names":false,"suffix":""},{"dropping-particle":"","family":"Spinrad","given":"Amit","non-dropping-particle":"","parse-names":false,"suffix":""},{"dropping-particle":"","family":"Weiner","given":"Assaf","non-dropping-particle":"","parse-names":false,"suffix":""},{"dropping-particle":"","family":"Matcovitch-Natan","given":"Orit","non-dropping-particle":"","parse-names":false,"suffix":""},{"dropping-particle":"","family":"Dvir-Szternfeld","given":"Raz","non-dropping-particle":"","parse-names":false,"suffix":""},{"dropping-particle":"","family":"Ulland","given":"Tyler K.","non-dropping-particle":"","parse-names":false,"suffix":""},{"dropping-particle":"","family":"David","given":"Eyal","non-dropping-particle":"","parse-names":false,"suffix":""},{"dropping-particle":"","family":"Baruch","given":"Kuti","non-dropping-particle":"","parse-names":false,"suffix":""},{"dropping-particle":"","family":"Lara-Astaiso","given":"David","non-dropping-particle":"","parse-names":false,"suffix":""},{"dropping-particle":"","family":"Toth","given":"Beata","non-dropping-particle":"","parse-names":false,"suffix":""},{"dropping-particle":"","family":"Itzkovitz","given":"Shalev","non-dropping-particle":"","parse-names":false,"suffix":""},{"dropping-particle":"","family":"Colonna","given":"Marco","non-dropping-particle":"","parse-names":false,"suffix":""},{"dropping-particle":"","family":"Schwartz","given":"Michal","non-dropping-particle":"","parse-names":false,"suffix":""},{"dropping-particle":"","family":"Amit","given":"Ido","non-dropping-particle":"","parse-names":false,"suffix":""}],"container-title":"Cell","id":"ITEM-1","issue":"7","issued":{"date-parts":[["2017"]]},"page":"1276-1290.e17","publisher":"Elsevier","title":"A Unique Microglia Type Associated with Restricting Development of Alzheimer's Disease","type":"article-journal","volume":"169"},"uris":["http://www.mendeley.com/documents/?uuid=2eddc2d5-bba9-4d9b-82ee-6703a613c011"]}],"mendeley":{"formattedCitation":"&lt;sup&gt;4&lt;/sup&gt;","plainTextFormattedCitation":"4","previouslyFormattedCitation":"&lt;sup&gt;4&lt;/sup&gt;"},"properties":{"noteIndex":0},"schema":"https://github.com/citation-style-language/schema/raw/master/csl-citation.json"}</w:instrText>
            </w:r>
            <w:r>
              <w:rPr>
                <w:lang w:val="en-US"/>
              </w:rPr>
              <w:fldChar w:fldCharType="separate"/>
            </w:r>
            <w:r w:rsidRPr="004934FF">
              <w:rPr>
                <w:noProof/>
                <w:vertAlign w:val="superscript"/>
                <w:lang w:val="en-US"/>
              </w:rPr>
              <w:t>4</w:t>
            </w:r>
            <w:r>
              <w:rPr>
                <w:lang w:val="en-US"/>
              </w:rPr>
              <w:fldChar w:fldCharType="end"/>
            </w:r>
          </w:p>
        </w:tc>
      </w:tr>
      <w:tr w:rsidR="00DB31C7" w14:paraId="2E59788F" w14:textId="77777777" w:rsidTr="0022086D">
        <w:tc>
          <w:tcPr>
            <w:tcW w:w="0" w:type="auto"/>
          </w:tcPr>
          <w:p w14:paraId="11D878A0" w14:textId="77777777" w:rsidR="00DB31C7" w:rsidRDefault="00DB31C7" w:rsidP="0022086D">
            <w:pPr>
              <w:rPr>
                <w:lang w:val="en-US"/>
              </w:rPr>
            </w:pPr>
            <w:r>
              <w:rPr>
                <w:lang w:val="en-US"/>
              </w:rPr>
              <w:t>CD74</w:t>
            </w:r>
          </w:p>
        </w:tc>
        <w:tc>
          <w:tcPr>
            <w:tcW w:w="0" w:type="auto"/>
          </w:tcPr>
          <w:p w14:paraId="389849DF" w14:textId="77777777" w:rsidR="00DB31C7" w:rsidRDefault="00DB31C7" w:rsidP="0022086D">
            <w:pPr>
              <w:rPr>
                <w:lang w:val="en-US"/>
              </w:rPr>
            </w:pPr>
            <w:r>
              <w:rPr>
                <w:lang w:val="en-US"/>
              </w:rPr>
              <w:t>Supports HLA-DR formation and transportation to the cell surface</w:t>
            </w:r>
            <w:r>
              <w:rPr>
                <w:lang w:val="en-US"/>
              </w:rPr>
              <w:fldChar w:fldCharType="begin" w:fldLock="1"/>
            </w:r>
            <w:r>
              <w:rPr>
                <w:lang w:val="en-US"/>
              </w:rPr>
              <w:instrText>ADDIN CSL_CITATION {"citationItems":[{"id":"ITEM-1","itemData":{"DOI":"10.1091/mbc.e05-04-0327","ISBN":"0016-6731 (Print)\\r0016-6731 (Linking)","ISSN":"1059-1524","PMID":"16107560","abstract":"Quite a few regulatory proteins, including transcription factors, are normally maintained in a dormant state to be activated after internal or environmental cues. Recently, a novel strategy, requiring proteolytic cleavage, was described for the mobilization of dormant transcription factors. These transcription factors are initially synthesized in an inactive form, whereas \"nesting\" in integral membrane precursor proteins. After a cleavage event, these new active factors are released from the membrane and can migrate into the nucleus to drive regulated gene transcription. This mechanism, regulated intramembrane proteolysis (RIP), controls diverse biological processes in prokaryotes and eukaryotes in response to a variety of signals. The MHC class II chaperone, CD74 (invariant chain, Ii), was previously shown to function as a signaling molecule in several pathways. Recently, we demonstrated that after intramembranal cleavage, the CD74 cytosolic fragment (CD74-ICD) is released and induces activation of transcription mediated by the NF-kappaB p65/RelA homodimer and the B-cell-enriched coactivator, TAF(II)105. Here, we add CD74 to the growing family of RIP-processed proteins. Our studies show that CD74 ectodomain must be processed in the endocytic compartments to allow its intramembrane cleavage that liberates CD74 intracellular domain (CD74-ICD). We demonstrate that CD74-ICD translocates to the nucleus and induces the activation of the p65 member of NF-kappaB in this compartment.","author":[{"dropping-particle":"","family":"Becker-Herman","given":"Shirly","non-dropping-particle":"","parse-names":false,"suffix":""},{"dropping-particle":"","family":"Arie","given":"Galit","non-dropping-particle":"","parse-names":false,"suffix":""},{"dropping-particle":"","family":"Medvedovsky","given":"Helena","non-dropping-particle":"","parse-names":false,"suffix":""},{"dropping-particle":"","family":"Kerem","given":"Anat","non-dropping-particle":"","parse-names":false,"suffix":""},{"dropping-particle":"","family":"Shachar","given":"Idit","non-dropping-particle":"","parse-names":false,"suffix":""}],"container-title":"Molecular biology of the cell","id":"ITEM-1","issue":"11","issued":{"date-parts":[["2005","11"]]},"page":"5061-9","title":"CD74 is a member of the regulated intramembrane proteolysis-processed protein family.","type":"article-journal","volume":"16"},"uris":["http://www.mendeley.com/documents/?uuid=377ce70b-93ab-4e4b-8cb8-7250abb717c4"]},{"id":"ITEM-2","itemData":{"DOI":"10.1016/s0167-4889(01)00166-5","ISBN":"3314234643","ISSN":"0006-3002","PMID":"11853874","author":[{"dropping-particle":"","family":"Stumptner-Cuvelette","given":"Pamela","non-dropping-particle":"","parse-names":false,"suffix":""},{"dropping-particle":"","family":"Benaroch","given":"Philippe","non-dropping-particle":"","parse-names":false,"suffix":""}],"container-title":"Biochimica et biophysica acta","id":"ITEM-2","issue":"1-3","issued":{"date-parts":[["2002","1","30"]]},"page":"1-13","title":"Multiple roles of the invariant chain in MHC class II function.","type":"article-journal","volume":"1542"},"uris":["http://www.mendeley.com/documents/?uuid=6c1b510d-aa64-4809-81e8-d10191bb2431"]}],"mendeley":{"formattedCitation":"&lt;sup&gt;10,11&lt;/sup&gt;","plainTextFormattedCitation":"10,11","previouslyFormattedCitation":"&lt;sup&gt;10,11&lt;/sup&gt;"},"properties":{"noteIndex":0},"schema":"https://github.com/citation-style-language/schema/raw/master/csl-citation.json"}</w:instrText>
            </w:r>
            <w:r>
              <w:rPr>
                <w:lang w:val="en-US"/>
              </w:rPr>
              <w:fldChar w:fldCharType="separate"/>
            </w:r>
            <w:r w:rsidRPr="004934FF">
              <w:rPr>
                <w:noProof/>
                <w:vertAlign w:val="superscript"/>
                <w:lang w:val="en-US"/>
              </w:rPr>
              <w:t>10,11</w:t>
            </w:r>
            <w:r>
              <w:rPr>
                <w:lang w:val="en-US"/>
              </w:rPr>
              <w:fldChar w:fldCharType="end"/>
            </w:r>
          </w:p>
        </w:tc>
        <w:tc>
          <w:tcPr>
            <w:tcW w:w="0" w:type="auto"/>
          </w:tcPr>
          <w:p w14:paraId="4556CF3F" w14:textId="77777777" w:rsidR="00DB31C7" w:rsidRDefault="00DB31C7" w:rsidP="0022086D">
            <w:pPr>
              <w:rPr>
                <w:lang w:val="en-US"/>
              </w:rPr>
            </w:pPr>
            <w:r>
              <w:rPr>
                <w:lang w:val="en-US"/>
              </w:rPr>
              <w:t>Enriched in an Alzheimer’s disease pathology-associated microglial population</w:t>
            </w:r>
            <w:r>
              <w:rPr>
                <w:lang w:val="en-US"/>
              </w:rPr>
              <w:fldChar w:fldCharType="begin" w:fldLock="1"/>
            </w:r>
            <w:r>
              <w:rPr>
                <w:lang w:val="en-US"/>
              </w:rPr>
              <w:instrText>ADDIN CSL_CITATION {"citationItems":[{"id":"ITEM-1","itemData":{"DOI":"10.1038/s41586-019-1195-2","ISBN":"4158601911952","ISSN":"14764687","PMID":"31042697","abstract":"Alzheimer’s disease is a pervasive neurodegenerative disorder, the molecular complexity of which remains poorly understood. Here, we analysed 80,660 single-nucleus transcriptomes from the prefrontal cortex of 48 individuals with varying degrees of Alzheimer’s disease pathology. Across six major brain cell types, we identified transcriptionally distinct subpopulations, including those associated with pathology and characterized by regulators of myelination, inflammation, and neuron survival. The strongest disease-associated changes appeared early in pathological progression and were highly cell-type specific, whereas genes upregulated at late stages were common across cell types and primarily involved in the global stress response. Notably, we found that female cells were overrepresented in disease-associated subpopulations, and that transcriptional responses were substantially different between sexes in several cell types, including oligodendrocytes. Overall, myelination-related processes were recurrently perturbed in multiple cell types, suggesting that myelination has a key role in Alzheimer’s disease pathophysiology. Our single-cell transcriptomic resource provides a blueprint for interrogating the molecular and cellular basis of Alzheimer’s disease.","author":[{"dropping-particle":"","family":"Mathys","given":"Hansruedi","non-dropping-particle":"","parse-names":false,"suffix":""},{"dropping-particle":"","family":"Davila-Velderrain","given":"Jose","non-dropping-particle":"","parse-names":false,"suffix":""},{"dropping-particle":"","family":"Peng","given":"Zhuyu","non-dropping-particle":"","parse-names":false,"suffix":""},{"dropping-particle":"","family":"Gao","given":"Fan","non-dropping-particle":"","parse-names":false,"suffix":""},{"dropping-particle":"","family":"Mohammadi","given":"Shahin","non-dropping-particle":"","parse-names":false,"suffix":""},{"dropping-particle":"","family":"Young","given":"Jennie Z.","non-dropping-particle":"","parse-names":false,"suffix":""},{"dropping-particle":"","family":"Menon","given":"Madhvi","non-dropping-particle":"","parse-names":false,"suffix":""},{"dropping-particle":"","family":"He","given":"Liang","non-dropping-particle":"","parse-names":false,"suffix":""},{"dropping-particle":"","family":"Abdurrob","given":"Fatema","non-dropping-particle":"","parse-names":false,"suffix":""},{"dropping-particle":"","family":"Jiang","given":"Xueqiao","non-dropping-particle":"","parse-names":false,"suffix":""},{"dropping-particle":"","family":"Martorell","given":"Anthony J.","non-dropping-particle":"","parse-names":false,"suffix":""},{"dropping-particle":"","family":"Ransohoff","given":"Richard M.","non-dropping-particle":"","parse-names":false,"suffix":""},{"dropping-particle":"","family":"Hafler","given":"Brian P.","non-dropping-particle":"","parse-names":false,"suffix":""},{"dropping-particle":"","family":"Bennett","given":"David A.","non-dropping-particle":"","parse-names":false,"suffix":""},{"dropping-particle":"","family":"Kellis","given":"Manolis","non-dropping-particle":"","parse-names":false,"suffix":""},{"dropping-particle":"","family":"Tsai","given":"Li Huei","non-dropping-particle":"","parse-names":false,"suffix":""}],"container-title":"Nature","id":"ITEM-1","issue":"7761","issued":{"date-parts":[["2019"]]},"page":"332-337","publisher":"Springer US","title":"Single-cell transcriptomic analysis of Alzheimer’s disease","type":"article-journal","volume":"570"},"uris":["http://www.mendeley.com/documents/?uuid=d43f2250-0559-4d63-bc51-70d5012307f8"]}],"mendeley":{"formattedCitation":"&lt;sup&gt;7&lt;/sup&gt;","plainTextFormattedCitation":"7","previouslyFormattedCitation":"&lt;sup&gt;7&lt;/sup&gt;"},"properties":{"noteIndex":0},"schema":"https://github.com/citation-style-language/schema/raw/master/csl-citation.json"}</w:instrText>
            </w:r>
            <w:r>
              <w:rPr>
                <w:lang w:val="en-US"/>
              </w:rPr>
              <w:fldChar w:fldCharType="separate"/>
            </w:r>
            <w:r w:rsidRPr="004934FF">
              <w:rPr>
                <w:noProof/>
                <w:vertAlign w:val="superscript"/>
                <w:lang w:val="en-US"/>
              </w:rPr>
              <w:t>7</w:t>
            </w:r>
            <w:r>
              <w:rPr>
                <w:lang w:val="en-US"/>
              </w:rPr>
              <w:fldChar w:fldCharType="end"/>
            </w:r>
            <w:r>
              <w:rPr>
                <w:lang w:val="en-US"/>
              </w:rPr>
              <w:t>; CD74-positive cells associated with tau tangles in Alzheimer’s disease</w:t>
            </w:r>
            <w:r>
              <w:rPr>
                <w:lang w:val="en-US"/>
              </w:rPr>
              <w:fldChar w:fldCharType="begin" w:fldLock="1"/>
            </w:r>
            <w:r>
              <w:rPr>
                <w:lang w:val="en-US"/>
              </w:rPr>
              <w:instrText>ADDIN CSL_CITATION {"citationItems":[{"id":"ITEM-1","itemData":{"DOI":"10.1186/1750-1326-3-13","ISBN":"1750-1326 (Electronic)","ISSN":"1750-1326","PMID":"18786268","abstract":"Alzheimer disease (AD) is a chronic neurodegenerative disease that is characterized by progressive memory loss. Pathological markers of AD include neurofibrillary tangles, accumulation of amyloid-beta plaques, neuronal loss, and inflammation. The exact events that lead to the neuronal dysfunction and loss are not completely understood. However, pro-inflammatory cytokines, such as interleukin-1beta, interleukin-6, and tumor necrosis factor alpha, are increased in AD, along with gene expression of major histocompatibility complex (MHC) class II molecules and macrophage migration inhibitory factor (MIF). MHC class II molecules are found in microglia of the brain, while MIF is found in both microglia and neurons of the hypothalamus, hippocampus, and cortex. MIF is not only a lymphocyte mediator but also a pituitary factor with endocrine properties and can mediate phosphorylation of the extracellular signal-regulated kinase-1/2 MAP kinases pathway. In this study, we looked at CD74, an integral membrane protein that acts as both a chaperone for MHC class II molecules as well as a receptor binding site for MIF. CD74 was recently found to be increased in microglia in AD cases compared to age-matched controls, but has not been reported in neurons. In our analysis, immunohistochemistry revealed a significant increase in CD74 primarily in neurofibrillary tangles, amyloid-beta plaques, and microglia. This is the first finding to our knowledge that CD74 is increased in neurons of AD cases compared to age-matched control cases.","author":[{"dropping-particle":"","family":"Bryan","given":"Kathryn J","non-dropping-particle":"","parse-names":false,"suffix":""},{"dropping-particle":"","family":"Zhu","given":"Xiongwei","non-dropping-particle":"","parse-names":false,"suffix":""},{"dropping-particle":"","family":"Harris","given":"Peggy L","non-dropping-particle":"","parse-names":false,"suffix":""},{"dropping-particle":"","family":"Perry","given":"George","non-dropping-particle":"","parse-names":false,"suffix":""},{"dropping-particle":"","family":"Castellani","given":"Rudy J","non-dropping-particle":"","parse-names":false,"suffix":""},{"dropping-particle":"","family":"Smith","given":"Mark A","non-dropping-particle":"","parse-names":false,"suffix":""},{"dropping-particle":"","family":"Casadesus","given":"Gemma","non-dropping-particle":"","parse-names":false,"suffix":""}],"container-title":"Molecular neurodegeneration","id":"ITEM-1","issued":{"date-parts":[["2008","9","11"]]},"page":"13","title":"Expression of CD74 is increased in neurofibrillary tangles in Alzheimer's disease.","type":"article-journal","volume":"3"},"uris":["http://www.mendeley.com/documents/?uuid=56d6eeb2-c718-4755-935e-146f5f74596e"]}],"mendeley":{"formattedCitation":"&lt;sup&gt;12&lt;/sup&gt;","plainTextFormattedCitation":"12","previouslyFormattedCitation":"&lt;sup&gt;12&lt;/sup&gt;"},"properties":{"noteIndex":0},"schema":"https://github.com/citation-style-language/schema/raw/master/csl-citation.json"}</w:instrText>
            </w:r>
            <w:r>
              <w:rPr>
                <w:lang w:val="en-US"/>
              </w:rPr>
              <w:fldChar w:fldCharType="separate"/>
            </w:r>
            <w:r w:rsidRPr="004934FF">
              <w:rPr>
                <w:noProof/>
                <w:vertAlign w:val="superscript"/>
                <w:lang w:val="en-US"/>
              </w:rPr>
              <w:t>12</w:t>
            </w:r>
            <w:r>
              <w:rPr>
                <w:lang w:val="en-US"/>
              </w:rPr>
              <w:fldChar w:fldCharType="end"/>
            </w:r>
          </w:p>
        </w:tc>
      </w:tr>
      <w:tr w:rsidR="00DB31C7" w14:paraId="33DFBD18" w14:textId="77777777" w:rsidTr="0022086D">
        <w:tc>
          <w:tcPr>
            <w:tcW w:w="0" w:type="auto"/>
          </w:tcPr>
          <w:p w14:paraId="3972C32B" w14:textId="77777777" w:rsidR="00DB31C7" w:rsidRDefault="00DB31C7" w:rsidP="0022086D">
            <w:pPr>
              <w:rPr>
                <w:lang w:val="en-US"/>
              </w:rPr>
            </w:pPr>
            <w:r>
              <w:rPr>
                <w:lang w:val="en-US"/>
              </w:rPr>
              <w:t>CD206</w:t>
            </w:r>
          </w:p>
        </w:tc>
        <w:tc>
          <w:tcPr>
            <w:tcW w:w="0" w:type="auto"/>
          </w:tcPr>
          <w:p w14:paraId="02B60B76" w14:textId="77777777" w:rsidR="00DB31C7" w:rsidRDefault="00DB31C7" w:rsidP="0022086D">
            <w:pPr>
              <w:rPr>
                <w:lang w:val="en-US"/>
              </w:rPr>
            </w:pPr>
            <w:r>
              <w:rPr>
                <w:lang w:val="en-US"/>
              </w:rPr>
              <w:t xml:space="preserve">Phagocytosis and endocytosis of </w:t>
            </w:r>
            <w:proofErr w:type="spellStart"/>
            <w:r>
              <w:rPr>
                <w:lang w:val="en-US"/>
              </w:rPr>
              <w:t>mannosylated</w:t>
            </w:r>
            <w:proofErr w:type="spellEnd"/>
            <w:r>
              <w:rPr>
                <w:lang w:val="en-US"/>
              </w:rPr>
              <w:t xml:space="preserve"> enzymes and proteins</w:t>
            </w:r>
            <w:r>
              <w:rPr>
                <w:lang w:val="en-US"/>
              </w:rPr>
              <w:fldChar w:fldCharType="begin" w:fldLock="1"/>
            </w:r>
            <w:r>
              <w:rPr>
                <w:lang w:val="en-US"/>
              </w:rPr>
              <w:instrText>ADDIN CSL_CITATION {"citationItems":[{"id":"ITEM-1","itemData":{"DOI":"10.1007/0-306-46831-X_1","ISBN":"030646831X","PMID":"10897405","author":[{"dropping-particle":"","family":"Linehan","given":"Sheena A.","non-dropping-particle":"","parse-names":false,"suffix":""},{"dropping-particle":"","family":"Martinez-Pomares","given":"Luisa","non-dropping-particle":"","parse-names":false,"suffix":""},{"dropping-particle":"","family":"Gordon","given":"Siamon","non-dropping-particle":"","parse-names":false,"suffix":""}],"container-title":"The Biology and Pathology of Innate Immunity Mechanisms","id":"ITEM-1","issued":{"date-parts":[["0"]]},"page":"1-14","publisher":"Kluwer Academic Publishers","publisher-place":"Boston","title":"Mannose Receptor and Scavenger Receptor: Two Macrophage Pattern Recognition Receptors with Diverse Functions in Tissue Homeostasis and Host Defense","type":"chapter"},"uris":["http://www.mendeley.com/documents/?uuid=adf65795-a4e2-4ea7-81c9-a6a864f29cd1"]}],"mendeley":{"formattedCitation":"&lt;sup&gt;13&lt;/sup&gt;","plainTextFormattedCitation":"13","previouslyFormattedCitation":"&lt;sup&gt;13&lt;/sup&gt;"},"properties":{"noteIndex":0},"schema":"https://github.com/citation-style-language/schema/raw/master/csl-citation.json"}</w:instrText>
            </w:r>
            <w:r>
              <w:rPr>
                <w:lang w:val="en-US"/>
              </w:rPr>
              <w:fldChar w:fldCharType="separate"/>
            </w:r>
            <w:r w:rsidRPr="004934FF">
              <w:rPr>
                <w:noProof/>
                <w:vertAlign w:val="superscript"/>
                <w:lang w:val="en-US"/>
              </w:rPr>
              <w:t>13</w:t>
            </w:r>
            <w:r>
              <w:rPr>
                <w:lang w:val="en-US"/>
              </w:rPr>
              <w:fldChar w:fldCharType="end"/>
            </w:r>
          </w:p>
        </w:tc>
        <w:tc>
          <w:tcPr>
            <w:tcW w:w="0" w:type="auto"/>
          </w:tcPr>
          <w:p w14:paraId="1CE2623F" w14:textId="77777777" w:rsidR="00DB31C7" w:rsidRDefault="00DB31C7" w:rsidP="0022086D">
            <w:pPr>
              <w:rPr>
                <w:lang w:val="en-US"/>
              </w:rPr>
            </w:pPr>
            <w:r>
              <w:rPr>
                <w:lang w:val="en-US"/>
              </w:rPr>
              <w:t>Perivascular macrophage-specific marker</w:t>
            </w:r>
            <w:r>
              <w:rPr>
                <w:lang w:val="en-US"/>
              </w:rPr>
              <w:fldChar w:fldCharType="begin" w:fldLock="1"/>
            </w:r>
            <w:r>
              <w:rPr>
                <w:lang w:val="en-US"/>
              </w:rPr>
              <w:instrText>ADDIN CSL_CITATION {"citationItems":[{"id":"ITEM-1","itemData":{"DOI":"10.1007/s00109-017-1573-x","ISSN":"14321440","abstract":"© 2017, Springer-Verlag GmbH Germany. Perivascular macrophages (PVM) are a distinct population of resident brain macrophages characterized by a close association with the cerebral vasculature. PVM migrate from the yolk sac into the brain early in development and, like microglia, are likely to be a self-renewing cell population that, in the normal state, is not replenished by circulating monocytes. Increasing evidence implicates PVM in several disease processes, ranging from brain infections and immune activation to regulation of the hypothalamic-adrenal axis and neurovascular-neurocognitive dysfunction in the setting of hypertension, Alzheimer disease pathology, or obesity. These effects involve crosstalk between PVM and cerebral endothelial cells, interaction with circulating immune cells, and/or production of reactive oxygen species. Overall, the available evidence supports the idea that PVM are a key component of the brain-resident immune system with broad implications for the pathogenesis of major brain diseases. A better understanding of the biology and pathobiology  of PVM may lead to new insights and therapeutic strategies for a wide variety of brain diseases.","author":[{"dropping-particle":"","family":"Faraco","given":"Giuseppe","non-dropping-particle":"","parse-names":false,"suffix":""},{"dropping-particle":"","family":"Park","given":"Laibaik","non-dropping-particle":"","parse-names":false,"suffix":""},{"dropping-particle":"","family":"Anrather","given":"Josef","non-dropping-particle":"","parse-names":false,"suffix":""},{"dropping-particle":"","family":"Iadecola","given":"Costantino","non-dropping-particle":"","parse-names":false,"suffix":""}],"container-title":"Journal of Molecular Medicine","id":"ITEM-1","issue":"11","issued":{"date-parts":[["2017"]]},"page":"1143-1152","publisher":"Journal of Molecular Medicine","title":"Brain perivascular macrophages: characterization and functional roles in health and disease","type":"article-journal","volume":"95"},"uris":["http://www.mendeley.com/documents/?uuid=23d28e17-4638-4865-84cb-dfc0eecad394"]},{"id":"ITEM-2","itemData":{"DOI":"10.1007/s11481-014-9564-y","ISSN":"1557-1904","PMID":"25146376","abstract":"We examined the expression of the mannose receptor CD206 by perivascular macrophages (PVM) in normal human and monkey brains and in brains of HIV-infected humans and of monkeys infected with simian immunodeficiency virus (SIV). Depletion of brain PVM in SIV-infected monkeys by intrathecal injection of liposome-encapsulated bisphosphonates eliminated CD206-expressing cells in the brain, confirming their perivascular location and phagocytic capacity. In vivo labeling with bromodeoxyuridine in normal uninfected and SIV-infected macaques in combination with CD206 immunostaining revealed a CD206+-to-CD206- shift within pre-existing PVM during SIV brain infection and neuroinflammation. These findings identify CD206 as a unique marker of human and macaque PVM, and underscore the utility of this marker in studying the origin, turnover and functions of these cells in AIDS.","author":[{"dropping-particle":"","family":"Holder","given":"Gerard E.","non-dropping-particle":"","parse-names":false,"suffix":""},{"dropping-particle":"","family":"McGary","given":"Christopher M.","non-dropping-particle":"","parse-names":false,"suffix":""},{"dropping-particle":"","family":"Johnson","given":"Edward M.","non-dropping-particle":"","parse-names":false,"suffix":""},{"dropping-particle":"","family":"Zheng","given":"Rubo","non-dropping-particle":"","parse-names":false,"suffix":""},{"dropping-particle":"","family":"John","given":"Vijay T.","non-dropping-particle":"","parse-names":false,"suffix":""},{"dropping-particle":"","family":"Sugimoto","given":"Chie","non-dropping-particle":"","parse-names":false,"suffix":""},{"dropping-particle":"","family":"Kuroda","given":"Marcelo J.","non-dropping-particle":"","parse-names":false,"suffix":""},{"dropping-particle":"","family":"Kim","given":"Woong-Ki","non-dropping-particle":"","parse-names":false,"suffix":""}],"container-title":"Journal of neuroimmune pharmacology : the official journal of the Society on NeuroImmune Pharmacology","id":"ITEM-2","issue":"5","issued":{"date-parts":[["2014","12"]]},"page":"716-26","title":"Expression of the mannose receptor CD206 in HIV and SIV encephalitis: a phenotypic switch of brain perivascular macrophages with virus infection.","type":"article-journal","volume":"9"},"uris":["http://www.mendeley.com/documents/?uuid=0298f5a7-a871-4ef9-803c-2e9fa698704f"]},{"id":"ITEM-3","itemData":{"DOI":"10.1002/glia.20124","ISSN":"0894-1491","PMID":"15538754","abstract":"Perivascular macrophages are believed to have a significant role in inflammation in the central nervous system (CNS). They express a number of different receptors that point toward functions in both innate immunity, through pathogen-associated molecular pattern recognition, phagocytosis, and cytokine responsiveness, and acquired immunity, through antigen presentation and co-stimulation. We are interested in the receptors that are differentially expressed by perivascular macrophages and microglia in both the normal CNS as well as in neuroinflammation and neurodegeneration. In this article we report the use of a well-characterized monoclonal antibody, 5D3, to localize the expression of the mannose receptor to perivascular macrophages in the normal CNS and in various models of brain pathology. Mannose receptor expression was limited to perivascular, meningeal, and choroid plexus macrophages in normal, inflamed, injured, and diseased CNS. In particular, activated microglia and invading hematogenous leukocytes were mannose receptor negative while expressing the F4/80 antigen, macrosialin (CD68), FcRII (CD32), scavenger receptor (CD204), and CR3 (CD11b/CD18). Since the perivascular macrophages expressing the mannose receptor are known to be the only constitutively phagocytic cells in the normal CNS, we injected clodronate-loaded liposomes intracerebroventricularly in control mice to deplete these cells. In these mice, there was no detectable mannose receptor expression in perivascular spaces after immunocytochemistry with the 5D3 monoclonal antibody. This finding underlines the value of the monoclonal antibody 5D3 as a tool to study murine perivascular macrophages selectively. Mannose receptor expression by macrophages located at blood-brain (perivascular), brain-cerebrospinal fluid (CSF) (meningeal), and CSF-blood (choroid plexus) interfaces supports a functional role of these cells in responding to external stimuli such as infection.","author":[{"dropping-particle":"","family":"Galea","given":"Ian","non-dropping-particle":"","parse-names":false,"suffix":""},{"dropping-particle":"","family":"Palin","given":"Karine","non-dropping-particle":"","parse-names":false,"suffix":""},{"dropping-particle":"","family":"Newman","given":"Tracey A.","non-dropping-particle":"","parse-names":false,"suffix":""},{"dropping-particle":"","family":"Rooijen","given":"Nico","non-dropping-particle":"Van","parse-names":false,"suffix":""},{"dropping-particle":"","family":"Perry","given":"V. Hugh","non-dropping-particle":"","parse-names":false,"suffix":""},{"dropping-particle":"","family":"Boche","given":"Delphine","non-dropping-particle":"","parse-names":false,"suffix":""}],"container-title":"Glia","id":"ITEM-3","issue":"3","issued":{"date-parts":[["2005","2"]]},"page":"375-84","title":"Mannose receptor expression specifically reveals perivascular macrophages in normal, injured, and diseased mouse brain.","type":"article-journal","volume":"49"},"uris":["http://www.mendeley.com/documents/?uuid=87179d38-5d41-4cd2-9b8c-ad754641de27"]}],"mendeley":{"formattedCitation":"&lt;sup&gt;14–16&lt;/sup&gt;","plainTextFormattedCitation":"14–16","previouslyFormattedCitation":"&lt;sup&gt;14–16&lt;/sup&gt;"},"properties":{"noteIndex":0},"schema":"https://github.com/citation-style-language/schema/raw/master/csl-citation.json"}</w:instrText>
            </w:r>
            <w:r>
              <w:rPr>
                <w:lang w:val="en-US"/>
              </w:rPr>
              <w:fldChar w:fldCharType="separate"/>
            </w:r>
            <w:r w:rsidRPr="004934FF">
              <w:rPr>
                <w:noProof/>
                <w:vertAlign w:val="superscript"/>
                <w:lang w:val="en-US"/>
              </w:rPr>
              <w:t>14–16</w:t>
            </w:r>
            <w:r>
              <w:rPr>
                <w:lang w:val="en-US"/>
              </w:rPr>
              <w:fldChar w:fldCharType="end"/>
            </w:r>
          </w:p>
        </w:tc>
      </w:tr>
      <w:tr w:rsidR="00DB31C7" w14:paraId="358C049A" w14:textId="77777777" w:rsidTr="0022086D">
        <w:tc>
          <w:tcPr>
            <w:tcW w:w="0" w:type="auto"/>
          </w:tcPr>
          <w:p w14:paraId="296600A9" w14:textId="77777777" w:rsidR="00DB31C7" w:rsidRDefault="00DB31C7" w:rsidP="0022086D">
            <w:pPr>
              <w:rPr>
                <w:lang w:val="en-US"/>
              </w:rPr>
            </w:pPr>
            <w:r>
              <w:rPr>
                <w:lang w:val="en-US"/>
              </w:rPr>
              <w:t>CD32</w:t>
            </w:r>
          </w:p>
        </w:tc>
        <w:tc>
          <w:tcPr>
            <w:tcW w:w="0" w:type="auto"/>
          </w:tcPr>
          <w:p w14:paraId="49341D0C" w14:textId="77777777" w:rsidR="00DB31C7" w:rsidRDefault="00DB31C7" w:rsidP="0022086D">
            <w:pPr>
              <w:rPr>
                <w:lang w:val="en-US"/>
              </w:rPr>
            </w:pPr>
            <w:r>
              <w:rPr>
                <w:lang w:val="en-US"/>
              </w:rPr>
              <w:t>Bind to Fc regions of antibodies to aid in phagocytosis</w:t>
            </w:r>
            <w:r>
              <w:rPr>
                <w:lang w:val="en-US"/>
              </w:rPr>
              <w:fldChar w:fldCharType="begin" w:fldLock="1"/>
            </w:r>
            <w:r>
              <w:rPr>
                <w:lang w:val="en-US"/>
              </w:rPr>
              <w:instrText>ADDIN CSL_CITATION {"citationItems":[{"id":"ITEM-1","itemData":{"DOI":"10.3389/fimmu.2019.00464","ISSN":"16643224","abstract":"FcγRs have been the focus of extensive research due to their key role linking innate and humoral immunity and their implication in both inflammatory and infectious disease. Within the human FcγR family FcγRII (activatory FcγRIIa and FcγRIIc, and inhibitory FcγRIIb) are unique in their ability to signal independent of the common γ chain. Through improved understanding of the structure of these receptors and how this affects their function we may be able to better understand how to target FcγR specific immune activation or inhibition, which will facilitate in the development of therapeutic monoclonal antibodies in patients where FcγRII activity may be desirable for efficacy. This review is focused on roles of the human FcγRII family members and their link to immunoregulation in healthy individuals and infection, autoimmunity and cancer.","author":[{"dropping-particle":"","family":"Anania","given":"Jessica C.","non-dropping-particle":"","parse-names":false,"suffix":""},{"dropping-particle":"","family":"Chenoweth","given":"Alicia M.","non-dropping-particle":"","parse-names":false,"suffix":""},{"dropping-particle":"","family":"Wines","given":"Bruce D.","non-dropping-particle":"","parse-names":false,"suffix":""},{"dropping-particle":"","family":"MarkHogarth","given":"P.","non-dropping-particle":"","parse-names":false,"suffix":""}],"container-title":"Frontiers in Immunology","id":"ITEM-1","issue":"MAR","issued":{"date-parts":[["2019"]]},"page":"1-17","title":"The human FcγRII (CD32) family of leukocyte FCR in health and disease","type":"article-journal","volume":"10"},"uris":["http://www.mendeley.com/documents/?uuid=e60ad63d-05a2-4cac-b9e9-7a3d83db2abd"]}],"mendeley":{"formattedCitation":"&lt;sup&gt;17&lt;/sup&gt;","plainTextFormattedCitation":"17","previouslyFormattedCitation":"&lt;sup&gt;17&lt;/sup&gt;"},"properties":{"noteIndex":0},"schema":"https://github.com/citation-style-language/schema/raw/master/csl-citation.json"}</w:instrText>
            </w:r>
            <w:r>
              <w:rPr>
                <w:lang w:val="en-US"/>
              </w:rPr>
              <w:fldChar w:fldCharType="separate"/>
            </w:r>
            <w:r w:rsidRPr="004934FF">
              <w:rPr>
                <w:noProof/>
                <w:vertAlign w:val="superscript"/>
                <w:lang w:val="en-US"/>
              </w:rPr>
              <w:t>17</w:t>
            </w:r>
            <w:r>
              <w:rPr>
                <w:lang w:val="en-US"/>
              </w:rPr>
              <w:fldChar w:fldCharType="end"/>
            </w:r>
          </w:p>
        </w:tc>
        <w:tc>
          <w:tcPr>
            <w:tcW w:w="0" w:type="auto"/>
          </w:tcPr>
          <w:p w14:paraId="6F4B4467" w14:textId="77777777" w:rsidR="00DB31C7" w:rsidRDefault="00DB31C7" w:rsidP="0022086D">
            <w:pPr>
              <w:rPr>
                <w:lang w:val="en-US"/>
              </w:rPr>
            </w:pPr>
            <w:r>
              <w:rPr>
                <w:lang w:val="en-US"/>
              </w:rPr>
              <w:t>Increased number of CD32-positive cells associated with amyloid beta plaques in Alzheimer’s disease</w:t>
            </w:r>
            <w:r>
              <w:rPr>
                <w:lang w:val="en-US"/>
              </w:rPr>
              <w:fldChar w:fldCharType="begin" w:fldLock="1"/>
            </w:r>
            <w:r>
              <w:rPr>
                <w:lang w:val="en-US"/>
              </w:rPr>
              <w:instrText>ADDIN CSL_CITATION {"citationItems":[{"id":"ITEM-1","itemData":{"DOI":"0165-5728(93)90060-C [pii]","ISBN":"0165-5728 (Print)\\r0165-5728 (Linking)","ISSN":"0165-5728","PMID":"8227309","abstract":"Using monoclonal antibodies to the three known human leukocyte IgG receptors, Fc gamma R, we examined the expression of Fc gamma R in normal brains and in Alzheimer's disease. We found Fc gamma RI, II and III immunoreactivity in senile plaques and on ramified microglia throughout the cortex and white matter of normal and Alzheimer's disease brains. Fc gamma RI expression was independently confirmed by a murine isotype binding study. These findings suggest that intrinsic Fc gamma R may play an important role in normal and disordered immune-related processes in the brain. They support the idea that microglia are brain macrophages.","author":[{"dropping-particle":"","family":"Peress","given":"Nancy S","non-dropping-particle":"","parse-names":false,"suffix":""},{"dropping-particle":"","family":"Fleit","given":"H B","non-dropping-particle":"","parse-names":false,"suffix":""},{"dropping-particle":"","family":"Perillo","given":"E","non-dropping-particle":"","parse-names":false,"suffix":""},{"dropping-particle":"","family":"Kuljis","given":"Rodrigo","non-dropping-particle":"","parse-names":false,"suffix":""},{"dropping-particle":"","family":"Pezzullo","given":"Christopher","non-dropping-particle":"","parse-names":false,"suffix":""}],"container-title":"Journal of neuroimmunology","id":"ITEM-1","issue":"1","issued":{"date-parts":[["1993"]]},"page":"71-9","title":"Identification of Fc gamma RI, II and III on normal human brain ramified microglia and on microglia in senile plaques in Alzheimer's disease.","type":"article-journal","volume":"48"},"uris":["http://www.mendeley.com/documents/?uuid=17f7efac-3109-4e8a-8bb7-c0df05dc15ad"]}],"mendeley":{"formattedCitation":"&lt;sup&gt;18&lt;/sup&gt;","plainTextFormattedCitation":"18","previouslyFormattedCitation":"&lt;sup&gt;18&lt;/sup&gt;"},"properties":{"noteIndex":0},"schema":"https://github.com/citation-style-language/schema/raw/master/csl-citation.json"}</w:instrText>
            </w:r>
            <w:r>
              <w:rPr>
                <w:lang w:val="en-US"/>
              </w:rPr>
              <w:fldChar w:fldCharType="separate"/>
            </w:r>
            <w:r w:rsidRPr="004934FF">
              <w:rPr>
                <w:noProof/>
                <w:vertAlign w:val="superscript"/>
                <w:lang w:val="en-US"/>
              </w:rPr>
              <w:t>18</w:t>
            </w:r>
            <w:r>
              <w:rPr>
                <w:lang w:val="en-US"/>
              </w:rPr>
              <w:fldChar w:fldCharType="end"/>
            </w:r>
          </w:p>
        </w:tc>
      </w:tr>
      <w:tr w:rsidR="00DB31C7" w14:paraId="30A261F2" w14:textId="77777777" w:rsidTr="0022086D">
        <w:tc>
          <w:tcPr>
            <w:tcW w:w="0" w:type="auto"/>
          </w:tcPr>
          <w:p w14:paraId="5799520C" w14:textId="77777777" w:rsidR="00DB31C7" w:rsidRDefault="00DB31C7" w:rsidP="0022086D">
            <w:pPr>
              <w:rPr>
                <w:lang w:val="en-US"/>
              </w:rPr>
            </w:pPr>
            <w:r>
              <w:rPr>
                <w:lang w:val="en-US"/>
              </w:rPr>
              <w:t>CD163</w:t>
            </w:r>
          </w:p>
        </w:tc>
        <w:tc>
          <w:tcPr>
            <w:tcW w:w="0" w:type="auto"/>
          </w:tcPr>
          <w:p w14:paraId="2FED88DA" w14:textId="77777777" w:rsidR="00DB31C7" w:rsidRDefault="00DB31C7" w:rsidP="0022086D">
            <w:pPr>
              <w:rPr>
                <w:lang w:val="en-US"/>
              </w:rPr>
            </w:pPr>
            <w:r>
              <w:rPr>
                <w:lang w:val="en-US"/>
              </w:rPr>
              <w:t xml:space="preserve">Clears extracellular </w:t>
            </w:r>
            <w:proofErr w:type="spellStart"/>
            <w:r>
              <w:rPr>
                <w:lang w:val="en-US"/>
              </w:rPr>
              <w:t>haemoglobin-haptoglobin</w:t>
            </w:r>
            <w:proofErr w:type="spellEnd"/>
            <w:r>
              <w:rPr>
                <w:lang w:val="en-US"/>
              </w:rPr>
              <w:t xml:space="preserve"> complexes, and binds and sequesters TNF</w:t>
            </w:r>
            <w:r>
              <w:rPr>
                <w:lang w:val="en-US"/>
              </w:rPr>
              <w:sym w:font="Symbol" w:char="F061"/>
            </w:r>
            <w:r>
              <w:rPr>
                <w:lang w:val="en-US"/>
              </w:rPr>
              <w:t>-like weaker inducer of apoptosis</w:t>
            </w:r>
            <w:r>
              <w:rPr>
                <w:lang w:val="en-US"/>
              </w:rPr>
              <w:fldChar w:fldCharType="begin" w:fldLock="1"/>
            </w:r>
            <w:r>
              <w:rPr>
                <w:lang w:val="en-US"/>
              </w:rPr>
              <w:instrText>ADDIN CSL_CITATION {"citationItems":[{"id":"ITEM-1","itemData":{"DOI":"10.1089/ars.2012.4834","ISBN":"1557-7716 (Electronic)\\n1523-0864 (Linking)","ISSN":"1557-7716","PMID":"22900885","abstract":"SIGNIFICANCE: The hemoglobin (Hb) scavenger receptor, CD163, is a macrophage-specific protein and the upregulated expression of this receptor is one of the major changes in the macrophage switch to alternative activated phenotypes in inflammation. Accordingly, a high CD163 expression in macrophages is a characteristic of tissues responding to inflammation. The scavenging of the oxidative and proinflammatory Hb leading to stimulation of the heme-oxygenase-1 and production of anti-inflammatory heme metabolites indicates that CD163 thereby indirectly contributes to the anti-inflammatory response.\\n\\nRECENT ADVANCES: In addition to this biological role in inflammation, CD163 is a potential inflammation biomarker and a therapeutic target. The biomarker form of CD163 is the soluble plasma CD163 that arises from the increased shedding of CD163 mediated by the tumor necrosis factor-α (TNF-α) cleaving enzyme. This explains that a steadily increasing literature documents that the plasma level of soluble CD163 is increased in a large spectrum of acute and chronic inflammatory disorders. The nonshed membrane form of CD163 in macrophages constitutes a target for drugs to be directed to macrophages in inflammation. This approach has been used in an animal inflammation model to highly increase the apparent therapeutic index of anti-inflammatory glucocorticoid drug that was coupled to an anti-CD163 antibody. Furthermore, other recent animal data, which indirectly involve CD163 in macrophages, demonstrate that injections of haptoglobin attenuate Hb-induced damages after blood transfusion.\\n\\nCRITICAL ISSUES AND FUTURE DIRECTIONS: The diagnostic and therapeutic properties of CD163 await further clinical studies and regulatory approval before implementation in the clinic.","author":[{"dropping-particle":"","family":"Etzerodt","given":"Anders","non-dropping-particle":"","parse-names":false,"suffix":""},{"dropping-particle":"","family":"Moestrup","given":"Søren K","non-dropping-particle":"","parse-names":false,"suffix":""}],"container-title":"Antioxidants &amp; redox signaling","id":"ITEM-1","issue":"17","issued":{"date-parts":[["2013"]]},"page":"2352-63","title":"CD163 and inflammation: biological, diagnostic, and therapeutic aspects.","type":"article-journal","volume":"18"},"uris":["http://www.mendeley.com/documents/?uuid=cb2e2534-4552-4df0-bd15-37bcac6f6348"]}],"mendeley":{"formattedCitation":"&lt;sup&gt;19&lt;/sup&gt;","plainTextFormattedCitation":"19","previouslyFormattedCitation":"&lt;sup&gt;19&lt;/sup&gt;"},"properties":{"noteIndex":0},"schema":"https://github.com/citation-style-language/schema/raw/master/csl-citation.json"}</w:instrText>
            </w:r>
            <w:r>
              <w:rPr>
                <w:lang w:val="en-US"/>
              </w:rPr>
              <w:fldChar w:fldCharType="separate"/>
            </w:r>
            <w:r w:rsidRPr="0058373C">
              <w:rPr>
                <w:noProof/>
                <w:vertAlign w:val="superscript"/>
                <w:lang w:val="en-US"/>
              </w:rPr>
              <w:t>19</w:t>
            </w:r>
            <w:r>
              <w:rPr>
                <w:lang w:val="en-US"/>
              </w:rPr>
              <w:fldChar w:fldCharType="end"/>
            </w:r>
          </w:p>
        </w:tc>
        <w:tc>
          <w:tcPr>
            <w:tcW w:w="0" w:type="auto"/>
          </w:tcPr>
          <w:p w14:paraId="46A7DBA7" w14:textId="77777777" w:rsidR="00DB31C7" w:rsidRDefault="00DB31C7" w:rsidP="0022086D">
            <w:pPr>
              <w:rPr>
                <w:lang w:val="en-US"/>
              </w:rPr>
            </w:pPr>
            <w:r>
              <w:rPr>
                <w:lang w:val="en-US"/>
              </w:rPr>
              <w:t>High expression by perivascular macrophages in the normal human brain</w:t>
            </w:r>
            <w:r>
              <w:rPr>
                <w:lang w:val="en-US"/>
              </w:rPr>
              <w:fldChar w:fldCharType="begin" w:fldLock="1"/>
            </w:r>
            <w:r>
              <w:rPr>
                <w:lang w:val="en-US"/>
              </w:rPr>
              <w:instrText>ADDIN CSL_CITATION {"citationItems":[{"id":"ITEM-1","itemData":{"DOI":"10.1002/glia.20208","ISSN":"08941491","abstract":"Perivascular macrophages (PVM) constitute a subpopulation of resident macrophages in the central nervous system (CNS) that by virtue of their strategic location at the blood-brain barrier potentially lend themselves to a variety of important functions in both health and disease. Functional evidence suggests that PVM play a supportive role during experimental autoimmune encephalomyelitis in rodents. However, the function of PVM in the human CNS remains poorly characterized. We first set out to investigate the validity of the antibody EDhu1, which recognizes human CD163, to specifically identify human PVM. Second, we wanted to gain insight into the function of PVM in antigen recognition and presentation and therefore we studied the expression of DC-SIGN, mannose receptor, MHC class II, and several costimulatory molecules by PVM in the normal and inflamed human CNS (multiple sclerosis (MS) brain lesions). Conventional immunohistochemistry and double-labeled immunofluorescence techniques were used. We show that CD163 specifically reveals PVM in the normal human CNS. In MS lesions, CD163 staining reveals expression on foamy macrophages and microglia, besides an upregulation of the amount of PVM stained. In contrast, mannose receptor expression is restricted to PVM in both normal and inflamed brain tissue. Furthermore, we show that a subpopulation of PVM in the human brain express several molecules involved in antigen recognition, presentation, and costimulation. Therefore PVM, which occupy a strategic location at the BBB, are equipped to recognize antigen and present it to T cells, supporting a role in the regulation of perivascular inflammation in the human CNS.","author":[{"dropping-particle":"","family":"Fabriek","given":"Babs O.","non-dropping-particle":"","parse-names":false,"suffix":""},{"dropping-particle":"","family":"Haastert","given":"Elise S.","non-dropping-particle":"Van","parse-names":false,"suffix":""},{"dropping-particle":"","family":"Galea","given":"Ian","non-dropping-particle":"","parse-names":false,"suffix":""},{"dropping-particle":"","family":"Polfliet","given":"Machteld M.J.","non-dropping-particle":"","parse-names":false,"suffix":""},{"dropping-particle":"","family":"Döpp","given":"Ed D.","non-dropping-particle":"","parse-names":false,"suffix":""},{"dropping-particle":"","family":"Heuvel","given":"Michel M.","non-dropping-particle":"Van Den","parse-names":false,"suffix":""},{"dropping-particle":"","family":"Berg","given":"Timo K.","non-dropping-particle":"Van Den","parse-names":false,"suffix":""},{"dropping-particle":"","family":"Groot","given":"Corline J.A.","non-dropping-particle":"De","parse-names":false,"suffix":""},{"dropping-particle":"","family":"Valk","given":"Paul","non-dropping-particle":"Van Der","parse-names":false,"suffix":""},{"dropping-particle":"","family":"Dijkstra","given":"Christine D.","non-dropping-particle":"","parse-names":false,"suffix":""}],"container-title":"Glia","id":"ITEM-1","issue":"4","issued":{"date-parts":[["2005"]]},"page":"297-305","title":"CD163-positive perivascular macrophages in the human CNS express molecules for antigen recognition and presentation","type":"article-journal","volume":"51"},"uris":["http://www.mendeley.com/documents/?uuid=78163888-d2c5-4505-ac09-36109faa46f2"]},{"id":"ITEM-2","itemData":{"DOI":"10.2353/ajpath.2006.050215","ISSN":"00029440","abstract":"Perivascular macrophages are uniquely situated at the intersection between the nervous and immune systems. Although combined myeloid marker detection differentiates perivascular from resident brain macrophages (parenchymal microglia), no single marker distinguishes perivascular macrophages in humans and mice. Here, we present the macrophage scavenger receptor CD163 as a marker for perivascular macrophages in humans, monkeys, and mice. CD163 was primarily confined to perivascular macrophages and populations of meningeal and choroid plexus macrophages in normal brains and in brains of humans and monkeys with human immunodeficiency virus or simian immunodeficiency virus (SIV) encephalitis. Scattered microglia in SIV encephalitis lesions and multinucleated giant cells were also CD163 positive. Consistent with prior findings that perivascular macrophages are primary targets of human immunodeficiency virus and SIV, all SIV-infected cells in the brain were CD163 positive. Using fluorescent dyes that definitively and selectively label perivascular macrophages in vivo, we confirmed that dye-labeled simian perivascular macrophages were CD163 positive and able to repopulate the central nervous system within 24 hours. Flow cytometric studies demonstrated a subset of monocytes (CD163 +CD14+CD16+) that were immunophenotypically similar to brain perivascular macrophages. These findings recognize CD163 + blood monocytes/macrophages as a source of brain perivascular macrophages and underscore the utility of this molecule in studying the biology of perivascular macrophages and their precursors in humans, monkeys, and mice. Copyright © American Society for Investigative Pathology.","author":[{"dropping-particle":"","family":"Kim","given":"Woong Ki","non-dropping-particle":"","parse-names":false,"suffix":""},{"dropping-particle":"","family":"Alvarez","given":"Xavier","non-dropping-particle":"","parse-names":false,"suffix":""},{"dropping-particle":"","family":"Fisher","given":"Jeanne","non-dropping-particle":"","parse-names":false,"suffix":""},{"dropping-particle":"","family":"Bronfin","given":"Benjamin","non-dropping-particle":"","parse-names":false,"suffix":""},{"dropping-particle":"","family":"Westmoreland","given":"Susan","non-dropping-particle":"","parse-names":false,"suffix":""},{"dropping-particle":"","family":"McLaurin","given":"Joanne","non-dropping-particle":"","parse-names":false,"suffix":""},{"dropping-particle":"","family":"Williams","given":"Kenneth","non-dropping-particle":"","parse-names":false,"suffix":""}],"container-title":"American Journal of Pathology","id":"ITEM-2","issue":"3","issued":{"date-parts":[["2006"]]},"page":"822-834","title":"CD163 identifies perivascular macrophages in normal and viral encephalitic brains and potential precursors to perivascular macrophages in blood","type":"article-journal","volume":"168"},"uris":["http://www.mendeley.com/documents/?uuid=ed6ab219-5199-4629-aa13-b33a5b48c3a9"]}],"mendeley":{"formattedCitation":"&lt;sup&gt;20,21&lt;/sup&gt;","plainTextFormattedCitation":"20,21","previouslyFormattedCitation":"&lt;sup&gt;20,21&lt;/sup&gt;"},"properties":{"noteIndex":0},"schema":"https://github.com/citation-style-language/schema/raw/master/csl-citation.json"}</w:instrText>
            </w:r>
            <w:r>
              <w:rPr>
                <w:lang w:val="en-US"/>
              </w:rPr>
              <w:fldChar w:fldCharType="separate"/>
            </w:r>
            <w:r w:rsidRPr="0058373C">
              <w:rPr>
                <w:noProof/>
                <w:vertAlign w:val="superscript"/>
                <w:lang w:val="en-US"/>
              </w:rPr>
              <w:t>20,21</w:t>
            </w:r>
            <w:r>
              <w:rPr>
                <w:lang w:val="en-US"/>
              </w:rPr>
              <w:fldChar w:fldCharType="end"/>
            </w:r>
            <w:r>
              <w:rPr>
                <w:lang w:val="en-US"/>
              </w:rPr>
              <w:t>; increased expression by activated hypertrophic microglia in the normal, Alzheimer’s and Parkinson’s disease brain</w:t>
            </w:r>
            <w:r>
              <w:rPr>
                <w:lang w:val="en-US"/>
              </w:rPr>
              <w:fldChar w:fldCharType="begin" w:fldLock="1"/>
            </w:r>
            <w:r>
              <w:rPr>
                <w:lang w:val="en-US"/>
              </w:rPr>
              <w:instrText>ADDIN CSL_CITATION {"citationItems":[{"id":"ITEM-1","itemData":{"DOI":"10.1186/2051-5960-2-21","ISSN":"2051-5960","PMID":"24528486","abstract":"BACKGROUND: Microglial activation is a pathological feature common to both Alzheimer's and Parkinson's diseases (AD and PD). The classical activation involves release of pro-inflammatory cytokines and reactive oxygen species. This is necessary for maintenance of tissue homeostasis and host defense, but can cause bystander damage when the activation is sustained and uncontrolled. In recent years the heterogeneous nature of microglial activation states in neurodegenerative diseases has become clear and the focus has shifted to alternative activation states that promote tissue maintenance and repair. We studied the distribution of CD163, a membrane-bound scavenger receptor found on perivascular macrophages. CD163 has an immunoregulatory function, and has been found in the parenchyma in other inflammatory diseases e.g. HIV-encephalitis and multiple sclerosis. In this study, we used immunohistochemistry to compare CD163 immunoreactivity in 31 AD cases, 27 PD cases, and 16 control cases. Associations of microglia with pathological hallmarks of AD and PD were investigated using double immunofluorescence.\\n\\nRESULTS: Parenchymal microglia were found to be immunoreactive for CD163 in all of the AD cases, and to a lesser extent in PD cases. There was prominent staining of CD163 immunoreactive microglia in the frontal and occipital cortices of AD cases, and in the brainstem of PD cases. Many of them were associated with Aß plaques in both diseases, and double staining with CD68 demonstrates their phagocytic capability. Leakage of fibrinogen was observed around compromised blood vessels, raising the possibility these microglia might have originated from the periphery.\\n\\nCONCLUSIONS: Increase in microglia's CD163 immunoreactivity was more significant in AD than PD, and association of CD163 immunoreactive microglia with Aβ plaques indicate microglia's attraction towards extracellular protein pathology, i.e. extracellular aggregates of Aβ as compared to intracellular Lewy Bodies in PD. Double staining with CD163 and CD68 might point towards their natural inclination to phagocytose plaques. Fibrinogen leakage and compromise of the blood brain barrier raise the possibility that these are not resident microglia, but systemic macrophages infiltrating the brain.","author":[{"dropping-particle":"","family":"Pey","given":"Peixuan","non-dropping-particle":"","parse-names":false,"suffix":""},{"dropping-particle":"","family":"Pearce","given":"Ronald Kb","non-dropping-particle":"","parse-names":false,"suffix":""},{"dropping-particle":"","family":"Kalaitzakis","given":"Michail E","non-dropping-particle":"","parse-names":false,"suffix":""},{"dropping-particle":"","family":"Griffin","given":"W Sue T","non-dropping-particle":"","parse-names":false,"suffix":""},{"dropping-particle":"","family":"Gentleman","given":"Steve M","non-dropping-particle":"","parse-names":false,"suffix":""}],"container-title":"Acta neuropathologica communications","id":"ITEM-1","issue":"1","issued":{"date-parts":[["2014"]]},"page":"21","title":"Phenotypic profile of alternative activation marker CD163 is different in Alzheimer's and Parkinson's disease.","type":"article-journal","volume":"2"},"uris":["http://www.mendeley.com/documents/?uuid=cb1962ce-bd35-44f6-82b9-78ec419ac21b"]},{"id":"ITEM-2","itemData":{"ISBN":"0022-3069 (Print)\\r0022-3069 (Linking)","ISSN":"0022-3069","PMID":"15624762","abstract":"The idea that CNS ramified microglia are quiescent has been challenged by studies that show that microglia without the classic signs of activation can be phagocytic and appear with shorter, thicker ramifications. These semi-activated cells may constitute a form of microglia that has not been previously recognized in neuropathological conditions and may contribute to the pathology and dysfunction in these disorders. This study investigated the expression of CD 163, a cell surface marker whose normal expression is restricted to monocytes/macrophages, in cases of HIV or SIV encephalitis (HIVE/SIVE), Alzheimer disease, and variant Creutzfeldt-Jakob disease. In HIVE/SIVE, in addition to reacting with CNS macrophages, CD163 antibody staining was shown to highlight ramified microglia. Such reactivity was especially notable in grey matter ramified microglia and was greater than that of another typically used marker, HLA-DR. CD163 expression was only observed in infected/affected tissue, in contrast to that shown with another microglia marker, GLUT5, which has recently been shown to identify all microglia regardless of disease state. Although activated microglia were present in the other disorders, as evidenced by strong HLA-DR expression, there was very little CD163 immunoreactivity. The activation state identified by CD163 has not been previously recognized and may have a positive or negative impact on neuronal damage shown in HIV-associated dementia.","author":[{"dropping-particle":"","family":"Roberts","given":"Eleanor S","non-dropping-particle":"","parse-names":false,"suffix":""},{"dropping-particle":"","family":"Masliah","given":"Eleizer","non-dropping-particle":"","parse-names":false,"suffix":""},{"dropping-particle":"","family":"Fox","given":"Howard S","non-dropping-particle":"","parse-names":false,"suffix":""}],"container-title":"Journal of neuropathology and experimental neurology","id":"ITEM-2","issue":"12","issued":{"date-parts":[["2004"]]},"page":"1255-1264","title":"CD163 identifies a unique population of ramified microglia in HIV encephalitis (HIVE).","type":"article-journal","volume":"63"},"uris":["http://www.mendeley.com/documents/?uuid=9fb41770-ab75-4bf6-89df-df39a29f0658"]},{"id":"ITEM-3","itemData":{"DOI":"10.2353/ajpath.2008.070848","ISBN":"0002-9440 (Print)\\r0002-9440 (Linking)","ISSN":"0002-9440","PMID":"18276779","abstract":"Macrophages and microglia are the major cell types infected by human immunodeficiency virus and simian immunodeficiency virus (SIV) in the central nervous system. Microglia are likely infected in vivo, but evidence of widespread productive infection (ie, presence of viral RNA and protein) is lacking. This conclusion is controversial because, unlike lymphocytes, macrophages and microglia cannot be discreetly immunophenotyped. Of particular interest in the search for additional monocyte/macrophage-lineage cell markers is CD163; this receptor for haptoglobin-hemoglobin (Hp-Hb) complex, which forms in plasma following erythrolysis, is expressed exclusively on cells of monocyte/macrophage lineage. We examined CD163 expression in vitro and in vivo by multiple techniques and at varying times after SIV infection in macaques with or without encephalitis. In normal and acutely SIV-infected animals, and in SIV-infected animals without encephalitis, CD163 expression was detected in cells of monocyte/macrophage lineage, including perivascular macrophages, but not in parenchymal microglia. However, in chronically infected animals with encephalitis, CD163 expression was detected in activated microglia surrounding SIV encephalitis lesions in the presence of Hp-Hb complex, suggesting leakage of the blood-brain barrier. CD163 expression was also induced on microglia in vitro after stimulation with Hp-Hb complex. We conclude that CD163 is a selective marker of perivascular macrophages in normal macaques and during the early phases of SIV infection; however, later in infection in animals with encephalitis, CD163 is also expressed by microglia, which are probably activated as a result of vascular compromise.","author":[{"dropping-particle":"","family":"Borda","given":"Juan T","non-dropping-particle":"","parse-names":false,"suffix":""},{"dropping-particle":"","family":"Alvarez","given":"Xavier","non-dropping-particle":"","parse-names":false,"suffix":""},{"dropping-particle":"","family":"Mohan","given":"Mahesh","non-dropping-particle":"","parse-names":false,"suffix":""},{"dropping-particle":"","family":"Hasegawa","given":"Atsuhiko","non-dropping-particle":"","parse-names":false,"suffix":""},{"dropping-particle":"","family":"Bernardino","given":"Andrea","non-dropping-particle":"","parse-names":false,"suffix":""},{"dropping-particle":"","family":"Jean","given":"Sherrie","non-dropping-particle":"","parse-names":false,"suffix":""},{"dropping-particle":"","family":"Aye","given":"Pyone","non-dropping-particle":"","parse-names":false,"suffix":""},{"dropping-particle":"","family":"Lackner","given":"Andrew A","non-dropping-particle":"","parse-names":false,"suffix":""}],"container-title":"The American journal of pathology","id":"ITEM-3","issue":"3","issued":{"date-parts":[["2008","3"]]},"page":"725-37","publisher":"American Society for Investigative Pathology","title":"CD163, a marker of perivascular macrophages, is up-regulated by microglia in simian immunodeficiency virus encephalitis after haptoglobin-hemoglobin complex stimulation and is suggestive of breakdown of the blood-brain barrier.","type":"article-journal","volume":"172"},"uris":["http://www.mendeley.com/documents/?uuid=74135c1e-8c32-4b59-a7a0-016bdb18b2e2"]}],"mendeley":{"formattedCitation":"&lt;sup&gt;22–24&lt;/sup&gt;","plainTextFormattedCitation":"22–24"},"properties":{"noteIndex":0},"schema":"https://github.com/citation-style-language/schema/raw/master/csl-citation.json"}</w:instrText>
            </w:r>
            <w:r>
              <w:rPr>
                <w:lang w:val="en-US"/>
              </w:rPr>
              <w:fldChar w:fldCharType="separate"/>
            </w:r>
            <w:r w:rsidRPr="0058373C">
              <w:rPr>
                <w:noProof/>
                <w:vertAlign w:val="superscript"/>
                <w:lang w:val="en-US"/>
              </w:rPr>
              <w:t>22–24</w:t>
            </w:r>
            <w:r>
              <w:rPr>
                <w:lang w:val="en-US"/>
              </w:rPr>
              <w:fldChar w:fldCharType="end"/>
            </w:r>
          </w:p>
        </w:tc>
      </w:tr>
      <w:tr w:rsidR="00DB31C7" w14:paraId="6156600A" w14:textId="77777777" w:rsidTr="0022086D">
        <w:tc>
          <w:tcPr>
            <w:tcW w:w="0" w:type="auto"/>
          </w:tcPr>
          <w:p w14:paraId="6094574E" w14:textId="77777777" w:rsidR="00DB31C7" w:rsidRDefault="00DB31C7" w:rsidP="0022086D">
            <w:pPr>
              <w:rPr>
                <w:lang w:val="en-US"/>
              </w:rPr>
            </w:pPr>
            <w:r>
              <w:rPr>
                <w:lang w:val="en-US"/>
              </w:rPr>
              <w:t>L-Ferritin</w:t>
            </w:r>
          </w:p>
        </w:tc>
        <w:tc>
          <w:tcPr>
            <w:tcW w:w="0" w:type="auto"/>
          </w:tcPr>
          <w:p w14:paraId="35E635BC" w14:textId="77777777" w:rsidR="00DB31C7" w:rsidRDefault="00DB31C7" w:rsidP="0022086D">
            <w:pPr>
              <w:rPr>
                <w:lang w:val="en-US"/>
              </w:rPr>
            </w:pPr>
            <w:r>
              <w:rPr>
                <w:lang w:val="en-US"/>
              </w:rPr>
              <w:t>Sequesters free iron to reduce the formation of reactive oxygen species</w:t>
            </w:r>
          </w:p>
        </w:tc>
        <w:tc>
          <w:tcPr>
            <w:tcW w:w="0" w:type="auto"/>
          </w:tcPr>
          <w:p w14:paraId="5BA84470" w14:textId="51B0729E" w:rsidR="00DB31C7" w:rsidRPr="00982611" w:rsidRDefault="00DB31C7" w:rsidP="0022086D">
            <w:pPr>
              <w:rPr>
                <w:vertAlign w:val="superscript"/>
                <w:lang w:val="en-US"/>
              </w:rPr>
            </w:pPr>
            <w:r>
              <w:rPr>
                <w:lang w:val="en-US"/>
              </w:rPr>
              <w:t>Expressed by dystrophic microglia in the human brain</w:t>
            </w:r>
            <w:r>
              <w:rPr>
                <w:lang w:val="en-US"/>
              </w:rPr>
              <w:fldChar w:fldCharType="begin" w:fldLock="1"/>
            </w:r>
            <w:r>
              <w:rPr>
                <w:lang w:val="en-US"/>
              </w:rPr>
              <w:instrText>ADDIN CSL_CITATION {"citationItems":[{"id":"ITEM-1","itemData":{"DOI":"10.1002/glia.20678","ISBN":"1098-1136 (Electronic)","ISSN":"08941491","PMID":"18442088","abstract":"Degeneration of microglial cells may be important for understanding the pathogenesis of aging-related neurodegeneration and neurodegenerative diseases. In this study, we analyzed the morphological characteristics of microglial cells in the nondemented and Alzheimer's disease (AD) human brain using ferritin immunohistochemistry. The central hypothesis was that expression of the iron storage protein ferritin increases the susceptibility of microglia to degeneration, particularly in the aged brain since senescent microglia might become less efficient in maintaining iron homeostasis and free iron can promote oxidative damage. In a primary set of 24 subjects (age range 34-97 years) examined, microglial cells immunoreactive for ferritin were found to constitute a subpopulation of the larger microglial pool labeled with an antibody for HLA-DR antigens. The majority of these ferritin-positive microglia exhibited aberrant morphological (dystrophic) changes in the aged and particularly in the AD brain. No spatial correlation was found between ferritin-positive dystrophic microglia and senile plaques in AD tissues. Analysis of a secondary set of human postmortem brain tissues with a wide range of postmortem intervals (PMI, average 10.94 +/- 5.69 h) showed that the occurrence of microglial dystrophy was independent of PMI and consequently not a product of tissue autolysis. Collectively, these results suggest that microglial involvement in iron storage and metabolism contributes to their degeneration, possibly through increased exposure of the cells to oxidative stress. We conclude that ferritin immunohistochemistry may be a useful method for detecting degenerating microglia in the human brain.","author":[{"dropping-particle":"","family":"Lopes","given":"Kryslaine O.","non-dropping-particle":"","parse-names":false,"suffix":""},{"dropping-particle":"","family":"Sparks","given":"D. Larry","non-dropping-particle":"","parse-names":false,"suffix":""},{"dropping-particle":"","family":"Streit","given":"Wolfgang J.","non-dropping-particle":"","parse-names":false,"suffix":""}],"container-title":"Glia","id":"ITEM-1","issue":"10","issued":{"date-parts":[["2008"]]},"page":"1048-1060","title":"Microglial dystrophy in the aged and Alzheimer's disease brain is associated with ferritin immunoreactivity","type":"article-journal","volume":"56"},"uris":["http://www.mendeley.com/documents/?uuid=e23aed03-94a9-4bb7-8c17-7d4996581da8"]}],"mendeley":{"formattedCitation":"&lt;sup&gt;25&lt;/sup&gt;","plainTextFormattedCitation":"25","previouslyFormattedCitation":"&lt;sup&gt;22&lt;/sup&gt;"},"properties":{"noteIndex":0},"schema":"https://github.com/citation-style-language/schema/raw/master/csl-citation.json"}</w:instrText>
            </w:r>
            <w:r>
              <w:rPr>
                <w:lang w:val="en-US"/>
              </w:rPr>
              <w:fldChar w:fldCharType="separate"/>
            </w:r>
            <w:r w:rsidRPr="0058373C">
              <w:rPr>
                <w:noProof/>
                <w:vertAlign w:val="superscript"/>
                <w:lang w:val="en-US"/>
              </w:rPr>
              <w:t>25</w:t>
            </w:r>
            <w:r>
              <w:rPr>
                <w:lang w:val="en-US"/>
              </w:rPr>
              <w:fldChar w:fldCharType="end"/>
            </w:r>
            <w:r>
              <w:rPr>
                <w:lang w:val="en-US"/>
              </w:rPr>
              <w:t>; immunoreactivity precedes formation of tau tangles in Alzheimer’s disease</w:t>
            </w:r>
            <w:r w:rsidR="00982611">
              <w:rPr>
                <w:vertAlign w:val="superscript"/>
                <w:lang w:val="en-US"/>
              </w:rPr>
              <w:t>26</w:t>
            </w:r>
          </w:p>
        </w:tc>
      </w:tr>
    </w:tbl>
    <w:p w14:paraId="2411218F" w14:textId="520E09B3" w:rsidR="001B5CD8" w:rsidRPr="00DB31C7" w:rsidRDefault="00DB31C7" w:rsidP="00A92EA9">
      <w:pPr>
        <w:spacing w:line="276" w:lineRule="auto"/>
      </w:pPr>
      <w:r>
        <w:br w:type="page"/>
      </w:r>
      <w:r w:rsidR="00EB24CF">
        <w:rPr>
          <w:b/>
          <w:noProof/>
          <w:lang w:val="en-IN" w:eastAsia="en-IN"/>
        </w:rPr>
        <w:lastRenderedPageBreak/>
        <w:drawing>
          <wp:inline distT="0" distB="0" distL="0" distR="0" wp14:anchorId="5F29D8E2" wp14:editId="003AAD2A">
            <wp:extent cx="5734050" cy="19907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1038" cy="1993151"/>
                    </a:xfrm>
                    <a:prstGeom prst="rect">
                      <a:avLst/>
                    </a:prstGeom>
                    <a:noFill/>
                    <a:ln>
                      <a:noFill/>
                    </a:ln>
                  </pic:spPr>
                </pic:pic>
              </a:graphicData>
            </a:graphic>
          </wp:inline>
        </w:drawing>
      </w:r>
    </w:p>
    <w:p w14:paraId="07DB6D9C" w14:textId="7E3063A1" w:rsidR="001B5CD8" w:rsidRDefault="001B5CD8" w:rsidP="001B5CD8">
      <w:pPr>
        <w:spacing w:line="480" w:lineRule="auto"/>
        <w:rPr>
          <w:lang w:val="en-US"/>
        </w:rPr>
      </w:pPr>
      <w:r>
        <w:rPr>
          <w:b/>
          <w:lang w:val="en-US"/>
        </w:rPr>
        <w:t>Supplementary F</w:t>
      </w:r>
      <w:r w:rsidRPr="00F33414">
        <w:rPr>
          <w:b/>
          <w:lang w:val="en-US"/>
        </w:rPr>
        <w:t>igure 1</w:t>
      </w:r>
      <w:r w:rsidRPr="00F33414">
        <w:rPr>
          <w:lang w:val="en-US"/>
        </w:rPr>
        <w:t>: Validation of single point intensities as measure</w:t>
      </w:r>
      <w:r>
        <w:rPr>
          <w:lang w:val="en-US"/>
        </w:rPr>
        <w:t>s</w:t>
      </w:r>
      <w:r w:rsidRPr="00F33414">
        <w:rPr>
          <w:lang w:val="en-US"/>
        </w:rPr>
        <w:t xml:space="preserve"> of </w:t>
      </w:r>
      <w:r w:rsidR="003E6881">
        <w:rPr>
          <w:lang w:val="en-US"/>
        </w:rPr>
        <w:t xml:space="preserve">marker of interest </w:t>
      </w:r>
      <w:r w:rsidRPr="00F33414">
        <w:rPr>
          <w:lang w:val="en-US"/>
        </w:rPr>
        <w:t>abundance</w:t>
      </w:r>
    </w:p>
    <w:p w14:paraId="0808B94A" w14:textId="427BFBA9" w:rsidR="001B5CD8" w:rsidRDefault="001B5CD8" w:rsidP="001B5CD8">
      <w:pPr>
        <w:spacing w:line="480" w:lineRule="auto"/>
        <w:rPr>
          <w:lang w:val="en-US"/>
        </w:rPr>
      </w:pPr>
      <w:r>
        <w:rPr>
          <w:lang w:val="en-US"/>
        </w:rPr>
        <w:t>10-point validation counting was carried out for cell membrane markers HLA-DR (</w:t>
      </w:r>
      <w:r w:rsidR="00EF0429">
        <w:rPr>
          <w:lang w:val="en-US"/>
        </w:rPr>
        <w:t>A</w:t>
      </w:r>
      <w:r>
        <w:rPr>
          <w:lang w:val="en-US"/>
        </w:rPr>
        <w:t>) and CD32 (</w:t>
      </w:r>
      <w:r w:rsidR="00EF0429">
        <w:rPr>
          <w:lang w:val="en-US"/>
        </w:rPr>
        <w:t>B</w:t>
      </w:r>
      <w:r>
        <w:rPr>
          <w:lang w:val="en-US"/>
        </w:rPr>
        <w:t>), and cytoplasmic marker CD74 (</w:t>
      </w:r>
      <w:r w:rsidR="00EF0429">
        <w:rPr>
          <w:lang w:val="en-US"/>
        </w:rPr>
        <w:t>C</w:t>
      </w:r>
      <w:r>
        <w:rPr>
          <w:lang w:val="en-US"/>
        </w:rPr>
        <w:t xml:space="preserve">). The original single measured point intensities were correlated with the mean point intensities from the 10-point validation using Pearson’s correlations. Point shown are mean point intensity </w:t>
      </w:r>
      <w:r>
        <w:rPr>
          <w:rFonts w:cs="Times New Roman"/>
          <w:lang w:val="en-US"/>
        </w:rPr>
        <w:t>±</w:t>
      </w:r>
      <w:r>
        <w:rPr>
          <w:lang w:val="en-US"/>
        </w:rPr>
        <w:t xml:space="preserve"> SD against single measured point intensity (n = 148). Abbreviation: PI, point intensity.</w:t>
      </w:r>
    </w:p>
    <w:p w14:paraId="59E1B769" w14:textId="2949B798" w:rsidR="001B5CD8" w:rsidRDefault="001B5CD8" w:rsidP="001B5CD8">
      <w:pPr>
        <w:spacing w:line="480" w:lineRule="auto"/>
        <w:rPr>
          <w:lang w:val="en-US"/>
        </w:rPr>
      </w:pPr>
    </w:p>
    <w:p w14:paraId="0C151505" w14:textId="10F88021" w:rsidR="00EB24CF" w:rsidRDefault="00EB24CF" w:rsidP="001B5CD8">
      <w:pPr>
        <w:spacing w:line="480" w:lineRule="auto"/>
        <w:rPr>
          <w:lang w:val="en-US"/>
        </w:rPr>
      </w:pPr>
    </w:p>
    <w:p w14:paraId="28582EC2" w14:textId="0E63EACE" w:rsidR="00EB24CF" w:rsidRDefault="00EB24CF" w:rsidP="00EB24CF">
      <w:pPr>
        <w:spacing w:line="480" w:lineRule="auto"/>
        <w:jc w:val="center"/>
        <w:rPr>
          <w:lang w:val="en-US"/>
        </w:rPr>
      </w:pPr>
      <w:r>
        <w:rPr>
          <w:noProof/>
          <w:lang w:val="en-IN" w:eastAsia="en-IN"/>
        </w:rPr>
        <w:drawing>
          <wp:inline distT="0" distB="0" distL="0" distR="0" wp14:anchorId="0ECE75C6" wp14:editId="524699D9">
            <wp:extent cx="5287057" cy="6957810"/>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287057" cy="6957810"/>
                    </a:xfrm>
                    <a:prstGeom prst="rect">
                      <a:avLst/>
                    </a:prstGeom>
                    <a:noFill/>
                    <a:ln>
                      <a:noFill/>
                    </a:ln>
                  </pic:spPr>
                </pic:pic>
              </a:graphicData>
            </a:graphic>
          </wp:inline>
        </w:drawing>
      </w:r>
    </w:p>
    <w:p w14:paraId="5E3268E4" w14:textId="623F26F6" w:rsidR="001B5CD8" w:rsidRDefault="001B5CD8" w:rsidP="001B5CD8">
      <w:pPr>
        <w:spacing w:line="480" w:lineRule="auto"/>
        <w:rPr>
          <w:rFonts w:cstheme="minorHAnsi"/>
          <w:lang w:val="en-US"/>
        </w:rPr>
      </w:pPr>
      <w:r>
        <w:rPr>
          <w:rFonts w:cstheme="minorHAnsi"/>
          <w:b/>
          <w:lang w:val="en-US"/>
        </w:rPr>
        <w:t>Supplementary F</w:t>
      </w:r>
      <w:r w:rsidRPr="00FF5E94">
        <w:rPr>
          <w:rFonts w:cstheme="minorHAnsi"/>
          <w:b/>
          <w:lang w:val="en-US"/>
        </w:rPr>
        <w:t xml:space="preserve">igure </w:t>
      </w:r>
      <w:r>
        <w:rPr>
          <w:rFonts w:cstheme="minorHAnsi"/>
          <w:b/>
          <w:lang w:val="en-US"/>
        </w:rPr>
        <w:t>2</w:t>
      </w:r>
      <w:r>
        <w:rPr>
          <w:rFonts w:cstheme="minorHAnsi"/>
          <w:lang w:val="en-US"/>
        </w:rPr>
        <w:t xml:space="preserve">: Correlations of </w:t>
      </w:r>
      <w:r w:rsidR="002D6C53">
        <w:rPr>
          <w:rFonts w:cstheme="minorHAnsi"/>
          <w:lang w:val="en-US"/>
        </w:rPr>
        <w:t>marker of interest</w:t>
      </w:r>
      <w:r>
        <w:rPr>
          <w:rFonts w:cstheme="minorHAnsi"/>
          <w:lang w:val="en-US"/>
        </w:rPr>
        <w:t xml:space="preserve"> abundances with age and post-mortem delay</w:t>
      </w:r>
    </w:p>
    <w:p w14:paraId="4EEEE4B8" w14:textId="7E9C5E31" w:rsidR="001B5CD8" w:rsidRDefault="001B5CD8" w:rsidP="001B5CD8">
      <w:pPr>
        <w:spacing w:line="480" w:lineRule="auto"/>
        <w:rPr>
          <w:rFonts w:cstheme="minorHAnsi"/>
          <w:lang w:val="en-US"/>
        </w:rPr>
      </w:pPr>
      <w:r w:rsidRPr="00917E55">
        <w:rPr>
          <w:lang w:val="en-US"/>
        </w:rPr>
        <w:t xml:space="preserve">Iba1-positive cells were manually counted </w:t>
      </w:r>
      <w:r>
        <w:rPr>
          <w:lang w:val="en-US"/>
        </w:rPr>
        <w:t xml:space="preserve">in the human middle temporal gyrus </w:t>
      </w:r>
      <w:r w:rsidRPr="00917E55">
        <w:rPr>
          <w:lang w:val="en-US"/>
        </w:rPr>
        <w:t>and the proportion immunoreactive for</w:t>
      </w:r>
      <w:r>
        <w:rPr>
          <w:lang w:val="en-US"/>
        </w:rPr>
        <w:t xml:space="preserve"> MOIs</w:t>
      </w:r>
      <w:r w:rsidRPr="00917E55">
        <w:rPr>
          <w:lang w:val="en-US"/>
        </w:rPr>
        <w:t xml:space="preserve"> was determined. </w:t>
      </w:r>
      <w:r>
        <w:rPr>
          <w:lang w:val="en-US"/>
        </w:rPr>
        <w:t xml:space="preserve">The number of </w:t>
      </w:r>
      <w:r w:rsidRPr="00FF5E94">
        <w:rPr>
          <w:lang w:val="en-US"/>
        </w:rPr>
        <w:t>P2RY12 (</w:t>
      </w:r>
      <w:r w:rsidR="00EF0429">
        <w:rPr>
          <w:lang w:val="en-US"/>
        </w:rPr>
        <w:t>A</w:t>
      </w:r>
      <w:r w:rsidRPr="00FF5E94">
        <w:rPr>
          <w:lang w:val="en-US"/>
        </w:rPr>
        <w:t>), TMEM119 (</w:t>
      </w:r>
      <w:r w:rsidR="00EF0429">
        <w:rPr>
          <w:lang w:val="en-US"/>
        </w:rPr>
        <w:t>B</w:t>
      </w:r>
      <w:r w:rsidRPr="00FF5E94">
        <w:rPr>
          <w:lang w:val="en-US"/>
        </w:rPr>
        <w:t>), HLA</w:t>
      </w:r>
      <w:r>
        <w:rPr>
          <w:lang w:val="en-US"/>
        </w:rPr>
        <w:t>-DR (</w:t>
      </w:r>
      <w:r w:rsidR="00EF0429">
        <w:rPr>
          <w:lang w:val="en-US"/>
        </w:rPr>
        <w:t>C</w:t>
      </w:r>
      <w:r>
        <w:rPr>
          <w:lang w:val="en-US"/>
        </w:rPr>
        <w:t>), CD74 (</w:t>
      </w:r>
      <w:r w:rsidR="00EF0429">
        <w:rPr>
          <w:lang w:val="en-US"/>
        </w:rPr>
        <w:t>D</w:t>
      </w:r>
      <w:r>
        <w:rPr>
          <w:lang w:val="en-US"/>
        </w:rPr>
        <w:t>), CD206 (</w:t>
      </w:r>
      <w:r w:rsidR="00EF0429">
        <w:rPr>
          <w:lang w:val="en-US"/>
        </w:rPr>
        <w:t>E</w:t>
      </w:r>
      <w:r>
        <w:rPr>
          <w:lang w:val="en-US"/>
        </w:rPr>
        <w:t>), CD32 (</w:t>
      </w:r>
      <w:r w:rsidR="00EF0429">
        <w:rPr>
          <w:lang w:val="en-US"/>
        </w:rPr>
        <w:t>F</w:t>
      </w:r>
      <w:r>
        <w:rPr>
          <w:lang w:val="en-US"/>
        </w:rPr>
        <w:t>), CD163 (</w:t>
      </w:r>
      <w:r w:rsidR="00EF0429">
        <w:rPr>
          <w:lang w:val="en-US"/>
        </w:rPr>
        <w:t>G</w:t>
      </w:r>
      <w:r>
        <w:rPr>
          <w:lang w:val="en-US"/>
        </w:rPr>
        <w:t>), and L-Ferritin (</w:t>
      </w:r>
      <w:r w:rsidR="00EF0429">
        <w:rPr>
          <w:lang w:val="en-US"/>
        </w:rPr>
        <w:t>H</w:t>
      </w:r>
      <w:r>
        <w:rPr>
          <w:lang w:val="en-US"/>
        </w:rPr>
        <w:t xml:space="preserve">)-positive cells (as a percentage of total Iba1-positive cells) in GM and WM were correlated with case age and post-mortem delay using Pearson’s correlations. Each data point shown represents a single case (total n = 6). Abbreviations: GM, grey matter; PMD, post-mortem delay; WM, white matter.  </w:t>
      </w:r>
    </w:p>
    <w:p w14:paraId="6098C455" w14:textId="033D63F8" w:rsidR="00EB24CF" w:rsidRDefault="00EB24CF">
      <w:pPr>
        <w:spacing w:line="276" w:lineRule="auto"/>
        <w:rPr>
          <w:b/>
          <w:lang w:val="en-US"/>
        </w:rPr>
      </w:pPr>
      <w:r>
        <w:rPr>
          <w:b/>
          <w:lang w:val="en-US"/>
        </w:rPr>
        <w:br w:type="page"/>
      </w:r>
    </w:p>
    <w:p w14:paraId="0C634E16" w14:textId="1881E028" w:rsidR="00EB24CF" w:rsidRDefault="00EB24CF" w:rsidP="00EB24CF">
      <w:pPr>
        <w:spacing w:line="276" w:lineRule="auto"/>
        <w:jc w:val="center"/>
        <w:rPr>
          <w:b/>
          <w:lang w:val="en-US"/>
        </w:rPr>
      </w:pPr>
      <w:r>
        <w:rPr>
          <w:b/>
          <w:noProof/>
          <w:lang w:val="en-IN" w:eastAsia="en-IN"/>
        </w:rPr>
        <w:drawing>
          <wp:inline distT="0" distB="0" distL="0" distR="0" wp14:anchorId="10D83DB1" wp14:editId="478C19F7">
            <wp:extent cx="5145697" cy="655782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145697" cy="6557821"/>
                    </a:xfrm>
                    <a:prstGeom prst="rect">
                      <a:avLst/>
                    </a:prstGeom>
                    <a:noFill/>
                    <a:ln>
                      <a:noFill/>
                    </a:ln>
                  </pic:spPr>
                </pic:pic>
              </a:graphicData>
            </a:graphic>
          </wp:inline>
        </w:drawing>
      </w:r>
    </w:p>
    <w:p w14:paraId="50A97ED4" w14:textId="4F6916FD" w:rsidR="00C25B9D" w:rsidRDefault="00C25B9D" w:rsidP="00C25B9D">
      <w:pPr>
        <w:spacing w:line="480" w:lineRule="auto"/>
        <w:jc w:val="both"/>
        <w:rPr>
          <w:lang w:val="en-US"/>
        </w:rPr>
      </w:pPr>
      <w:r>
        <w:rPr>
          <w:b/>
          <w:lang w:val="en-US"/>
        </w:rPr>
        <w:t>Supplementary Figure 3</w:t>
      </w:r>
      <w:r>
        <w:rPr>
          <w:lang w:val="en-US"/>
        </w:rPr>
        <w:t xml:space="preserve">: Correlation analysis of top ten percent of </w:t>
      </w:r>
      <w:r w:rsidR="002D6C53">
        <w:rPr>
          <w:lang w:val="en-US"/>
        </w:rPr>
        <w:t>marker of interest</w:t>
      </w:r>
      <w:r>
        <w:rPr>
          <w:lang w:val="en-US"/>
        </w:rPr>
        <w:t xml:space="preserve"> and HLA-DR point intensities.</w:t>
      </w:r>
    </w:p>
    <w:p w14:paraId="11735ABE" w14:textId="0F59DCA6" w:rsidR="00C25B9D" w:rsidRPr="009B7DA9" w:rsidRDefault="00C25B9D" w:rsidP="00C25B9D">
      <w:pPr>
        <w:spacing w:line="480" w:lineRule="auto"/>
        <w:jc w:val="both"/>
        <w:rPr>
          <w:lang w:val="en-US"/>
        </w:rPr>
      </w:pPr>
      <w:r w:rsidRPr="009B7DA9">
        <w:rPr>
          <w:lang w:val="en-US"/>
        </w:rPr>
        <w:t>One MOI was co-labelled with HLA-DR</w:t>
      </w:r>
      <w:r w:rsidR="002D6C53">
        <w:rPr>
          <w:lang w:val="en-US"/>
        </w:rPr>
        <w:t xml:space="preserve"> </w:t>
      </w:r>
      <w:r w:rsidRPr="009B7DA9">
        <w:rPr>
          <w:lang w:val="en-US"/>
        </w:rPr>
        <w:t>and pan myeloid cell marker, Iba1, in 10-</w:t>
      </w:r>
      <w:r w:rsidRPr="009B7DA9">
        <w:rPr>
          <w:rFonts w:cstheme="minorHAnsi"/>
          <w:lang w:val="en-US"/>
        </w:rPr>
        <w:t>µ</w:t>
      </w:r>
      <w:r w:rsidRPr="009B7DA9">
        <w:rPr>
          <w:lang w:val="en-US"/>
        </w:rPr>
        <w:t xml:space="preserve">m thick normal human </w:t>
      </w:r>
      <w:r>
        <w:rPr>
          <w:lang w:val="en-US"/>
        </w:rPr>
        <w:t>middle temporal gyrus</w:t>
      </w:r>
      <w:r w:rsidRPr="009B7DA9">
        <w:rPr>
          <w:lang w:val="en-US"/>
        </w:rPr>
        <w:t xml:space="preserve"> sections. Iba1-positive cells in the grey matter were manually counted and the point intensities of the MOI and HLA-DR were measured. All Iba1-positive cell HLA-DR and MOI </w:t>
      </w:r>
      <w:r>
        <w:rPr>
          <w:lang w:val="en-US"/>
        </w:rPr>
        <w:t>point intensitie</w:t>
      </w:r>
      <w:r w:rsidRPr="009B7DA9">
        <w:rPr>
          <w:lang w:val="en-US"/>
        </w:rPr>
        <w:t xml:space="preserve">s were pooled from all cases </w:t>
      </w:r>
      <w:r>
        <w:rPr>
          <w:lang w:val="en-US"/>
        </w:rPr>
        <w:t>(n = 6). Pearson’s correlations were carried out between the point intensities of P2RY12 (</w:t>
      </w:r>
      <w:r w:rsidR="00EF0429">
        <w:rPr>
          <w:lang w:val="en-US"/>
        </w:rPr>
        <w:t>A</w:t>
      </w:r>
      <w:r>
        <w:rPr>
          <w:lang w:val="en-US"/>
        </w:rPr>
        <w:t>), TMEM119 (</w:t>
      </w:r>
      <w:r w:rsidR="00EF0429">
        <w:rPr>
          <w:lang w:val="en-US"/>
        </w:rPr>
        <w:t>B</w:t>
      </w:r>
      <w:r>
        <w:rPr>
          <w:lang w:val="en-US"/>
        </w:rPr>
        <w:t>), CD74 (</w:t>
      </w:r>
      <w:r w:rsidR="00EF0429">
        <w:rPr>
          <w:lang w:val="en-US"/>
        </w:rPr>
        <w:t>C</w:t>
      </w:r>
      <w:r>
        <w:rPr>
          <w:lang w:val="en-US"/>
        </w:rPr>
        <w:t>), CD206 (</w:t>
      </w:r>
      <w:r w:rsidR="00EF0429">
        <w:rPr>
          <w:lang w:val="en-US"/>
        </w:rPr>
        <w:t>D</w:t>
      </w:r>
      <w:r>
        <w:rPr>
          <w:lang w:val="en-US"/>
        </w:rPr>
        <w:t>), CD32 (</w:t>
      </w:r>
      <w:r w:rsidR="00EF0429">
        <w:rPr>
          <w:lang w:val="en-US"/>
        </w:rPr>
        <w:t>E</w:t>
      </w:r>
      <w:r>
        <w:rPr>
          <w:lang w:val="en-US"/>
        </w:rPr>
        <w:t>), CD163 (</w:t>
      </w:r>
      <w:r w:rsidR="00EF0429">
        <w:rPr>
          <w:lang w:val="en-US"/>
        </w:rPr>
        <w:t>F</w:t>
      </w:r>
      <w:r>
        <w:rPr>
          <w:lang w:val="en-US"/>
        </w:rPr>
        <w:t>), or L-Ferritin (</w:t>
      </w:r>
      <w:r w:rsidR="00EF0429">
        <w:rPr>
          <w:lang w:val="en-US"/>
        </w:rPr>
        <w:t>G</w:t>
      </w:r>
      <w:r>
        <w:rPr>
          <w:lang w:val="en-US"/>
        </w:rPr>
        <w:t xml:space="preserve">) and HLA-DR with only the top ten percent of HLA-DR or MOI point intensities. Abbreviation: PI; point intensity. </w:t>
      </w:r>
    </w:p>
    <w:p w14:paraId="576FB762" w14:textId="77777777" w:rsidR="00C25B9D" w:rsidRPr="005F6917" w:rsidRDefault="00C25B9D" w:rsidP="00A92EA9">
      <w:pPr>
        <w:spacing w:line="276" w:lineRule="auto"/>
        <w:rPr>
          <w:b/>
          <w:lang w:val="en-US"/>
        </w:rPr>
      </w:pPr>
    </w:p>
    <w:sectPr w:rsidR="00C25B9D" w:rsidRPr="005F6917" w:rsidSect="00545469">
      <w:footerReference w:type="defaul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24C10" w14:textId="77777777" w:rsidR="00667179" w:rsidRDefault="00667179" w:rsidP="00B17641">
      <w:pPr>
        <w:spacing w:after="0" w:line="240" w:lineRule="auto"/>
      </w:pPr>
      <w:r>
        <w:separator/>
      </w:r>
    </w:p>
  </w:endnote>
  <w:endnote w:type="continuationSeparator" w:id="0">
    <w:p w14:paraId="2BCC6860" w14:textId="77777777" w:rsidR="00667179" w:rsidRDefault="00667179" w:rsidP="00B17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5123109"/>
      <w:docPartObj>
        <w:docPartGallery w:val="Page Numbers (Bottom of Page)"/>
        <w:docPartUnique/>
      </w:docPartObj>
    </w:sdtPr>
    <w:sdtEndPr>
      <w:rPr>
        <w:noProof/>
      </w:rPr>
    </w:sdtEndPr>
    <w:sdtContent>
      <w:p w14:paraId="658FBBE2" w14:textId="77777777" w:rsidR="00ED7A9C" w:rsidRDefault="00ED7A9C">
        <w:pPr>
          <w:pStyle w:val="Footer"/>
          <w:jc w:val="center"/>
        </w:pPr>
        <w:r>
          <w:fldChar w:fldCharType="begin"/>
        </w:r>
        <w:r>
          <w:instrText xml:space="preserve"> PAGE   \* MERGEFORMAT </w:instrText>
        </w:r>
        <w:r>
          <w:fldChar w:fldCharType="separate"/>
        </w:r>
        <w:r w:rsidR="00545469">
          <w:rPr>
            <w:noProof/>
          </w:rPr>
          <w:t>1</w:t>
        </w:r>
        <w:r>
          <w:rPr>
            <w:noProof/>
          </w:rPr>
          <w:fldChar w:fldCharType="end"/>
        </w:r>
      </w:p>
    </w:sdtContent>
  </w:sdt>
  <w:p w14:paraId="5627C237" w14:textId="77777777" w:rsidR="00ED7A9C" w:rsidRDefault="00ED7A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56AEC" w14:textId="77777777" w:rsidR="00667179" w:rsidRDefault="00667179" w:rsidP="00B17641">
      <w:pPr>
        <w:spacing w:after="0" w:line="240" w:lineRule="auto"/>
      </w:pPr>
      <w:r>
        <w:separator/>
      </w:r>
    </w:p>
  </w:footnote>
  <w:footnote w:type="continuationSeparator" w:id="0">
    <w:p w14:paraId="6D764B1E" w14:textId="77777777" w:rsidR="00667179" w:rsidRDefault="00667179" w:rsidP="00B176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B34BB"/>
    <w:multiLevelType w:val="hybridMultilevel"/>
    <w:tmpl w:val="66B837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5201ADD"/>
    <w:multiLevelType w:val="hybridMultilevel"/>
    <w:tmpl w:val="A0927792"/>
    <w:lvl w:ilvl="0" w:tplc="83D64454">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1526198B"/>
    <w:multiLevelType w:val="hybridMultilevel"/>
    <w:tmpl w:val="4D52B5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205758FE"/>
    <w:multiLevelType w:val="hybridMultilevel"/>
    <w:tmpl w:val="87A8D7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2BDA047B"/>
    <w:multiLevelType w:val="hybridMultilevel"/>
    <w:tmpl w:val="3358171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32477C92"/>
    <w:multiLevelType w:val="hybridMultilevel"/>
    <w:tmpl w:val="63AAF9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3806703E"/>
    <w:multiLevelType w:val="hybridMultilevel"/>
    <w:tmpl w:val="B6BAA14C"/>
    <w:lvl w:ilvl="0" w:tplc="BF4E9716">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3B6C51F9"/>
    <w:multiLevelType w:val="hybridMultilevel"/>
    <w:tmpl w:val="2C9A7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F5075D"/>
    <w:multiLevelType w:val="hybridMultilevel"/>
    <w:tmpl w:val="F984DCDE"/>
    <w:lvl w:ilvl="0" w:tplc="2D22EA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2C3082"/>
    <w:multiLevelType w:val="hybridMultilevel"/>
    <w:tmpl w:val="3D3C89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5AFE1DE7"/>
    <w:multiLevelType w:val="hybridMultilevel"/>
    <w:tmpl w:val="B6B6E6F2"/>
    <w:lvl w:ilvl="0" w:tplc="BF5468FA">
      <w:numFmt w:val="bullet"/>
      <w:lvlText w:val="-"/>
      <w:lvlJc w:val="left"/>
      <w:pPr>
        <w:ind w:left="720" w:hanging="360"/>
      </w:pPr>
      <w:rPr>
        <w:rFonts w:ascii="Times New Roman" w:eastAsiaTheme="minorEastAsia"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nsid w:val="6AB03C0A"/>
    <w:multiLevelType w:val="hybridMultilevel"/>
    <w:tmpl w:val="E1A2B2DC"/>
    <w:lvl w:ilvl="0" w:tplc="9652383C">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76055DAC"/>
    <w:multiLevelType w:val="hybridMultilevel"/>
    <w:tmpl w:val="986609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76160230"/>
    <w:multiLevelType w:val="hybridMultilevel"/>
    <w:tmpl w:val="3A6467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9"/>
  </w:num>
  <w:num w:numId="5">
    <w:abstractNumId w:val="13"/>
  </w:num>
  <w:num w:numId="6">
    <w:abstractNumId w:val="3"/>
  </w:num>
  <w:num w:numId="7">
    <w:abstractNumId w:val="12"/>
  </w:num>
  <w:num w:numId="8">
    <w:abstractNumId w:val="4"/>
  </w:num>
  <w:num w:numId="9">
    <w:abstractNumId w:val="7"/>
  </w:num>
  <w:num w:numId="10">
    <w:abstractNumId w:val="11"/>
  </w:num>
  <w:num w:numId="11">
    <w:abstractNumId w:val="6"/>
  </w:num>
  <w:num w:numId="12">
    <w:abstractNumId w:val="1"/>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ewMDIyN7MwszA2tDRW0lEKTi0uzszPAykwrgUAw79IfSwAAAA="/>
  </w:docVars>
  <w:rsids>
    <w:rsidRoot w:val="00735280"/>
    <w:rsid w:val="00001F15"/>
    <w:rsid w:val="000034C5"/>
    <w:rsid w:val="000057C0"/>
    <w:rsid w:val="00005DBA"/>
    <w:rsid w:val="0001682E"/>
    <w:rsid w:val="00023ACA"/>
    <w:rsid w:val="0002517A"/>
    <w:rsid w:val="00030B08"/>
    <w:rsid w:val="00034AB2"/>
    <w:rsid w:val="000355FB"/>
    <w:rsid w:val="0004206D"/>
    <w:rsid w:val="00043C6B"/>
    <w:rsid w:val="0005136F"/>
    <w:rsid w:val="00052384"/>
    <w:rsid w:val="00054E9E"/>
    <w:rsid w:val="00056443"/>
    <w:rsid w:val="00056FA5"/>
    <w:rsid w:val="00060B8B"/>
    <w:rsid w:val="00063891"/>
    <w:rsid w:val="000643AD"/>
    <w:rsid w:val="00065459"/>
    <w:rsid w:val="00070820"/>
    <w:rsid w:val="00072715"/>
    <w:rsid w:val="00080617"/>
    <w:rsid w:val="00082979"/>
    <w:rsid w:val="00093281"/>
    <w:rsid w:val="000933FA"/>
    <w:rsid w:val="00095F98"/>
    <w:rsid w:val="000A0E1B"/>
    <w:rsid w:val="000A1190"/>
    <w:rsid w:val="000A5266"/>
    <w:rsid w:val="000A64E7"/>
    <w:rsid w:val="000A65EB"/>
    <w:rsid w:val="000A795C"/>
    <w:rsid w:val="000B07B8"/>
    <w:rsid w:val="000B095E"/>
    <w:rsid w:val="000B0D2C"/>
    <w:rsid w:val="000B59CF"/>
    <w:rsid w:val="000B66E9"/>
    <w:rsid w:val="000B6FD1"/>
    <w:rsid w:val="000C05C8"/>
    <w:rsid w:val="000C224C"/>
    <w:rsid w:val="000C5F91"/>
    <w:rsid w:val="000C76E3"/>
    <w:rsid w:val="000C7B84"/>
    <w:rsid w:val="000D11A4"/>
    <w:rsid w:val="000D24B5"/>
    <w:rsid w:val="000D5326"/>
    <w:rsid w:val="000E42BE"/>
    <w:rsid w:val="000F201A"/>
    <w:rsid w:val="000F2710"/>
    <w:rsid w:val="000F2D72"/>
    <w:rsid w:val="000F76ED"/>
    <w:rsid w:val="001014E6"/>
    <w:rsid w:val="0010318D"/>
    <w:rsid w:val="00105AFA"/>
    <w:rsid w:val="001107C5"/>
    <w:rsid w:val="00117FFA"/>
    <w:rsid w:val="00124D04"/>
    <w:rsid w:val="00125A02"/>
    <w:rsid w:val="0013092F"/>
    <w:rsid w:val="0013136F"/>
    <w:rsid w:val="00142848"/>
    <w:rsid w:val="00143B87"/>
    <w:rsid w:val="0014474B"/>
    <w:rsid w:val="001452F3"/>
    <w:rsid w:val="00147505"/>
    <w:rsid w:val="00152094"/>
    <w:rsid w:val="00153FF2"/>
    <w:rsid w:val="001559FB"/>
    <w:rsid w:val="00160B03"/>
    <w:rsid w:val="00165E21"/>
    <w:rsid w:val="00170D70"/>
    <w:rsid w:val="00171F05"/>
    <w:rsid w:val="00173A9B"/>
    <w:rsid w:val="0017471D"/>
    <w:rsid w:val="00176F3C"/>
    <w:rsid w:val="00177D5C"/>
    <w:rsid w:val="00180B09"/>
    <w:rsid w:val="001831A9"/>
    <w:rsid w:val="00184903"/>
    <w:rsid w:val="00185B4B"/>
    <w:rsid w:val="001878C0"/>
    <w:rsid w:val="00190FBB"/>
    <w:rsid w:val="00191EE5"/>
    <w:rsid w:val="001930A8"/>
    <w:rsid w:val="001A361F"/>
    <w:rsid w:val="001A46E1"/>
    <w:rsid w:val="001A508A"/>
    <w:rsid w:val="001A579A"/>
    <w:rsid w:val="001A6224"/>
    <w:rsid w:val="001B43F2"/>
    <w:rsid w:val="001B55B3"/>
    <w:rsid w:val="001B5956"/>
    <w:rsid w:val="001B5CD8"/>
    <w:rsid w:val="001C3626"/>
    <w:rsid w:val="001C4F5C"/>
    <w:rsid w:val="001C6E9B"/>
    <w:rsid w:val="001D089A"/>
    <w:rsid w:val="001D1780"/>
    <w:rsid w:val="001D434B"/>
    <w:rsid w:val="001D4590"/>
    <w:rsid w:val="001D4F04"/>
    <w:rsid w:val="001E0AAB"/>
    <w:rsid w:val="001E1F22"/>
    <w:rsid w:val="001E23B0"/>
    <w:rsid w:val="001E24E6"/>
    <w:rsid w:val="001E432B"/>
    <w:rsid w:val="001E4BA5"/>
    <w:rsid w:val="001E5F27"/>
    <w:rsid w:val="001F3ACB"/>
    <w:rsid w:val="001F3F1B"/>
    <w:rsid w:val="001F7EFD"/>
    <w:rsid w:val="002011F4"/>
    <w:rsid w:val="00201EFA"/>
    <w:rsid w:val="002031AC"/>
    <w:rsid w:val="00206066"/>
    <w:rsid w:val="0020658E"/>
    <w:rsid w:val="00207C39"/>
    <w:rsid w:val="00211DA2"/>
    <w:rsid w:val="002143CB"/>
    <w:rsid w:val="0021597E"/>
    <w:rsid w:val="00220C7D"/>
    <w:rsid w:val="00223105"/>
    <w:rsid w:val="00225393"/>
    <w:rsid w:val="002257E3"/>
    <w:rsid w:val="00230C82"/>
    <w:rsid w:val="00233BA5"/>
    <w:rsid w:val="00237026"/>
    <w:rsid w:val="00237E30"/>
    <w:rsid w:val="00243D26"/>
    <w:rsid w:val="00246E9C"/>
    <w:rsid w:val="002529CF"/>
    <w:rsid w:val="00253DD3"/>
    <w:rsid w:val="00261238"/>
    <w:rsid w:val="00270666"/>
    <w:rsid w:val="002719EB"/>
    <w:rsid w:val="0027572F"/>
    <w:rsid w:val="002760E2"/>
    <w:rsid w:val="00277B80"/>
    <w:rsid w:val="002812C3"/>
    <w:rsid w:val="0028157D"/>
    <w:rsid w:val="00283500"/>
    <w:rsid w:val="002878EB"/>
    <w:rsid w:val="00287F4F"/>
    <w:rsid w:val="0029258F"/>
    <w:rsid w:val="00292CBC"/>
    <w:rsid w:val="0029380F"/>
    <w:rsid w:val="00294A8E"/>
    <w:rsid w:val="00295909"/>
    <w:rsid w:val="00296270"/>
    <w:rsid w:val="002A0459"/>
    <w:rsid w:val="002A11DF"/>
    <w:rsid w:val="002A1F78"/>
    <w:rsid w:val="002A5E4A"/>
    <w:rsid w:val="002A77DF"/>
    <w:rsid w:val="002B0FCA"/>
    <w:rsid w:val="002B4AAC"/>
    <w:rsid w:val="002B4EF5"/>
    <w:rsid w:val="002B5D51"/>
    <w:rsid w:val="002B69E3"/>
    <w:rsid w:val="002C1CF3"/>
    <w:rsid w:val="002C2A3E"/>
    <w:rsid w:val="002C2D78"/>
    <w:rsid w:val="002C4E03"/>
    <w:rsid w:val="002C5C57"/>
    <w:rsid w:val="002D368F"/>
    <w:rsid w:val="002D3DC6"/>
    <w:rsid w:val="002D3EE3"/>
    <w:rsid w:val="002D4107"/>
    <w:rsid w:val="002D58D7"/>
    <w:rsid w:val="002D6C53"/>
    <w:rsid w:val="002E3844"/>
    <w:rsid w:val="002E491C"/>
    <w:rsid w:val="002E58E6"/>
    <w:rsid w:val="002F139C"/>
    <w:rsid w:val="002F38D8"/>
    <w:rsid w:val="002F7653"/>
    <w:rsid w:val="00303336"/>
    <w:rsid w:val="0030719B"/>
    <w:rsid w:val="00310C08"/>
    <w:rsid w:val="00313536"/>
    <w:rsid w:val="00315FFC"/>
    <w:rsid w:val="003245BC"/>
    <w:rsid w:val="00325CF9"/>
    <w:rsid w:val="00326DBB"/>
    <w:rsid w:val="00334521"/>
    <w:rsid w:val="00334F17"/>
    <w:rsid w:val="003366EC"/>
    <w:rsid w:val="0033776E"/>
    <w:rsid w:val="003418BA"/>
    <w:rsid w:val="00344CA2"/>
    <w:rsid w:val="00345A3C"/>
    <w:rsid w:val="003569C9"/>
    <w:rsid w:val="00360282"/>
    <w:rsid w:val="00363C8E"/>
    <w:rsid w:val="0036518A"/>
    <w:rsid w:val="00371857"/>
    <w:rsid w:val="00373719"/>
    <w:rsid w:val="00380890"/>
    <w:rsid w:val="00384D51"/>
    <w:rsid w:val="003850BC"/>
    <w:rsid w:val="00391052"/>
    <w:rsid w:val="00392B49"/>
    <w:rsid w:val="003953DE"/>
    <w:rsid w:val="003960C6"/>
    <w:rsid w:val="00397BDE"/>
    <w:rsid w:val="003A02CD"/>
    <w:rsid w:val="003A3F2C"/>
    <w:rsid w:val="003A42F8"/>
    <w:rsid w:val="003B0C91"/>
    <w:rsid w:val="003B1177"/>
    <w:rsid w:val="003B2693"/>
    <w:rsid w:val="003B2EE4"/>
    <w:rsid w:val="003B3A37"/>
    <w:rsid w:val="003B4933"/>
    <w:rsid w:val="003B552C"/>
    <w:rsid w:val="003B6786"/>
    <w:rsid w:val="003C292F"/>
    <w:rsid w:val="003C2C41"/>
    <w:rsid w:val="003C404F"/>
    <w:rsid w:val="003C5827"/>
    <w:rsid w:val="003C71E9"/>
    <w:rsid w:val="003C7358"/>
    <w:rsid w:val="003D543F"/>
    <w:rsid w:val="003D5A17"/>
    <w:rsid w:val="003D60ED"/>
    <w:rsid w:val="003E1601"/>
    <w:rsid w:val="003E1B04"/>
    <w:rsid w:val="003E30A0"/>
    <w:rsid w:val="003E44BD"/>
    <w:rsid w:val="003E6881"/>
    <w:rsid w:val="003F2D39"/>
    <w:rsid w:val="003F329F"/>
    <w:rsid w:val="004025AB"/>
    <w:rsid w:val="004043E9"/>
    <w:rsid w:val="0040497C"/>
    <w:rsid w:val="00404A44"/>
    <w:rsid w:val="00407944"/>
    <w:rsid w:val="0041266D"/>
    <w:rsid w:val="0041419D"/>
    <w:rsid w:val="00415328"/>
    <w:rsid w:val="00421945"/>
    <w:rsid w:val="004231B5"/>
    <w:rsid w:val="00423A7A"/>
    <w:rsid w:val="00430702"/>
    <w:rsid w:val="00433D3C"/>
    <w:rsid w:val="00437794"/>
    <w:rsid w:val="00437A47"/>
    <w:rsid w:val="004433B9"/>
    <w:rsid w:val="0044576A"/>
    <w:rsid w:val="0045097D"/>
    <w:rsid w:val="00452F69"/>
    <w:rsid w:val="0045634B"/>
    <w:rsid w:val="00457177"/>
    <w:rsid w:val="00457CAC"/>
    <w:rsid w:val="00462638"/>
    <w:rsid w:val="00462FF9"/>
    <w:rsid w:val="004637DD"/>
    <w:rsid w:val="0046409B"/>
    <w:rsid w:val="0046682E"/>
    <w:rsid w:val="0047069D"/>
    <w:rsid w:val="00470D6F"/>
    <w:rsid w:val="00470FE3"/>
    <w:rsid w:val="00471753"/>
    <w:rsid w:val="0047176D"/>
    <w:rsid w:val="00474F78"/>
    <w:rsid w:val="004750AB"/>
    <w:rsid w:val="004768DD"/>
    <w:rsid w:val="0047715A"/>
    <w:rsid w:val="0048126E"/>
    <w:rsid w:val="004837E8"/>
    <w:rsid w:val="00483AD2"/>
    <w:rsid w:val="0048499E"/>
    <w:rsid w:val="00485CE1"/>
    <w:rsid w:val="00486231"/>
    <w:rsid w:val="00486709"/>
    <w:rsid w:val="004874B2"/>
    <w:rsid w:val="004877E8"/>
    <w:rsid w:val="00490CAC"/>
    <w:rsid w:val="00490F7E"/>
    <w:rsid w:val="0049202C"/>
    <w:rsid w:val="00493053"/>
    <w:rsid w:val="004950CA"/>
    <w:rsid w:val="00497DC2"/>
    <w:rsid w:val="004A111E"/>
    <w:rsid w:val="004A335B"/>
    <w:rsid w:val="004A38F6"/>
    <w:rsid w:val="004A6920"/>
    <w:rsid w:val="004B353B"/>
    <w:rsid w:val="004C19C2"/>
    <w:rsid w:val="004C3131"/>
    <w:rsid w:val="004D7B09"/>
    <w:rsid w:val="004F7AFA"/>
    <w:rsid w:val="004F7E03"/>
    <w:rsid w:val="005016A8"/>
    <w:rsid w:val="005077B2"/>
    <w:rsid w:val="005078A6"/>
    <w:rsid w:val="00510DB1"/>
    <w:rsid w:val="005131CC"/>
    <w:rsid w:val="00513963"/>
    <w:rsid w:val="00515965"/>
    <w:rsid w:val="00515F42"/>
    <w:rsid w:val="00520F8E"/>
    <w:rsid w:val="00521D61"/>
    <w:rsid w:val="005226D4"/>
    <w:rsid w:val="005266E3"/>
    <w:rsid w:val="005310CE"/>
    <w:rsid w:val="0053169D"/>
    <w:rsid w:val="005318EA"/>
    <w:rsid w:val="005334B7"/>
    <w:rsid w:val="0053476E"/>
    <w:rsid w:val="00534DE7"/>
    <w:rsid w:val="00535005"/>
    <w:rsid w:val="00536FA4"/>
    <w:rsid w:val="00540CB4"/>
    <w:rsid w:val="00544020"/>
    <w:rsid w:val="00545469"/>
    <w:rsid w:val="00551E61"/>
    <w:rsid w:val="005529D3"/>
    <w:rsid w:val="0055461F"/>
    <w:rsid w:val="005604F6"/>
    <w:rsid w:val="005624FD"/>
    <w:rsid w:val="00564413"/>
    <w:rsid w:val="00564566"/>
    <w:rsid w:val="005714D3"/>
    <w:rsid w:val="005738A6"/>
    <w:rsid w:val="00576B4D"/>
    <w:rsid w:val="00576DDD"/>
    <w:rsid w:val="005839C3"/>
    <w:rsid w:val="00585325"/>
    <w:rsid w:val="00587EBB"/>
    <w:rsid w:val="00590FCC"/>
    <w:rsid w:val="005952DA"/>
    <w:rsid w:val="005971A7"/>
    <w:rsid w:val="005A0F26"/>
    <w:rsid w:val="005A11E4"/>
    <w:rsid w:val="005A7BE4"/>
    <w:rsid w:val="005B2DA4"/>
    <w:rsid w:val="005B3FD8"/>
    <w:rsid w:val="005B50DA"/>
    <w:rsid w:val="005B6394"/>
    <w:rsid w:val="005B651F"/>
    <w:rsid w:val="005D15A0"/>
    <w:rsid w:val="005D3183"/>
    <w:rsid w:val="005E16B1"/>
    <w:rsid w:val="005E28CF"/>
    <w:rsid w:val="005E4381"/>
    <w:rsid w:val="005E562A"/>
    <w:rsid w:val="005F35E6"/>
    <w:rsid w:val="005F6917"/>
    <w:rsid w:val="005F6C8D"/>
    <w:rsid w:val="00600169"/>
    <w:rsid w:val="006002F9"/>
    <w:rsid w:val="006041C8"/>
    <w:rsid w:val="00607279"/>
    <w:rsid w:val="00610E05"/>
    <w:rsid w:val="00617339"/>
    <w:rsid w:val="00617CC6"/>
    <w:rsid w:val="006210F1"/>
    <w:rsid w:val="006235DD"/>
    <w:rsid w:val="00623F7A"/>
    <w:rsid w:val="0063114E"/>
    <w:rsid w:val="00631B80"/>
    <w:rsid w:val="006320AC"/>
    <w:rsid w:val="00632842"/>
    <w:rsid w:val="00634BAD"/>
    <w:rsid w:val="0064492F"/>
    <w:rsid w:val="006514FA"/>
    <w:rsid w:val="006538FC"/>
    <w:rsid w:val="00655005"/>
    <w:rsid w:val="0065669C"/>
    <w:rsid w:val="00656F2B"/>
    <w:rsid w:val="006607E6"/>
    <w:rsid w:val="00660A79"/>
    <w:rsid w:val="0066175C"/>
    <w:rsid w:val="006624BC"/>
    <w:rsid w:val="00664ABD"/>
    <w:rsid w:val="00667179"/>
    <w:rsid w:val="006708FB"/>
    <w:rsid w:val="00672CFB"/>
    <w:rsid w:val="00672DA7"/>
    <w:rsid w:val="006732E3"/>
    <w:rsid w:val="0067330D"/>
    <w:rsid w:val="006738ED"/>
    <w:rsid w:val="00674109"/>
    <w:rsid w:val="006772AA"/>
    <w:rsid w:val="00677961"/>
    <w:rsid w:val="00681796"/>
    <w:rsid w:val="006817D7"/>
    <w:rsid w:val="00681A7F"/>
    <w:rsid w:val="0068228B"/>
    <w:rsid w:val="00685503"/>
    <w:rsid w:val="00685752"/>
    <w:rsid w:val="00687A5D"/>
    <w:rsid w:val="006960CC"/>
    <w:rsid w:val="006A3BFF"/>
    <w:rsid w:val="006A69A3"/>
    <w:rsid w:val="006A74A7"/>
    <w:rsid w:val="006A7D1E"/>
    <w:rsid w:val="006B6EFC"/>
    <w:rsid w:val="006C06C4"/>
    <w:rsid w:val="006C1BAC"/>
    <w:rsid w:val="006C672F"/>
    <w:rsid w:val="006D0BE6"/>
    <w:rsid w:val="006D5064"/>
    <w:rsid w:val="006D5501"/>
    <w:rsid w:val="006E5B46"/>
    <w:rsid w:val="006F2140"/>
    <w:rsid w:val="006F33EC"/>
    <w:rsid w:val="006F3AC2"/>
    <w:rsid w:val="006F4E7C"/>
    <w:rsid w:val="00700326"/>
    <w:rsid w:val="00701997"/>
    <w:rsid w:val="007024EA"/>
    <w:rsid w:val="007062C0"/>
    <w:rsid w:val="00712906"/>
    <w:rsid w:val="00715DD5"/>
    <w:rsid w:val="00717E62"/>
    <w:rsid w:val="0072133B"/>
    <w:rsid w:val="00725842"/>
    <w:rsid w:val="007268C9"/>
    <w:rsid w:val="007338E9"/>
    <w:rsid w:val="00735280"/>
    <w:rsid w:val="00736345"/>
    <w:rsid w:val="007366B6"/>
    <w:rsid w:val="00742FDF"/>
    <w:rsid w:val="00744022"/>
    <w:rsid w:val="00747476"/>
    <w:rsid w:val="0074796E"/>
    <w:rsid w:val="00751452"/>
    <w:rsid w:val="00755FD8"/>
    <w:rsid w:val="00760F78"/>
    <w:rsid w:val="00761523"/>
    <w:rsid w:val="00761BBC"/>
    <w:rsid w:val="00762D56"/>
    <w:rsid w:val="0076364A"/>
    <w:rsid w:val="00771BA4"/>
    <w:rsid w:val="00772F83"/>
    <w:rsid w:val="00775C2D"/>
    <w:rsid w:val="00775C65"/>
    <w:rsid w:val="00776F44"/>
    <w:rsid w:val="0078158F"/>
    <w:rsid w:val="007819CC"/>
    <w:rsid w:val="0078484D"/>
    <w:rsid w:val="007858BF"/>
    <w:rsid w:val="007918B1"/>
    <w:rsid w:val="00791DA2"/>
    <w:rsid w:val="00792369"/>
    <w:rsid w:val="007A15C1"/>
    <w:rsid w:val="007A3F73"/>
    <w:rsid w:val="007A5A39"/>
    <w:rsid w:val="007A60B9"/>
    <w:rsid w:val="007B1838"/>
    <w:rsid w:val="007B2784"/>
    <w:rsid w:val="007B3384"/>
    <w:rsid w:val="007B44FC"/>
    <w:rsid w:val="007B5119"/>
    <w:rsid w:val="007B7CD6"/>
    <w:rsid w:val="007C19CC"/>
    <w:rsid w:val="007C3BA7"/>
    <w:rsid w:val="007D0879"/>
    <w:rsid w:val="007D3680"/>
    <w:rsid w:val="007D3D16"/>
    <w:rsid w:val="007E0A34"/>
    <w:rsid w:val="007E11CA"/>
    <w:rsid w:val="007E2DF8"/>
    <w:rsid w:val="007E5545"/>
    <w:rsid w:val="007F3290"/>
    <w:rsid w:val="007F6457"/>
    <w:rsid w:val="007F6664"/>
    <w:rsid w:val="007F68F4"/>
    <w:rsid w:val="00802572"/>
    <w:rsid w:val="008068E3"/>
    <w:rsid w:val="008104F8"/>
    <w:rsid w:val="00813C73"/>
    <w:rsid w:val="00814543"/>
    <w:rsid w:val="00814976"/>
    <w:rsid w:val="00817A03"/>
    <w:rsid w:val="0082057F"/>
    <w:rsid w:val="00820613"/>
    <w:rsid w:val="0082288D"/>
    <w:rsid w:val="0082421A"/>
    <w:rsid w:val="00824B90"/>
    <w:rsid w:val="00825200"/>
    <w:rsid w:val="008269C6"/>
    <w:rsid w:val="008326D7"/>
    <w:rsid w:val="00832955"/>
    <w:rsid w:val="00835BD6"/>
    <w:rsid w:val="0084025F"/>
    <w:rsid w:val="0084791D"/>
    <w:rsid w:val="00854466"/>
    <w:rsid w:val="00855A53"/>
    <w:rsid w:val="008629B8"/>
    <w:rsid w:val="008666EB"/>
    <w:rsid w:val="00873373"/>
    <w:rsid w:val="00875E2C"/>
    <w:rsid w:val="00875E77"/>
    <w:rsid w:val="0088203C"/>
    <w:rsid w:val="00892FD4"/>
    <w:rsid w:val="008930CB"/>
    <w:rsid w:val="00897793"/>
    <w:rsid w:val="008978BE"/>
    <w:rsid w:val="008A159A"/>
    <w:rsid w:val="008A66A3"/>
    <w:rsid w:val="008B1339"/>
    <w:rsid w:val="008B4B77"/>
    <w:rsid w:val="008B76CE"/>
    <w:rsid w:val="008C1A69"/>
    <w:rsid w:val="008C1CDC"/>
    <w:rsid w:val="008C4A1F"/>
    <w:rsid w:val="008D4CFF"/>
    <w:rsid w:val="008D5E2B"/>
    <w:rsid w:val="008D7A57"/>
    <w:rsid w:val="008E5CCB"/>
    <w:rsid w:val="008F602E"/>
    <w:rsid w:val="00900154"/>
    <w:rsid w:val="00900A52"/>
    <w:rsid w:val="009017AC"/>
    <w:rsid w:val="00913EE1"/>
    <w:rsid w:val="00916031"/>
    <w:rsid w:val="00917B9A"/>
    <w:rsid w:val="00917E55"/>
    <w:rsid w:val="009201A8"/>
    <w:rsid w:val="00921EA1"/>
    <w:rsid w:val="00923A73"/>
    <w:rsid w:val="00924E12"/>
    <w:rsid w:val="0092720D"/>
    <w:rsid w:val="009310C6"/>
    <w:rsid w:val="00934F1A"/>
    <w:rsid w:val="0093579C"/>
    <w:rsid w:val="00935ED1"/>
    <w:rsid w:val="00936B1E"/>
    <w:rsid w:val="00937084"/>
    <w:rsid w:val="00941481"/>
    <w:rsid w:val="00941CA7"/>
    <w:rsid w:val="009434E8"/>
    <w:rsid w:val="00945A20"/>
    <w:rsid w:val="00945FFB"/>
    <w:rsid w:val="00952EA2"/>
    <w:rsid w:val="00953C1A"/>
    <w:rsid w:val="00960ECA"/>
    <w:rsid w:val="00963622"/>
    <w:rsid w:val="009664B7"/>
    <w:rsid w:val="00967DFB"/>
    <w:rsid w:val="00971BD6"/>
    <w:rsid w:val="009815A5"/>
    <w:rsid w:val="00982611"/>
    <w:rsid w:val="00983166"/>
    <w:rsid w:val="009903C9"/>
    <w:rsid w:val="00990E2E"/>
    <w:rsid w:val="00996403"/>
    <w:rsid w:val="00997046"/>
    <w:rsid w:val="009976C4"/>
    <w:rsid w:val="009A1CBC"/>
    <w:rsid w:val="009A2750"/>
    <w:rsid w:val="009A2909"/>
    <w:rsid w:val="009A726D"/>
    <w:rsid w:val="009B02BA"/>
    <w:rsid w:val="009B1915"/>
    <w:rsid w:val="009B2CE9"/>
    <w:rsid w:val="009B304F"/>
    <w:rsid w:val="009B62B6"/>
    <w:rsid w:val="009B699F"/>
    <w:rsid w:val="009B72D8"/>
    <w:rsid w:val="009B7DA9"/>
    <w:rsid w:val="009C2EDB"/>
    <w:rsid w:val="009C6B64"/>
    <w:rsid w:val="009C6F69"/>
    <w:rsid w:val="009D1BEE"/>
    <w:rsid w:val="009D1E4A"/>
    <w:rsid w:val="009D1E65"/>
    <w:rsid w:val="009D3DE6"/>
    <w:rsid w:val="009D4993"/>
    <w:rsid w:val="009E0C55"/>
    <w:rsid w:val="009E1C0F"/>
    <w:rsid w:val="009E4B4D"/>
    <w:rsid w:val="009E5B29"/>
    <w:rsid w:val="009E5E1F"/>
    <w:rsid w:val="009F0DE1"/>
    <w:rsid w:val="009F12D3"/>
    <w:rsid w:val="009F348D"/>
    <w:rsid w:val="009F5AA4"/>
    <w:rsid w:val="009F61C0"/>
    <w:rsid w:val="00A038CD"/>
    <w:rsid w:val="00A127EA"/>
    <w:rsid w:val="00A166CD"/>
    <w:rsid w:val="00A21832"/>
    <w:rsid w:val="00A21B38"/>
    <w:rsid w:val="00A242AC"/>
    <w:rsid w:val="00A2489E"/>
    <w:rsid w:val="00A2657C"/>
    <w:rsid w:val="00A26917"/>
    <w:rsid w:val="00A33C65"/>
    <w:rsid w:val="00A3460E"/>
    <w:rsid w:val="00A35163"/>
    <w:rsid w:val="00A365EB"/>
    <w:rsid w:val="00A36DE3"/>
    <w:rsid w:val="00A37E8B"/>
    <w:rsid w:val="00A4034D"/>
    <w:rsid w:val="00A405F4"/>
    <w:rsid w:val="00A42747"/>
    <w:rsid w:val="00A537BB"/>
    <w:rsid w:val="00A54BCB"/>
    <w:rsid w:val="00A5584D"/>
    <w:rsid w:val="00A55AC7"/>
    <w:rsid w:val="00A601C9"/>
    <w:rsid w:val="00A618E1"/>
    <w:rsid w:val="00A62D58"/>
    <w:rsid w:val="00A64A94"/>
    <w:rsid w:val="00A65398"/>
    <w:rsid w:val="00A65435"/>
    <w:rsid w:val="00A658E4"/>
    <w:rsid w:val="00A661EE"/>
    <w:rsid w:val="00A74FC1"/>
    <w:rsid w:val="00A751E1"/>
    <w:rsid w:val="00A77BE0"/>
    <w:rsid w:val="00A77E49"/>
    <w:rsid w:val="00A80356"/>
    <w:rsid w:val="00A81176"/>
    <w:rsid w:val="00A814D5"/>
    <w:rsid w:val="00A830B9"/>
    <w:rsid w:val="00A84937"/>
    <w:rsid w:val="00A84A7D"/>
    <w:rsid w:val="00A862C4"/>
    <w:rsid w:val="00A865A4"/>
    <w:rsid w:val="00A86B81"/>
    <w:rsid w:val="00A90FB4"/>
    <w:rsid w:val="00A91458"/>
    <w:rsid w:val="00A92EA9"/>
    <w:rsid w:val="00A93094"/>
    <w:rsid w:val="00A94318"/>
    <w:rsid w:val="00A976DF"/>
    <w:rsid w:val="00A97A9F"/>
    <w:rsid w:val="00AA0B4A"/>
    <w:rsid w:val="00AA11B8"/>
    <w:rsid w:val="00AA13C5"/>
    <w:rsid w:val="00AA294A"/>
    <w:rsid w:val="00AA6B5F"/>
    <w:rsid w:val="00AB02D6"/>
    <w:rsid w:val="00AB2273"/>
    <w:rsid w:val="00AB495F"/>
    <w:rsid w:val="00AB50BD"/>
    <w:rsid w:val="00AB6351"/>
    <w:rsid w:val="00AB7C83"/>
    <w:rsid w:val="00AC202D"/>
    <w:rsid w:val="00AC2541"/>
    <w:rsid w:val="00AC31AA"/>
    <w:rsid w:val="00AC478B"/>
    <w:rsid w:val="00AC4B9C"/>
    <w:rsid w:val="00AC7853"/>
    <w:rsid w:val="00AD3085"/>
    <w:rsid w:val="00AD5D43"/>
    <w:rsid w:val="00AD6430"/>
    <w:rsid w:val="00AE01A8"/>
    <w:rsid w:val="00AE0210"/>
    <w:rsid w:val="00AE267D"/>
    <w:rsid w:val="00AE6CFA"/>
    <w:rsid w:val="00AE6FFD"/>
    <w:rsid w:val="00AF156D"/>
    <w:rsid w:val="00AF234D"/>
    <w:rsid w:val="00AF2D23"/>
    <w:rsid w:val="00AF310D"/>
    <w:rsid w:val="00AF3227"/>
    <w:rsid w:val="00AF5BE4"/>
    <w:rsid w:val="00AF7CB3"/>
    <w:rsid w:val="00B01571"/>
    <w:rsid w:val="00B02908"/>
    <w:rsid w:val="00B03009"/>
    <w:rsid w:val="00B11421"/>
    <w:rsid w:val="00B11843"/>
    <w:rsid w:val="00B12FC8"/>
    <w:rsid w:val="00B1351C"/>
    <w:rsid w:val="00B14835"/>
    <w:rsid w:val="00B15A82"/>
    <w:rsid w:val="00B166F4"/>
    <w:rsid w:val="00B17641"/>
    <w:rsid w:val="00B20F22"/>
    <w:rsid w:val="00B214AF"/>
    <w:rsid w:val="00B276D8"/>
    <w:rsid w:val="00B30547"/>
    <w:rsid w:val="00B3151A"/>
    <w:rsid w:val="00B326CA"/>
    <w:rsid w:val="00B336DB"/>
    <w:rsid w:val="00B35C5E"/>
    <w:rsid w:val="00B35E5D"/>
    <w:rsid w:val="00B36C64"/>
    <w:rsid w:val="00B4130D"/>
    <w:rsid w:val="00B4453C"/>
    <w:rsid w:val="00B44CA2"/>
    <w:rsid w:val="00B4645B"/>
    <w:rsid w:val="00B46F46"/>
    <w:rsid w:val="00B476A4"/>
    <w:rsid w:val="00B55A04"/>
    <w:rsid w:val="00B5668A"/>
    <w:rsid w:val="00B57791"/>
    <w:rsid w:val="00B66334"/>
    <w:rsid w:val="00B723F1"/>
    <w:rsid w:val="00B74170"/>
    <w:rsid w:val="00B74BA6"/>
    <w:rsid w:val="00B7530B"/>
    <w:rsid w:val="00B7605D"/>
    <w:rsid w:val="00B776C3"/>
    <w:rsid w:val="00B779A7"/>
    <w:rsid w:val="00B83D2D"/>
    <w:rsid w:val="00B86A99"/>
    <w:rsid w:val="00B86D46"/>
    <w:rsid w:val="00B87A50"/>
    <w:rsid w:val="00B91E33"/>
    <w:rsid w:val="00B93B6E"/>
    <w:rsid w:val="00B93D85"/>
    <w:rsid w:val="00B95FCC"/>
    <w:rsid w:val="00B96100"/>
    <w:rsid w:val="00B96DB1"/>
    <w:rsid w:val="00B96E9A"/>
    <w:rsid w:val="00BA08D1"/>
    <w:rsid w:val="00BA1EE3"/>
    <w:rsid w:val="00BA2FED"/>
    <w:rsid w:val="00BA314C"/>
    <w:rsid w:val="00BA44EB"/>
    <w:rsid w:val="00BA70C3"/>
    <w:rsid w:val="00BA7AED"/>
    <w:rsid w:val="00BB26D3"/>
    <w:rsid w:val="00BB7232"/>
    <w:rsid w:val="00BC01AD"/>
    <w:rsid w:val="00BC16C7"/>
    <w:rsid w:val="00BC448D"/>
    <w:rsid w:val="00BD5E4B"/>
    <w:rsid w:val="00BE0036"/>
    <w:rsid w:val="00BE2E83"/>
    <w:rsid w:val="00BE3037"/>
    <w:rsid w:val="00BE5542"/>
    <w:rsid w:val="00BE7FBB"/>
    <w:rsid w:val="00BF0319"/>
    <w:rsid w:val="00BF1922"/>
    <w:rsid w:val="00BF6DB3"/>
    <w:rsid w:val="00C013E5"/>
    <w:rsid w:val="00C032CB"/>
    <w:rsid w:val="00C05DAC"/>
    <w:rsid w:val="00C1017B"/>
    <w:rsid w:val="00C103B2"/>
    <w:rsid w:val="00C1548A"/>
    <w:rsid w:val="00C15FA2"/>
    <w:rsid w:val="00C167C6"/>
    <w:rsid w:val="00C24BE4"/>
    <w:rsid w:val="00C25B9D"/>
    <w:rsid w:val="00C31067"/>
    <w:rsid w:val="00C313D3"/>
    <w:rsid w:val="00C32759"/>
    <w:rsid w:val="00C329AD"/>
    <w:rsid w:val="00C32F19"/>
    <w:rsid w:val="00C338A8"/>
    <w:rsid w:val="00C37337"/>
    <w:rsid w:val="00C42FD3"/>
    <w:rsid w:val="00C44227"/>
    <w:rsid w:val="00C451C6"/>
    <w:rsid w:val="00C4699B"/>
    <w:rsid w:val="00C47B7B"/>
    <w:rsid w:val="00C50BBF"/>
    <w:rsid w:val="00C51A2D"/>
    <w:rsid w:val="00C52FAB"/>
    <w:rsid w:val="00C5320E"/>
    <w:rsid w:val="00C53C8C"/>
    <w:rsid w:val="00C6166B"/>
    <w:rsid w:val="00C633F4"/>
    <w:rsid w:val="00C705AC"/>
    <w:rsid w:val="00C77D7C"/>
    <w:rsid w:val="00C82758"/>
    <w:rsid w:val="00C9032A"/>
    <w:rsid w:val="00C90DF9"/>
    <w:rsid w:val="00C90E12"/>
    <w:rsid w:val="00C911E3"/>
    <w:rsid w:val="00C92A5A"/>
    <w:rsid w:val="00C94D8A"/>
    <w:rsid w:val="00C96574"/>
    <w:rsid w:val="00C96953"/>
    <w:rsid w:val="00CA5F7F"/>
    <w:rsid w:val="00CA6380"/>
    <w:rsid w:val="00CB55EE"/>
    <w:rsid w:val="00CB5742"/>
    <w:rsid w:val="00CB7176"/>
    <w:rsid w:val="00CC18AE"/>
    <w:rsid w:val="00CC2AF9"/>
    <w:rsid w:val="00CD3B85"/>
    <w:rsid w:val="00CD4394"/>
    <w:rsid w:val="00CD4E1E"/>
    <w:rsid w:val="00CE1469"/>
    <w:rsid w:val="00CE27CF"/>
    <w:rsid w:val="00CF0894"/>
    <w:rsid w:val="00CF6171"/>
    <w:rsid w:val="00D0058C"/>
    <w:rsid w:val="00D01B8D"/>
    <w:rsid w:val="00D02436"/>
    <w:rsid w:val="00D02573"/>
    <w:rsid w:val="00D06538"/>
    <w:rsid w:val="00D11A07"/>
    <w:rsid w:val="00D11A73"/>
    <w:rsid w:val="00D13DE5"/>
    <w:rsid w:val="00D166CE"/>
    <w:rsid w:val="00D23953"/>
    <w:rsid w:val="00D30A2D"/>
    <w:rsid w:val="00D33B4D"/>
    <w:rsid w:val="00D33C76"/>
    <w:rsid w:val="00D34FFF"/>
    <w:rsid w:val="00D37391"/>
    <w:rsid w:val="00D40F80"/>
    <w:rsid w:val="00D41DAE"/>
    <w:rsid w:val="00D41F15"/>
    <w:rsid w:val="00D4204A"/>
    <w:rsid w:val="00D450F1"/>
    <w:rsid w:val="00D4566E"/>
    <w:rsid w:val="00D46D55"/>
    <w:rsid w:val="00D47C9F"/>
    <w:rsid w:val="00D51925"/>
    <w:rsid w:val="00D51D53"/>
    <w:rsid w:val="00D5223B"/>
    <w:rsid w:val="00D536AA"/>
    <w:rsid w:val="00D57411"/>
    <w:rsid w:val="00D610BD"/>
    <w:rsid w:val="00D65EA4"/>
    <w:rsid w:val="00D70CCF"/>
    <w:rsid w:val="00D72189"/>
    <w:rsid w:val="00D746A5"/>
    <w:rsid w:val="00D7609E"/>
    <w:rsid w:val="00D769B9"/>
    <w:rsid w:val="00D80AA4"/>
    <w:rsid w:val="00D8250B"/>
    <w:rsid w:val="00D82EC2"/>
    <w:rsid w:val="00D851B5"/>
    <w:rsid w:val="00D9670A"/>
    <w:rsid w:val="00DA0DA1"/>
    <w:rsid w:val="00DA121A"/>
    <w:rsid w:val="00DA32B5"/>
    <w:rsid w:val="00DA5671"/>
    <w:rsid w:val="00DB077A"/>
    <w:rsid w:val="00DB12A1"/>
    <w:rsid w:val="00DB185E"/>
    <w:rsid w:val="00DB1F52"/>
    <w:rsid w:val="00DB2F05"/>
    <w:rsid w:val="00DB31C7"/>
    <w:rsid w:val="00DB47B0"/>
    <w:rsid w:val="00DB522D"/>
    <w:rsid w:val="00DB5C15"/>
    <w:rsid w:val="00DB5D16"/>
    <w:rsid w:val="00DC3C65"/>
    <w:rsid w:val="00DC54E5"/>
    <w:rsid w:val="00DC6BE4"/>
    <w:rsid w:val="00DC716E"/>
    <w:rsid w:val="00DD2228"/>
    <w:rsid w:val="00DD63CC"/>
    <w:rsid w:val="00DD7EBC"/>
    <w:rsid w:val="00DE05E7"/>
    <w:rsid w:val="00DE0DEA"/>
    <w:rsid w:val="00DE234C"/>
    <w:rsid w:val="00DE2379"/>
    <w:rsid w:val="00DE3A04"/>
    <w:rsid w:val="00DE3D65"/>
    <w:rsid w:val="00DE4FFF"/>
    <w:rsid w:val="00DF0AAE"/>
    <w:rsid w:val="00DF2A87"/>
    <w:rsid w:val="00DF3DCE"/>
    <w:rsid w:val="00DF67DE"/>
    <w:rsid w:val="00E0103A"/>
    <w:rsid w:val="00E012E2"/>
    <w:rsid w:val="00E06BA6"/>
    <w:rsid w:val="00E11EC3"/>
    <w:rsid w:val="00E127DF"/>
    <w:rsid w:val="00E1339A"/>
    <w:rsid w:val="00E144B4"/>
    <w:rsid w:val="00E169A5"/>
    <w:rsid w:val="00E17ECB"/>
    <w:rsid w:val="00E200B8"/>
    <w:rsid w:val="00E222B6"/>
    <w:rsid w:val="00E2242E"/>
    <w:rsid w:val="00E225C7"/>
    <w:rsid w:val="00E227CC"/>
    <w:rsid w:val="00E24BDA"/>
    <w:rsid w:val="00E31196"/>
    <w:rsid w:val="00E42C66"/>
    <w:rsid w:val="00E52C2F"/>
    <w:rsid w:val="00E53DCB"/>
    <w:rsid w:val="00E55200"/>
    <w:rsid w:val="00E571E0"/>
    <w:rsid w:val="00E61AB0"/>
    <w:rsid w:val="00E61B52"/>
    <w:rsid w:val="00E66FA2"/>
    <w:rsid w:val="00E67917"/>
    <w:rsid w:val="00E67A09"/>
    <w:rsid w:val="00E701FC"/>
    <w:rsid w:val="00E70B5D"/>
    <w:rsid w:val="00E736A2"/>
    <w:rsid w:val="00E742E6"/>
    <w:rsid w:val="00E74D85"/>
    <w:rsid w:val="00E75A3F"/>
    <w:rsid w:val="00E845A2"/>
    <w:rsid w:val="00E854E1"/>
    <w:rsid w:val="00E863F6"/>
    <w:rsid w:val="00E9150E"/>
    <w:rsid w:val="00E93372"/>
    <w:rsid w:val="00EA0B9A"/>
    <w:rsid w:val="00EA4101"/>
    <w:rsid w:val="00EA4EBB"/>
    <w:rsid w:val="00EA56D6"/>
    <w:rsid w:val="00EA6032"/>
    <w:rsid w:val="00EA6092"/>
    <w:rsid w:val="00EB12BA"/>
    <w:rsid w:val="00EB24CF"/>
    <w:rsid w:val="00EB4C50"/>
    <w:rsid w:val="00EB5304"/>
    <w:rsid w:val="00EC07C3"/>
    <w:rsid w:val="00ED0BF9"/>
    <w:rsid w:val="00ED2AD6"/>
    <w:rsid w:val="00ED46BB"/>
    <w:rsid w:val="00ED4D78"/>
    <w:rsid w:val="00ED7A9C"/>
    <w:rsid w:val="00EE4FE6"/>
    <w:rsid w:val="00EE7503"/>
    <w:rsid w:val="00EE7C51"/>
    <w:rsid w:val="00EF01D8"/>
    <w:rsid w:val="00EF0429"/>
    <w:rsid w:val="00EF1AD4"/>
    <w:rsid w:val="00EF4CB2"/>
    <w:rsid w:val="00EF7CE4"/>
    <w:rsid w:val="00F01BAC"/>
    <w:rsid w:val="00F0222E"/>
    <w:rsid w:val="00F07E27"/>
    <w:rsid w:val="00F12176"/>
    <w:rsid w:val="00F14629"/>
    <w:rsid w:val="00F150C0"/>
    <w:rsid w:val="00F16E7A"/>
    <w:rsid w:val="00F22F68"/>
    <w:rsid w:val="00F30BAE"/>
    <w:rsid w:val="00F33414"/>
    <w:rsid w:val="00F442BA"/>
    <w:rsid w:val="00F46F72"/>
    <w:rsid w:val="00F47450"/>
    <w:rsid w:val="00F539D0"/>
    <w:rsid w:val="00F549ED"/>
    <w:rsid w:val="00F552B1"/>
    <w:rsid w:val="00F55FFD"/>
    <w:rsid w:val="00F602AC"/>
    <w:rsid w:val="00F65131"/>
    <w:rsid w:val="00F65868"/>
    <w:rsid w:val="00F670B4"/>
    <w:rsid w:val="00F75B60"/>
    <w:rsid w:val="00F8399A"/>
    <w:rsid w:val="00F870F3"/>
    <w:rsid w:val="00F918A5"/>
    <w:rsid w:val="00F96725"/>
    <w:rsid w:val="00F96D00"/>
    <w:rsid w:val="00FA339B"/>
    <w:rsid w:val="00FA3B39"/>
    <w:rsid w:val="00FA4440"/>
    <w:rsid w:val="00FA6E87"/>
    <w:rsid w:val="00FA6FF3"/>
    <w:rsid w:val="00FB4E2E"/>
    <w:rsid w:val="00FB6C1D"/>
    <w:rsid w:val="00FB7310"/>
    <w:rsid w:val="00FC0AC3"/>
    <w:rsid w:val="00FC2BD6"/>
    <w:rsid w:val="00FC3C84"/>
    <w:rsid w:val="00FC3D83"/>
    <w:rsid w:val="00FD2ED1"/>
    <w:rsid w:val="00FD5BB6"/>
    <w:rsid w:val="00FD7378"/>
    <w:rsid w:val="00FD781E"/>
    <w:rsid w:val="00FE10CA"/>
    <w:rsid w:val="00FE44AB"/>
    <w:rsid w:val="00FE7EF5"/>
    <w:rsid w:val="00FF5E94"/>
    <w:rsid w:val="00FF74A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CCB9C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9D0"/>
    <w:pPr>
      <w:spacing w:line="360" w:lineRule="auto"/>
    </w:pPr>
    <w:rPr>
      <w:rFonts w:ascii="Times New Roman" w:hAnsi="Times New Roman"/>
    </w:rPr>
  </w:style>
  <w:style w:type="paragraph" w:styleId="Heading1">
    <w:name w:val="heading 1"/>
    <w:basedOn w:val="Normal"/>
    <w:next w:val="NoSpacing"/>
    <w:link w:val="Heading1Char"/>
    <w:uiPriority w:val="9"/>
    <w:qFormat/>
    <w:rsid w:val="00F539D0"/>
    <w:pPr>
      <w:keepNext/>
      <w:keepLines/>
      <w:spacing w:before="480" w:after="0"/>
      <w:outlineLvl w:val="0"/>
    </w:pPr>
    <w:rPr>
      <w:rFonts w:ascii="Verdana" w:eastAsiaTheme="majorEastAsia" w:hAnsi="Verdana" w:cstheme="majorBidi"/>
      <w:b/>
      <w:bCs/>
      <w:color w:val="000000" w:themeColor="text1"/>
      <w:sz w:val="28"/>
      <w:szCs w:val="28"/>
    </w:rPr>
  </w:style>
  <w:style w:type="paragraph" w:styleId="Heading2">
    <w:name w:val="heading 2"/>
    <w:basedOn w:val="Normal"/>
    <w:next w:val="Normal"/>
    <w:link w:val="Heading2Char"/>
    <w:uiPriority w:val="9"/>
    <w:unhideWhenUsed/>
    <w:qFormat/>
    <w:rsid w:val="00F539D0"/>
    <w:pPr>
      <w:outlineLvl w:val="1"/>
    </w:pPr>
    <w:rPr>
      <w:rFonts w:ascii="Verdana" w:hAnsi="Verdana"/>
      <w:b/>
      <w:sz w:val="24"/>
    </w:rPr>
  </w:style>
  <w:style w:type="paragraph" w:styleId="Heading3">
    <w:name w:val="heading 3"/>
    <w:basedOn w:val="Normal"/>
    <w:next w:val="Normal"/>
    <w:link w:val="Heading3Char"/>
    <w:uiPriority w:val="9"/>
    <w:unhideWhenUsed/>
    <w:qFormat/>
    <w:rsid w:val="00F539D0"/>
    <w:pPr>
      <w:keepNext/>
      <w:keepLines/>
      <w:spacing w:before="320" w:after="120"/>
      <w:outlineLvl w:val="2"/>
    </w:pPr>
    <w:rPr>
      <w:rFonts w:eastAsiaTheme="majorEastAsia" w:cstheme="majorBidi"/>
      <w:b/>
      <w:bCs/>
      <w:color w:val="404040" w:themeColor="text1" w:themeTint="BF"/>
    </w:rPr>
  </w:style>
  <w:style w:type="paragraph" w:styleId="Heading4">
    <w:name w:val="heading 4"/>
    <w:basedOn w:val="Normal"/>
    <w:next w:val="Normal"/>
    <w:link w:val="Heading4Char"/>
    <w:uiPriority w:val="9"/>
    <w:unhideWhenUsed/>
    <w:qFormat/>
    <w:rsid w:val="00F539D0"/>
    <w:pPr>
      <w:keepNext/>
      <w:keepLines/>
      <w:spacing w:before="200" w:after="0"/>
      <w:outlineLvl w:val="3"/>
    </w:pPr>
    <w:rPr>
      <w:rFonts w:eastAsiaTheme="majorEastAsia" w:cstheme="majorBidi"/>
      <w:b/>
      <w:bCs/>
      <w:i/>
      <w:iCs/>
      <w:color w:val="7F7F7F" w:themeColor="text1" w:themeTint="80"/>
    </w:rPr>
  </w:style>
  <w:style w:type="paragraph" w:styleId="Heading5">
    <w:name w:val="heading 5"/>
    <w:basedOn w:val="Normal"/>
    <w:next w:val="Normal"/>
    <w:link w:val="Heading5Char"/>
    <w:uiPriority w:val="9"/>
    <w:semiHidden/>
    <w:unhideWhenUsed/>
    <w:qFormat/>
    <w:rsid w:val="00F539D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539D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539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539D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539D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9D0"/>
    <w:rPr>
      <w:rFonts w:ascii="Verdana" w:eastAsiaTheme="majorEastAsia" w:hAnsi="Verdana" w:cstheme="majorBidi"/>
      <w:b/>
      <w:bCs/>
      <w:color w:val="000000" w:themeColor="text1"/>
      <w:sz w:val="28"/>
      <w:szCs w:val="28"/>
    </w:rPr>
  </w:style>
  <w:style w:type="character" w:customStyle="1" w:styleId="Heading2Char">
    <w:name w:val="Heading 2 Char"/>
    <w:basedOn w:val="DefaultParagraphFont"/>
    <w:link w:val="Heading2"/>
    <w:uiPriority w:val="9"/>
    <w:rsid w:val="00F539D0"/>
    <w:rPr>
      <w:rFonts w:ascii="Verdana" w:hAnsi="Verdana"/>
      <w:b/>
      <w:sz w:val="24"/>
    </w:rPr>
  </w:style>
  <w:style w:type="paragraph" w:styleId="NoSpacing">
    <w:name w:val="No Spacing"/>
    <w:uiPriority w:val="1"/>
    <w:qFormat/>
    <w:rsid w:val="00F539D0"/>
    <w:pPr>
      <w:spacing w:after="0" w:line="240" w:lineRule="auto"/>
    </w:pPr>
    <w:rPr>
      <w:rFonts w:ascii="Verdana" w:hAnsi="Verdana"/>
    </w:rPr>
  </w:style>
  <w:style w:type="character" w:customStyle="1" w:styleId="Heading3Char">
    <w:name w:val="Heading 3 Char"/>
    <w:basedOn w:val="DefaultParagraphFont"/>
    <w:link w:val="Heading3"/>
    <w:uiPriority w:val="9"/>
    <w:rsid w:val="00F539D0"/>
    <w:rPr>
      <w:rFonts w:ascii="Times New Roman" w:eastAsiaTheme="majorEastAsia" w:hAnsi="Times New Roman" w:cstheme="majorBidi"/>
      <w:b/>
      <w:bCs/>
      <w:color w:val="404040" w:themeColor="text1" w:themeTint="BF"/>
    </w:rPr>
  </w:style>
  <w:style w:type="character" w:customStyle="1" w:styleId="Heading4Char">
    <w:name w:val="Heading 4 Char"/>
    <w:basedOn w:val="DefaultParagraphFont"/>
    <w:link w:val="Heading4"/>
    <w:uiPriority w:val="9"/>
    <w:rsid w:val="00F539D0"/>
    <w:rPr>
      <w:rFonts w:ascii="Times New Roman" w:eastAsiaTheme="majorEastAsia" w:hAnsi="Times New Roman" w:cstheme="majorBidi"/>
      <w:b/>
      <w:bCs/>
      <w:i/>
      <w:iCs/>
      <w:color w:val="7F7F7F" w:themeColor="text1" w:themeTint="80"/>
    </w:rPr>
  </w:style>
  <w:style w:type="character" w:customStyle="1" w:styleId="Heading5Char">
    <w:name w:val="Heading 5 Char"/>
    <w:basedOn w:val="DefaultParagraphFont"/>
    <w:link w:val="Heading5"/>
    <w:uiPriority w:val="9"/>
    <w:semiHidden/>
    <w:rsid w:val="00F539D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539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539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539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539D0"/>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F539D0"/>
    <w:pPr>
      <w:ind w:left="720"/>
      <w:contextualSpacing/>
    </w:pPr>
  </w:style>
  <w:style w:type="paragraph" w:styleId="Header">
    <w:name w:val="header"/>
    <w:basedOn w:val="Normal"/>
    <w:link w:val="HeaderChar"/>
    <w:uiPriority w:val="99"/>
    <w:unhideWhenUsed/>
    <w:rsid w:val="00B176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641"/>
    <w:rPr>
      <w:rFonts w:ascii="Times New Roman" w:hAnsi="Times New Roman"/>
    </w:rPr>
  </w:style>
  <w:style w:type="paragraph" w:styleId="Footer">
    <w:name w:val="footer"/>
    <w:basedOn w:val="Normal"/>
    <w:link w:val="FooterChar"/>
    <w:uiPriority w:val="99"/>
    <w:unhideWhenUsed/>
    <w:rsid w:val="00B176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641"/>
    <w:rPr>
      <w:rFonts w:ascii="Times New Roman" w:hAnsi="Times New Roman"/>
    </w:rPr>
  </w:style>
  <w:style w:type="character" w:styleId="LineNumber">
    <w:name w:val="line number"/>
    <w:basedOn w:val="DefaultParagraphFont"/>
    <w:uiPriority w:val="99"/>
    <w:semiHidden/>
    <w:unhideWhenUsed/>
    <w:rsid w:val="00B17641"/>
  </w:style>
  <w:style w:type="paragraph" w:styleId="BalloonText">
    <w:name w:val="Balloon Text"/>
    <w:basedOn w:val="Normal"/>
    <w:link w:val="BalloonTextChar"/>
    <w:uiPriority w:val="99"/>
    <w:semiHidden/>
    <w:unhideWhenUsed/>
    <w:rsid w:val="00DB5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D16"/>
    <w:rPr>
      <w:rFonts w:ascii="Tahoma" w:hAnsi="Tahoma" w:cs="Tahoma"/>
      <w:sz w:val="16"/>
      <w:szCs w:val="16"/>
    </w:rPr>
  </w:style>
  <w:style w:type="table" w:styleId="TableGrid">
    <w:name w:val="Table Grid"/>
    <w:basedOn w:val="TableNormal"/>
    <w:uiPriority w:val="39"/>
    <w:rsid w:val="00DB5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60282"/>
    <w:rPr>
      <w:sz w:val="18"/>
      <w:szCs w:val="18"/>
    </w:rPr>
  </w:style>
  <w:style w:type="paragraph" w:styleId="CommentText">
    <w:name w:val="annotation text"/>
    <w:basedOn w:val="Normal"/>
    <w:link w:val="CommentTextChar"/>
    <w:uiPriority w:val="99"/>
    <w:unhideWhenUsed/>
    <w:rsid w:val="00360282"/>
    <w:pPr>
      <w:spacing w:line="240" w:lineRule="auto"/>
    </w:pPr>
    <w:rPr>
      <w:sz w:val="24"/>
      <w:szCs w:val="24"/>
    </w:rPr>
  </w:style>
  <w:style w:type="character" w:customStyle="1" w:styleId="CommentTextChar">
    <w:name w:val="Comment Text Char"/>
    <w:basedOn w:val="DefaultParagraphFont"/>
    <w:link w:val="CommentText"/>
    <w:uiPriority w:val="99"/>
    <w:rsid w:val="00360282"/>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360282"/>
    <w:rPr>
      <w:b/>
      <w:bCs/>
      <w:sz w:val="20"/>
      <w:szCs w:val="20"/>
    </w:rPr>
  </w:style>
  <w:style w:type="character" w:customStyle="1" w:styleId="CommentSubjectChar">
    <w:name w:val="Comment Subject Char"/>
    <w:basedOn w:val="CommentTextChar"/>
    <w:link w:val="CommentSubject"/>
    <w:uiPriority w:val="99"/>
    <w:semiHidden/>
    <w:rsid w:val="00360282"/>
    <w:rPr>
      <w:rFonts w:ascii="Times New Roman" w:hAnsi="Times New Roman"/>
      <w:b/>
      <w:bCs/>
      <w:sz w:val="20"/>
      <w:szCs w:val="20"/>
    </w:rPr>
  </w:style>
  <w:style w:type="character" w:styleId="Strong">
    <w:name w:val="Strong"/>
    <w:basedOn w:val="DefaultParagraphFont"/>
    <w:uiPriority w:val="22"/>
    <w:qFormat/>
    <w:rsid w:val="005A11E4"/>
    <w:rPr>
      <w:b/>
      <w:bCs/>
    </w:rPr>
  </w:style>
  <w:style w:type="paragraph" w:customStyle="1" w:styleId="ThesisBodyText">
    <w:name w:val="Thesis Body Text"/>
    <w:basedOn w:val="Normal"/>
    <w:link w:val="ThesisBodyTextChar"/>
    <w:qFormat/>
    <w:rsid w:val="009B2CE9"/>
    <w:pPr>
      <w:jc w:val="both"/>
    </w:pPr>
    <w:rPr>
      <w:rFonts w:eastAsiaTheme="minorEastAsia"/>
      <w:sz w:val="24"/>
      <w:lang w:eastAsia="en-NZ"/>
    </w:rPr>
  </w:style>
  <w:style w:type="character" w:customStyle="1" w:styleId="ThesisBodyTextChar">
    <w:name w:val="Thesis Body Text Char"/>
    <w:basedOn w:val="DefaultParagraphFont"/>
    <w:link w:val="ThesisBodyText"/>
    <w:rsid w:val="009B2CE9"/>
    <w:rPr>
      <w:rFonts w:ascii="Times New Roman" w:eastAsiaTheme="minorEastAsia" w:hAnsi="Times New Roman"/>
      <w:sz w:val="24"/>
      <w:lang w:eastAsia="en-NZ"/>
    </w:rPr>
  </w:style>
  <w:style w:type="paragraph" w:customStyle="1" w:styleId="Tableandfigurecaptiontext">
    <w:name w:val="Table and figure caption text"/>
    <w:basedOn w:val="ThesisBodyText"/>
    <w:link w:val="TableandfigurecaptiontextChar"/>
    <w:qFormat/>
    <w:rsid w:val="00F46F72"/>
    <w:pPr>
      <w:spacing w:after="0" w:line="276" w:lineRule="auto"/>
    </w:pPr>
  </w:style>
  <w:style w:type="character" w:customStyle="1" w:styleId="TableandfigurecaptiontextChar">
    <w:name w:val="Table and figure caption text Char"/>
    <w:basedOn w:val="ThesisBodyTextChar"/>
    <w:link w:val="Tableandfigurecaptiontext"/>
    <w:rsid w:val="00F46F72"/>
    <w:rPr>
      <w:rFonts w:ascii="Times New Roman" w:eastAsiaTheme="minorEastAsia" w:hAnsi="Times New Roman"/>
      <w:sz w:val="24"/>
      <w:lang w:eastAsia="en-NZ"/>
    </w:rPr>
  </w:style>
  <w:style w:type="table" w:customStyle="1" w:styleId="PlainTable21">
    <w:name w:val="Plain Table 21"/>
    <w:basedOn w:val="TableNormal"/>
    <w:uiPriority w:val="42"/>
    <w:rsid w:val="00313536"/>
    <w:pPr>
      <w:spacing w:after="0" w:line="240" w:lineRule="auto"/>
    </w:pPr>
    <w:rPr>
      <w:rFonts w:eastAsiaTheme="minorEastAsia"/>
      <w:lang w:eastAsia="en-NZ"/>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0D5326"/>
    <w:pPr>
      <w:spacing w:after="0" w:line="240" w:lineRule="auto"/>
    </w:pPr>
    <w:rPr>
      <w:rFonts w:ascii="Times New Roman" w:hAnsi="Times New Roman"/>
    </w:rPr>
  </w:style>
  <w:style w:type="paragraph" w:customStyle="1" w:styleId="Tableandfigurecaptions">
    <w:name w:val="Table and figure captions"/>
    <w:basedOn w:val="ThesisBodyText"/>
    <w:link w:val="TableandfigurecaptionsChar"/>
    <w:qFormat/>
    <w:rsid w:val="001F3ACB"/>
    <w:pPr>
      <w:spacing w:before="120" w:after="120" w:line="276" w:lineRule="auto"/>
    </w:pPr>
    <w:rPr>
      <w:b/>
    </w:rPr>
  </w:style>
  <w:style w:type="character" w:customStyle="1" w:styleId="TableandfigurecaptionsChar">
    <w:name w:val="Table and figure captions Char"/>
    <w:basedOn w:val="ThesisBodyTextChar"/>
    <w:link w:val="Tableandfigurecaptions"/>
    <w:rsid w:val="001F3ACB"/>
    <w:rPr>
      <w:rFonts w:ascii="Times New Roman" w:eastAsiaTheme="minorEastAsia" w:hAnsi="Times New Roman"/>
      <w:b/>
      <w:sz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73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500A7CA5558A43926FCECE0238CE2C" ma:contentTypeVersion="11" ma:contentTypeDescription="Create a new document." ma:contentTypeScope="" ma:versionID="b599734b4482b602beea4598b93e662b">
  <xsd:schema xmlns:xsd="http://www.w3.org/2001/XMLSchema" xmlns:xs="http://www.w3.org/2001/XMLSchema" xmlns:p="http://schemas.microsoft.com/office/2006/metadata/properties" xmlns:ns3="b61ed4e5-fc37-4fa0-995d-70386a6b3336" xmlns:ns4="f4a05409-acc7-4270-b7ee-d3f1b7e8423d" targetNamespace="http://schemas.microsoft.com/office/2006/metadata/properties" ma:root="true" ma:fieldsID="471fed43a9201f820efd911f3a52b361" ns3:_="" ns4:_="">
    <xsd:import namespace="b61ed4e5-fc37-4fa0-995d-70386a6b3336"/>
    <xsd:import namespace="f4a05409-acc7-4270-b7ee-d3f1b7e842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ed4e5-fc37-4fa0-995d-70386a6b33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a05409-acc7-4270-b7ee-d3f1b7e8423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56019-D074-455D-8681-181FBC59A3A4}">
  <ds:schemaRefs>
    <ds:schemaRef ds:uri="http://schemas.microsoft.com/sharepoint/v3/contenttype/forms"/>
  </ds:schemaRefs>
</ds:datastoreItem>
</file>

<file path=customXml/itemProps2.xml><?xml version="1.0" encoding="utf-8"?>
<ds:datastoreItem xmlns:ds="http://schemas.openxmlformats.org/officeDocument/2006/customXml" ds:itemID="{FC89D367-C37E-4B41-996A-8975F76BC6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47E6BF-C53F-4EC6-89D0-5156E4E17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ed4e5-fc37-4fa0-995d-70386a6b3336"/>
    <ds:schemaRef ds:uri="f4a05409-acc7-4270-b7ee-d3f1b7e84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B341AC-30E7-4080-8EB1-C7878299D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12239</Words>
  <Characters>69767</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81843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Swanson</dc:creator>
  <cp:lastModifiedBy>Sowmiya N.</cp:lastModifiedBy>
  <cp:revision>3</cp:revision>
  <cp:lastPrinted>2019-12-09T20:32:00Z</cp:lastPrinted>
  <dcterms:created xsi:type="dcterms:W3CDTF">2020-04-22T21:46:00Z</dcterms:created>
  <dcterms:modified xsi:type="dcterms:W3CDTF">2020-06-19T14:07:00Z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2b20832d-f461-3a6b-a225-9f8d75c8149c</vt:lpwstr>
  </property>
  <property fmtid="{D5CDD505-2E9C-101B-9397-08002B2CF9AE}" pid="4" name="Mendeley Citation Style_1">
    <vt:lpwstr>http://www.zotero.org/styles/nature</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vt:lpwstr>
  </property>
  <property fmtid="{D5CDD505-2E9C-101B-9397-08002B2CF9AE}" pid="7" name="Mendeley Recent Style Id 1_1">
    <vt:lpwstr>http://www.zotero.org/styles/harvard-cite-them-right</vt:lpwstr>
  </property>
  <property fmtid="{D5CDD505-2E9C-101B-9397-08002B2CF9AE}" pid="8" name="Mendeley Recent Style Name 1_1">
    <vt:lpwstr>Cite Them Right 10th edition - Harvard</vt:lpwstr>
  </property>
  <property fmtid="{D5CDD505-2E9C-101B-9397-08002B2CF9AE}" pid="9" name="Mendeley Recent Style Id 2_1">
    <vt:lpwstr>http://www.zotero.org/styles/elsevier-vancouver</vt:lpwstr>
  </property>
  <property fmtid="{D5CDD505-2E9C-101B-9397-08002B2CF9AE}" pid="10" name="Mendeley Recent Style Name 2_1">
    <vt:lpwstr>Elsevier - Vancouver</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http://www.zotero.org/styles/interactive-cardiovascular-and-thoracic-surgery</vt:lpwstr>
  </property>
  <property fmtid="{D5CDD505-2E9C-101B-9397-08002B2CF9AE}" pid="14" name="Mendeley Recent Style Name 4_1">
    <vt:lpwstr>Interactive CardioVascular and Thoracic Surgery</vt:lpwstr>
  </property>
  <property fmtid="{D5CDD505-2E9C-101B-9397-08002B2CF9AE}" pid="15" name="Mendeley Recent Style Id 5_1">
    <vt:lpwstr>http://www.zotero.org/styles/journal-of-neuroinflammation</vt:lpwstr>
  </property>
  <property fmtid="{D5CDD505-2E9C-101B-9397-08002B2CF9AE}" pid="16" name="Mendeley Recent Style Name 5_1">
    <vt:lpwstr>Journal of Neuroinflammation</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http://csl.mendeley.com/styles/68938581/vancouver</vt:lpwstr>
  </property>
  <property fmtid="{D5CDD505-2E9C-101B-9397-08002B2CF9AE}" pid="24" name="Mendeley Recent Style Name 9_1">
    <vt:lpwstr>Vancouver - Molly Swanson</vt:lpwstr>
  </property>
  <property fmtid="{D5CDD505-2E9C-101B-9397-08002B2CF9AE}" pid="25" name="ContentTypeId">
    <vt:lpwstr>0x010100BC500A7CA5558A43926FCECE0238CE2C</vt:lpwstr>
  </property>
</Properties>
</file>