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9C153" w14:textId="77777777" w:rsidR="0092786C" w:rsidRDefault="0092786C" w:rsidP="0092786C">
      <w:pPr>
        <w:spacing w:after="0" w:line="240" w:lineRule="auto"/>
        <w:rPr>
          <w:rFonts w:ascii="Times New Roman" w:hAnsi="Times New Roman" w:cs="Times New Roman"/>
          <w:b/>
          <w:sz w:val="24"/>
          <w:szCs w:val="24"/>
        </w:rPr>
      </w:pPr>
      <w:r>
        <w:rPr>
          <w:rFonts w:ascii="Times New Roman" w:hAnsi="Times New Roman" w:cs="Times New Roman"/>
          <w:b/>
          <w:sz w:val="24"/>
          <w:szCs w:val="24"/>
        </w:rPr>
        <w:t>SUPPLEMENTAL MATERIALS</w:t>
      </w:r>
    </w:p>
    <w:p w14:paraId="3CDA30BE" w14:textId="77777777" w:rsidR="0092786C" w:rsidRDefault="0092786C" w:rsidP="0092786C">
      <w:pPr>
        <w:spacing w:after="0" w:line="240" w:lineRule="auto"/>
        <w:rPr>
          <w:rFonts w:ascii="Times New Roman" w:hAnsi="Times New Roman" w:cs="Times New Roman"/>
          <w:b/>
          <w:sz w:val="24"/>
          <w:szCs w:val="24"/>
        </w:rPr>
      </w:pPr>
    </w:p>
    <w:p w14:paraId="198CCD95" w14:textId="50F7D3F4" w:rsidR="0092786C" w:rsidRDefault="0092786C" w:rsidP="009278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Manuscript Title: A Comparison of Proteomic, </w:t>
      </w:r>
      <w:r w:rsidRPr="008F4DA9">
        <w:rPr>
          <w:rFonts w:ascii="Times New Roman" w:hAnsi="Times New Roman" w:cs="Times New Roman"/>
          <w:b/>
          <w:sz w:val="24"/>
          <w:szCs w:val="24"/>
        </w:rPr>
        <w:t>Genomic, and Osteological</w:t>
      </w:r>
      <w:r>
        <w:rPr>
          <w:rFonts w:ascii="Times New Roman" w:hAnsi="Times New Roman" w:cs="Times New Roman"/>
          <w:b/>
          <w:sz w:val="24"/>
          <w:szCs w:val="24"/>
        </w:rPr>
        <w:t xml:space="preserve"> Methods of</w:t>
      </w:r>
      <w:r w:rsidRPr="008F4DA9">
        <w:rPr>
          <w:rFonts w:ascii="Times New Roman" w:hAnsi="Times New Roman" w:cs="Times New Roman"/>
          <w:b/>
          <w:sz w:val="24"/>
          <w:szCs w:val="24"/>
        </w:rPr>
        <w:t xml:space="preserve"> </w:t>
      </w:r>
      <w:r>
        <w:rPr>
          <w:rFonts w:ascii="Times New Roman" w:hAnsi="Times New Roman" w:cs="Times New Roman"/>
          <w:b/>
          <w:sz w:val="24"/>
          <w:szCs w:val="24"/>
        </w:rPr>
        <w:t xml:space="preserve">Archaeological </w:t>
      </w:r>
      <w:r w:rsidRPr="008F4DA9">
        <w:rPr>
          <w:rFonts w:ascii="Times New Roman" w:hAnsi="Times New Roman" w:cs="Times New Roman"/>
          <w:b/>
          <w:sz w:val="24"/>
          <w:szCs w:val="24"/>
        </w:rPr>
        <w:t>Sex Estimation</w:t>
      </w:r>
      <w:r>
        <w:rPr>
          <w:rFonts w:ascii="Times New Roman" w:hAnsi="Times New Roman" w:cs="Times New Roman"/>
          <w:b/>
          <w:sz w:val="24"/>
          <w:szCs w:val="24"/>
        </w:rPr>
        <w:t xml:space="preserve"> </w:t>
      </w:r>
    </w:p>
    <w:p w14:paraId="49B782ED" w14:textId="77777777" w:rsidR="0092786C" w:rsidRPr="008F4DA9" w:rsidRDefault="0092786C" w:rsidP="0092786C">
      <w:pPr>
        <w:spacing w:after="0" w:line="240" w:lineRule="auto"/>
        <w:rPr>
          <w:rFonts w:ascii="Times New Roman" w:hAnsi="Times New Roman" w:cs="Times New Roman"/>
          <w:b/>
          <w:sz w:val="24"/>
          <w:szCs w:val="24"/>
        </w:rPr>
      </w:pPr>
    </w:p>
    <w:p w14:paraId="2026A7F9" w14:textId="77777777" w:rsidR="0092786C" w:rsidRPr="00810D8A" w:rsidRDefault="0092786C" w:rsidP="0092786C">
      <w:pPr>
        <w:spacing w:after="0" w:line="240" w:lineRule="auto"/>
        <w:rPr>
          <w:rFonts w:ascii="Times New Roman" w:hAnsi="Times New Roman" w:cs="Times New Roman"/>
          <w:b/>
          <w:sz w:val="24"/>
          <w:szCs w:val="24"/>
        </w:rPr>
      </w:pPr>
      <w:r w:rsidRPr="00810D8A">
        <w:rPr>
          <w:rFonts w:ascii="Times New Roman" w:hAnsi="Times New Roman" w:cs="Times New Roman"/>
          <w:b/>
          <w:sz w:val="24"/>
          <w:szCs w:val="24"/>
        </w:rPr>
        <w:t>Author</w:t>
      </w:r>
      <w:r>
        <w:rPr>
          <w:rFonts w:ascii="Times New Roman" w:hAnsi="Times New Roman" w:cs="Times New Roman"/>
          <w:b/>
          <w:sz w:val="24"/>
          <w:szCs w:val="24"/>
        </w:rPr>
        <w:t>s</w:t>
      </w:r>
      <w:r w:rsidRPr="00810D8A">
        <w:rPr>
          <w:rFonts w:ascii="Times New Roman" w:hAnsi="Times New Roman" w:cs="Times New Roman"/>
          <w:b/>
          <w:sz w:val="24"/>
          <w:szCs w:val="24"/>
        </w:rPr>
        <w:t>:</w:t>
      </w:r>
    </w:p>
    <w:p w14:paraId="0606C830" w14:textId="7A71972C" w:rsidR="0092786C" w:rsidRPr="00627137" w:rsidRDefault="0092786C" w:rsidP="0092786C">
      <w:pPr>
        <w:spacing w:after="0" w:line="240" w:lineRule="auto"/>
        <w:rPr>
          <w:rFonts w:ascii="Times New Roman" w:hAnsi="Times New Roman" w:cs="Times New Roman"/>
          <w:sz w:val="24"/>
          <w:szCs w:val="24"/>
        </w:rPr>
      </w:pPr>
      <w:r w:rsidRPr="00627137">
        <w:rPr>
          <w:rFonts w:ascii="Times New Roman" w:hAnsi="Times New Roman" w:cs="Times New Roman"/>
          <w:sz w:val="24"/>
          <w:szCs w:val="24"/>
        </w:rPr>
        <w:t>Tammy Buonasera</w:t>
      </w:r>
      <w:r w:rsidRPr="00627137">
        <w:rPr>
          <w:rFonts w:ascii="Times New Roman" w:hAnsi="Times New Roman" w:cs="Times New Roman"/>
          <w:sz w:val="24"/>
          <w:szCs w:val="24"/>
          <w:vertAlign w:val="superscript"/>
        </w:rPr>
        <w:t>1,2</w:t>
      </w:r>
      <w:r w:rsidR="004E7134" w:rsidRPr="00627137">
        <w:rPr>
          <w:rFonts w:ascii="Times New Roman" w:hAnsi="Times New Roman" w:cs="Times New Roman"/>
          <w:sz w:val="24"/>
          <w:szCs w:val="24"/>
        </w:rPr>
        <w:t>*</w:t>
      </w:r>
      <w:r w:rsidRPr="00627137">
        <w:rPr>
          <w:rFonts w:ascii="Times New Roman" w:hAnsi="Times New Roman" w:cs="Times New Roman"/>
          <w:sz w:val="24"/>
          <w:szCs w:val="24"/>
        </w:rPr>
        <w:t xml:space="preserve">, </w:t>
      </w:r>
      <w:proofErr w:type="spellStart"/>
      <w:r w:rsidRPr="00627137">
        <w:rPr>
          <w:rFonts w:ascii="Times New Roman" w:hAnsi="Times New Roman" w:cs="Times New Roman"/>
          <w:sz w:val="24"/>
          <w:szCs w:val="24"/>
        </w:rPr>
        <w:t>Jelmer</w:t>
      </w:r>
      <w:proofErr w:type="spellEnd"/>
      <w:r w:rsidRPr="00627137">
        <w:rPr>
          <w:rFonts w:ascii="Times New Roman" w:hAnsi="Times New Roman" w:cs="Times New Roman"/>
          <w:sz w:val="24"/>
          <w:szCs w:val="24"/>
        </w:rPr>
        <w:t xml:space="preserve"> </w:t>
      </w:r>
      <w:r w:rsidRPr="00127C25">
        <w:rPr>
          <w:rFonts w:ascii="Times New Roman" w:hAnsi="Times New Roman" w:cs="Times New Roman"/>
          <w:sz w:val="24"/>
          <w:szCs w:val="24"/>
        </w:rPr>
        <w:t>Eerkens</w:t>
      </w:r>
      <w:r w:rsidRPr="00127C25">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sidRPr="00627137">
        <w:rPr>
          <w:rFonts w:ascii="Times New Roman" w:hAnsi="Times New Roman" w:cs="Times New Roman"/>
          <w:sz w:val="24"/>
          <w:szCs w:val="24"/>
        </w:rPr>
        <w:t>Alida</w:t>
      </w:r>
      <w:proofErr w:type="spellEnd"/>
      <w:r w:rsidRPr="00627137">
        <w:rPr>
          <w:rFonts w:ascii="Times New Roman" w:hAnsi="Times New Roman" w:cs="Times New Roman"/>
          <w:sz w:val="24"/>
          <w:szCs w:val="24"/>
        </w:rPr>
        <w:t xml:space="preserve"> de Flamingh</w:t>
      </w:r>
      <w:r>
        <w:rPr>
          <w:rFonts w:ascii="Times New Roman" w:hAnsi="Times New Roman" w:cs="Times New Roman"/>
          <w:sz w:val="24"/>
          <w:szCs w:val="24"/>
          <w:vertAlign w:val="superscript"/>
        </w:rPr>
        <w:t>3</w:t>
      </w:r>
      <w:r>
        <w:rPr>
          <w:rFonts w:ascii="Times New Roman" w:hAnsi="Times New Roman" w:cs="Times New Roman"/>
          <w:sz w:val="24"/>
          <w:szCs w:val="24"/>
        </w:rPr>
        <w:t>, Laurel</w:t>
      </w:r>
      <w:r w:rsidRPr="00627137">
        <w:rPr>
          <w:rFonts w:ascii="Times New Roman" w:hAnsi="Times New Roman" w:cs="Times New Roman"/>
          <w:sz w:val="24"/>
          <w:szCs w:val="24"/>
        </w:rPr>
        <w:t xml:space="preserve"> Engbring</w:t>
      </w:r>
      <w:r>
        <w:rPr>
          <w:rFonts w:ascii="Times New Roman" w:hAnsi="Times New Roman" w:cs="Times New Roman"/>
          <w:sz w:val="24"/>
          <w:szCs w:val="24"/>
          <w:vertAlign w:val="superscript"/>
        </w:rPr>
        <w:t>4</w:t>
      </w:r>
      <w:r w:rsidRPr="00627137">
        <w:rPr>
          <w:rFonts w:ascii="Times New Roman" w:hAnsi="Times New Roman" w:cs="Times New Roman"/>
          <w:sz w:val="24"/>
          <w:szCs w:val="24"/>
        </w:rPr>
        <w:t xml:space="preserve">, </w:t>
      </w:r>
      <w:r>
        <w:rPr>
          <w:rFonts w:ascii="Times New Roman" w:hAnsi="Times New Roman" w:cs="Times New Roman"/>
          <w:sz w:val="24"/>
          <w:szCs w:val="24"/>
        </w:rPr>
        <w:t>Julia Yip</w:t>
      </w:r>
      <w:r w:rsidRPr="00127C25">
        <w:rPr>
          <w:rFonts w:ascii="Times New Roman" w:hAnsi="Times New Roman" w:cs="Times New Roman"/>
          <w:sz w:val="24"/>
          <w:szCs w:val="24"/>
          <w:vertAlign w:val="superscript"/>
        </w:rPr>
        <w:t>1</w:t>
      </w:r>
      <w:r>
        <w:rPr>
          <w:rFonts w:ascii="Times New Roman" w:hAnsi="Times New Roman" w:cs="Times New Roman"/>
          <w:sz w:val="24"/>
          <w:szCs w:val="24"/>
        </w:rPr>
        <w:t>, Hongjie Li</w:t>
      </w:r>
      <w:r>
        <w:rPr>
          <w:rFonts w:ascii="Times New Roman" w:hAnsi="Times New Roman" w:cs="Times New Roman"/>
          <w:sz w:val="24"/>
          <w:szCs w:val="24"/>
          <w:vertAlign w:val="superscript"/>
        </w:rPr>
        <w:t>5</w:t>
      </w:r>
      <w:r>
        <w:rPr>
          <w:rFonts w:ascii="Times New Roman" w:hAnsi="Times New Roman" w:cs="Times New Roman"/>
          <w:sz w:val="24"/>
          <w:szCs w:val="24"/>
        </w:rPr>
        <w:t>, Randall Haas</w:t>
      </w:r>
      <w:r w:rsidRPr="00127C25">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0B52ED">
        <w:rPr>
          <w:rFonts w:ascii="Times New Roman" w:hAnsi="Times New Roman" w:cs="Times New Roman"/>
          <w:sz w:val="24"/>
          <w:szCs w:val="24"/>
        </w:rPr>
        <w:t xml:space="preserve">Diane </w:t>
      </w:r>
      <w:bookmarkStart w:id="0" w:name="OLE_LINK1"/>
      <w:bookmarkStart w:id="1" w:name="OLE_LINK2"/>
      <w:r>
        <w:rPr>
          <w:rFonts w:ascii="Times New Roman" w:hAnsi="Times New Roman" w:cs="Times New Roman"/>
          <w:sz w:val="24"/>
          <w:szCs w:val="24"/>
        </w:rPr>
        <w:t>D</w:t>
      </w:r>
      <w:r w:rsidRPr="000B52ED">
        <w:rPr>
          <w:rFonts w:ascii="Times New Roman" w:hAnsi="Times New Roman" w:cs="Times New Roman"/>
          <w:sz w:val="24"/>
          <w:szCs w:val="24"/>
        </w:rPr>
        <w:t>iGiuseppe</w:t>
      </w:r>
      <w:bookmarkEnd w:id="0"/>
      <w:bookmarkEnd w:id="1"/>
      <w:r>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sidRPr="000B52ED">
        <w:rPr>
          <w:rFonts w:ascii="Times New Roman" w:hAnsi="Times New Roman" w:cs="Times New Roman"/>
          <w:sz w:val="24"/>
          <w:szCs w:val="24"/>
        </w:rPr>
        <w:t>Dav</w:t>
      </w:r>
      <w:r>
        <w:rPr>
          <w:rFonts w:ascii="Times New Roman" w:hAnsi="Times New Roman" w:cs="Times New Roman"/>
          <w:sz w:val="24"/>
          <w:szCs w:val="24"/>
        </w:rPr>
        <w:t>e</w:t>
      </w:r>
      <w:r w:rsidRPr="000B52ED">
        <w:rPr>
          <w:rFonts w:ascii="Times New Roman" w:hAnsi="Times New Roman" w:cs="Times New Roman"/>
          <w:sz w:val="24"/>
          <w:szCs w:val="24"/>
        </w:rPr>
        <w:t xml:space="preserve"> Grant</w:t>
      </w:r>
      <w:r>
        <w:rPr>
          <w:rFonts w:ascii="Times New Roman" w:hAnsi="Times New Roman" w:cs="Times New Roman"/>
          <w:sz w:val="24"/>
          <w:szCs w:val="24"/>
          <w:vertAlign w:val="superscript"/>
        </w:rPr>
        <w:t>6</w:t>
      </w:r>
      <w:r>
        <w:rPr>
          <w:rFonts w:ascii="Times New Roman" w:hAnsi="Times New Roman" w:cs="Times New Roman"/>
          <w:sz w:val="24"/>
          <w:szCs w:val="24"/>
        </w:rPr>
        <w:t>, Michelle Salemi</w:t>
      </w:r>
      <w:r>
        <w:rPr>
          <w:rFonts w:ascii="Times New Roman" w:hAnsi="Times New Roman" w:cs="Times New Roman"/>
          <w:sz w:val="24"/>
          <w:szCs w:val="24"/>
          <w:vertAlign w:val="superscript"/>
        </w:rPr>
        <w:t>7</w:t>
      </w:r>
      <w:r>
        <w:rPr>
          <w:rFonts w:ascii="Times New Roman" w:hAnsi="Times New Roman" w:cs="Times New Roman"/>
          <w:sz w:val="24"/>
          <w:szCs w:val="24"/>
        </w:rPr>
        <w:t>,</w:t>
      </w:r>
      <w:r w:rsidDel="00AB2941">
        <w:rPr>
          <w:rFonts w:ascii="Times New Roman" w:hAnsi="Times New Roman" w:cs="Times New Roman"/>
          <w:sz w:val="24"/>
          <w:szCs w:val="24"/>
        </w:rPr>
        <w:t xml:space="preserve"> </w:t>
      </w:r>
      <w:r w:rsidRPr="0029795E">
        <w:rPr>
          <w:rFonts w:ascii="Times New Roman" w:hAnsi="Times New Roman" w:cs="Times New Roman"/>
          <w:sz w:val="24"/>
          <w:szCs w:val="24"/>
        </w:rPr>
        <w:t>Charlene Nijmeh</w:t>
      </w:r>
      <w:r>
        <w:rPr>
          <w:rFonts w:ascii="Times New Roman" w:hAnsi="Times New Roman" w:cs="Times New Roman"/>
          <w:sz w:val="24"/>
          <w:szCs w:val="24"/>
          <w:vertAlign w:val="superscript"/>
        </w:rPr>
        <w:t>8</w:t>
      </w:r>
      <w:r w:rsidRPr="0029795E">
        <w:rPr>
          <w:rFonts w:ascii="Times New Roman" w:hAnsi="Times New Roman" w:cs="Times New Roman"/>
          <w:sz w:val="24"/>
          <w:szCs w:val="24"/>
        </w:rPr>
        <w:t>, Monica Arellano</w:t>
      </w:r>
      <w:r>
        <w:rPr>
          <w:rFonts w:ascii="Times New Roman" w:hAnsi="Times New Roman" w:cs="Times New Roman"/>
          <w:sz w:val="24"/>
          <w:szCs w:val="24"/>
          <w:vertAlign w:val="superscript"/>
        </w:rPr>
        <w:t>8</w:t>
      </w:r>
      <w:r w:rsidRPr="0029795E">
        <w:rPr>
          <w:rFonts w:ascii="Times New Roman" w:hAnsi="Times New Roman" w:cs="Times New Roman"/>
          <w:sz w:val="24"/>
          <w:szCs w:val="24"/>
        </w:rPr>
        <w:t>, Alan Leventhal</w:t>
      </w:r>
      <w:r>
        <w:rPr>
          <w:rFonts w:ascii="Times New Roman" w:hAnsi="Times New Roman" w:cs="Times New Roman"/>
          <w:sz w:val="24"/>
          <w:szCs w:val="24"/>
          <w:vertAlign w:val="superscript"/>
        </w:rPr>
        <w:t>8,9</w:t>
      </w:r>
      <w:r>
        <w:rPr>
          <w:rFonts w:ascii="Times New Roman" w:hAnsi="Times New Roman" w:cs="Times New Roman"/>
          <w:sz w:val="24"/>
          <w:szCs w:val="24"/>
        </w:rPr>
        <w:t>,</w:t>
      </w:r>
      <w:r w:rsidRPr="0029795E">
        <w:rPr>
          <w:rFonts w:ascii="Times New Roman" w:hAnsi="Times New Roman" w:cs="Times New Roman"/>
          <w:sz w:val="24"/>
          <w:szCs w:val="24"/>
        </w:rPr>
        <w:t xml:space="preserve"> </w:t>
      </w:r>
      <w:r>
        <w:rPr>
          <w:rFonts w:ascii="Times New Roman" w:hAnsi="Times New Roman" w:cs="Times New Roman"/>
          <w:sz w:val="24"/>
          <w:szCs w:val="24"/>
        </w:rPr>
        <w:t xml:space="preserve">Brett </w:t>
      </w:r>
      <w:r w:rsidRPr="007226D7">
        <w:rPr>
          <w:rFonts w:ascii="Times New Roman" w:hAnsi="Times New Roman" w:cs="Times New Roman"/>
          <w:sz w:val="24"/>
          <w:szCs w:val="24"/>
        </w:rPr>
        <w:t>Phinney</w:t>
      </w:r>
      <w:r>
        <w:rPr>
          <w:rFonts w:ascii="Times New Roman" w:hAnsi="Times New Roman" w:cs="Times New Roman"/>
          <w:sz w:val="24"/>
          <w:szCs w:val="24"/>
          <w:vertAlign w:val="superscript"/>
        </w:rPr>
        <w:t>7</w:t>
      </w:r>
      <w:r>
        <w:rPr>
          <w:rFonts w:ascii="Times New Roman" w:hAnsi="Times New Roman" w:cs="Times New Roman"/>
          <w:sz w:val="24"/>
          <w:szCs w:val="24"/>
        </w:rPr>
        <w:t xml:space="preserve">, </w:t>
      </w:r>
      <w:r w:rsidRPr="007226D7">
        <w:rPr>
          <w:rFonts w:ascii="Times New Roman" w:hAnsi="Times New Roman" w:cs="Times New Roman"/>
          <w:sz w:val="24"/>
          <w:szCs w:val="24"/>
        </w:rPr>
        <w:t>Brian</w:t>
      </w:r>
      <w:r w:rsidRPr="00627137">
        <w:rPr>
          <w:rFonts w:ascii="Times New Roman" w:hAnsi="Times New Roman" w:cs="Times New Roman"/>
          <w:sz w:val="24"/>
          <w:szCs w:val="24"/>
        </w:rPr>
        <w:t xml:space="preserve"> </w:t>
      </w:r>
      <w:r>
        <w:rPr>
          <w:rFonts w:ascii="Times New Roman" w:hAnsi="Times New Roman" w:cs="Times New Roman"/>
          <w:sz w:val="24"/>
          <w:szCs w:val="24"/>
        </w:rPr>
        <w:t xml:space="preserve">F. </w:t>
      </w:r>
      <w:r w:rsidRPr="00627137">
        <w:rPr>
          <w:rFonts w:ascii="Times New Roman" w:hAnsi="Times New Roman" w:cs="Times New Roman"/>
          <w:sz w:val="24"/>
          <w:szCs w:val="24"/>
        </w:rPr>
        <w:t>Byrd</w:t>
      </w:r>
      <w:r>
        <w:rPr>
          <w:rFonts w:ascii="Times New Roman" w:hAnsi="Times New Roman" w:cs="Times New Roman"/>
          <w:sz w:val="24"/>
          <w:szCs w:val="24"/>
          <w:vertAlign w:val="superscript"/>
        </w:rPr>
        <w:t>4</w:t>
      </w:r>
      <w:r>
        <w:rPr>
          <w:rFonts w:ascii="Times New Roman" w:hAnsi="Times New Roman" w:cs="Times New Roman"/>
          <w:sz w:val="24"/>
          <w:szCs w:val="24"/>
        </w:rPr>
        <w:t>,</w:t>
      </w:r>
      <w:r w:rsidRPr="00627137">
        <w:rPr>
          <w:rFonts w:ascii="Times New Roman" w:hAnsi="Times New Roman" w:cs="Times New Roman"/>
          <w:sz w:val="24"/>
          <w:szCs w:val="24"/>
        </w:rPr>
        <w:t xml:space="preserve"> </w:t>
      </w:r>
      <w:proofErr w:type="spellStart"/>
      <w:r w:rsidRPr="00627137">
        <w:rPr>
          <w:rFonts w:ascii="Times New Roman" w:hAnsi="Times New Roman" w:cs="Times New Roman"/>
          <w:sz w:val="24"/>
          <w:szCs w:val="24"/>
        </w:rPr>
        <w:t>Ripan</w:t>
      </w:r>
      <w:proofErr w:type="spellEnd"/>
      <w:r w:rsidRPr="00627137">
        <w:rPr>
          <w:rFonts w:ascii="Times New Roman" w:hAnsi="Times New Roman" w:cs="Times New Roman"/>
          <w:sz w:val="24"/>
          <w:szCs w:val="24"/>
        </w:rPr>
        <w:t xml:space="preserve"> </w:t>
      </w:r>
      <w:r>
        <w:rPr>
          <w:rFonts w:ascii="Times New Roman" w:hAnsi="Times New Roman" w:cs="Times New Roman"/>
          <w:sz w:val="24"/>
          <w:szCs w:val="24"/>
        </w:rPr>
        <w:t xml:space="preserve">S. </w:t>
      </w:r>
      <w:r w:rsidRPr="00627137">
        <w:rPr>
          <w:rFonts w:ascii="Times New Roman" w:hAnsi="Times New Roman" w:cs="Times New Roman"/>
          <w:sz w:val="24"/>
          <w:szCs w:val="24"/>
        </w:rPr>
        <w:t>Malhi</w:t>
      </w:r>
      <w:r>
        <w:rPr>
          <w:rFonts w:ascii="Times New Roman" w:hAnsi="Times New Roman" w:cs="Times New Roman"/>
          <w:sz w:val="24"/>
          <w:szCs w:val="24"/>
          <w:vertAlign w:val="superscript"/>
        </w:rPr>
        <w:t>3,5,10</w:t>
      </w:r>
      <w:r w:rsidRPr="00127C25">
        <w:rPr>
          <w:rFonts w:ascii="Times New Roman" w:hAnsi="Times New Roman" w:cs="Times New Roman"/>
          <w:sz w:val="24"/>
          <w:szCs w:val="24"/>
        </w:rPr>
        <w:t>,</w:t>
      </w:r>
      <w:r>
        <w:rPr>
          <w:rFonts w:ascii="Times New Roman" w:hAnsi="Times New Roman" w:cs="Times New Roman"/>
          <w:sz w:val="24"/>
          <w:szCs w:val="24"/>
        </w:rPr>
        <w:t xml:space="preserve"> </w:t>
      </w:r>
      <w:r w:rsidRPr="00127C25">
        <w:rPr>
          <w:rFonts w:ascii="Times New Roman" w:hAnsi="Times New Roman" w:cs="Times New Roman"/>
          <w:sz w:val="24"/>
          <w:szCs w:val="24"/>
        </w:rPr>
        <w:t>Glendon</w:t>
      </w:r>
      <w:r w:rsidRPr="00627137">
        <w:rPr>
          <w:rFonts w:ascii="Times New Roman" w:hAnsi="Times New Roman" w:cs="Times New Roman"/>
          <w:sz w:val="24"/>
          <w:szCs w:val="24"/>
        </w:rPr>
        <w:t xml:space="preserve"> Parker</w:t>
      </w:r>
      <w:r w:rsidRPr="00627137">
        <w:rPr>
          <w:rFonts w:ascii="Times New Roman" w:hAnsi="Times New Roman" w:cs="Times New Roman"/>
          <w:sz w:val="24"/>
          <w:szCs w:val="24"/>
          <w:vertAlign w:val="superscript"/>
        </w:rPr>
        <w:t>1</w:t>
      </w:r>
      <w:r w:rsidRPr="00627137">
        <w:rPr>
          <w:rFonts w:ascii="Times New Roman" w:hAnsi="Times New Roman" w:cs="Times New Roman"/>
          <w:sz w:val="24"/>
          <w:szCs w:val="24"/>
        </w:rPr>
        <w:t>*</w:t>
      </w:r>
    </w:p>
    <w:p w14:paraId="4D3A8CEA" w14:textId="77777777" w:rsidR="0092786C" w:rsidRDefault="0092786C" w:rsidP="0092786C">
      <w:pPr>
        <w:spacing w:after="0" w:line="240" w:lineRule="auto"/>
        <w:rPr>
          <w:rFonts w:ascii="Times New Roman" w:hAnsi="Times New Roman" w:cs="Times New Roman"/>
          <w:b/>
          <w:sz w:val="24"/>
          <w:szCs w:val="24"/>
        </w:rPr>
      </w:pPr>
    </w:p>
    <w:p w14:paraId="5A3CBEAE" w14:textId="77777777" w:rsidR="0092786C" w:rsidRPr="008F4DA9" w:rsidRDefault="0092786C" w:rsidP="0092786C">
      <w:pPr>
        <w:spacing w:after="0" w:line="240" w:lineRule="auto"/>
        <w:rPr>
          <w:rFonts w:ascii="Times New Roman" w:hAnsi="Times New Roman" w:cs="Times New Roman"/>
          <w:b/>
          <w:sz w:val="24"/>
          <w:szCs w:val="24"/>
        </w:rPr>
      </w:pPr>
      <w:r>
        <w:rPr>
          <w:rFonts w:ascii="Times New Roman" w:hAnsi="Times New Roman" w:cs="Times New Roman"/>
          <w:b/>
          <w:sz w:val="24"/>
          <w:szCs w:val="24"/>
        </w:rPr>
        <w:t>Author Affiliations:</w:t>
      </w:r>
    </w:p>
    <w:p w14:paraId="676BF299" w14:textId="77777777" w:rsidR="0092786C" w:rsidRPr="00F57796" w:rsidRDefault="0092786C" w:rsidP="0092786C">
      <w:pPr>
        <w:spacing w:after="0" w:line="240" w:lineRule="auto"/>
        <w:rPr>
          <w:rFonts w:ascii="Times New Roman" w:hAnsi="Times New Roman" w:cs="Times New Roman"/>
          <w:bCs/>
        </w:rPr>
      </w:pPr>
      <w:r w:rsidRPr="00F57796">
        <w:rPr>
          <w:rFonts w:ascii="Times New Roman" w:hAnsi="Times New Roman" w:cs="Times New Roman"/>
          <w:bCs/>
        </w:rPr>
        <w:t xml:space="preserve">1. Department of Environmental Toxicology, University of California, Davis </w:t>
      </w:r>
    </w:p>
    <w:p w14:paraId="3346CC2C" w14:textId="77777777" w:rsidR="0092786C" w:rsidRPr="00F57796" w:rsidRDefault="0092786C" w:rsidP="0092786C">
      <w:pPr>
        <w:spacing w:after="0" w:line="240" w:lineRule="auto"/>
        <w:rPr>
          <w:rFonts w:ascii="Times New Roman" w:hAnsi="Times New Roman" w:cs="Times New Roman"/>
          <w:bCs/>
        </w:rPr>
      </w:pPr>
      <w:r w:rsidRPr="00F57796">
        <w:rPr>
          <w:rFonts w:ascii="Times New Roman" w:hAnsi="Times New Roman" w:cs="Times New Roman"/>
          <w:bCs/>
        </w:rPr>
        <w:t>2. Department of Anthropology, University of California, Davis</w:t>
      </w:r>
    </w:p>
    <w:p w14:paraId="3E137FBD" w14:textId="77777777" w:rsidR="0092786C" w:rsidRPr="00F57796" w:rsidRDefault="0092786C" w:rsidP="0092786C">
      <w:pPr>
        <w:spacing w:after="0" w:line="240" w:lineRule="auto"/>
        <w:rPr>
          <w:rFonts w:ascii="Times New Roman" w:eastAsia="Times New Roman" w:hAnsi="Times New Roman" w:cs="Times New Roman"/>
          <w:color w:val="000000"/>
        </w:rPr>
      </w:pPr>
      <w:r w:rsidRPr="00F57796">
        <w:rPr>
          <w:rFonts w:ascii="Times New Roman" w:hAnsi="Times New Roman" w:cs="Times New Roman"/>
          <w:bCs/>
        </w:rPr>
        <w:t xml:space="preserve">3. </w:t>
      </w:r>
      <w:r w:rsidRPr="00F57796">
        <w:rPr>
          <w:rFonts w:ascii="Times New Roman" w:eastAsia="Times New Roman" w:hAnsi="Times New Roman" w:cs="Times New Roman"/>
          <w:color w:val="000000"/>
        </w:rPr>
        <w:t>Program in Ecology, Evolution and Conservation Biology, University of Illinois at Urbana-</w:t>
      </w:r>
    </w:p>
    <w:p w14:paraId="0D1841A4" w14:textId="77777777" w:rsidR="0092786C" w:rsidRPr="00F57796" w:rsidRDefault="0092786C" w:rsidP="0092786C">
      <w:pPr>
        <w:spacing w:after="0" w:line="240" w:lineRule="auto"/>
        <w:rPr>
          <w:rFonts w:ascii="Times New Roman" w:eastAsia="Times New Roman" w:hAnsi="Times New Roman" w:cs="Times New Roman"/>
          <w:color w:val="000000"/>
        </w:rPr>
      </w:pPr>
      <w:r w:rsidRPr="00F57796">
        <w:rPr>
          <w:rFonts w:ascii="Times New Roman" w:eastAsia="Times New Roman" w:hAnsi="Times New Roman" w:cs="Times New Roman"/>
          <w:color w:val="000000"/>
        </w:rPr>
        <w:t xml:space="preserve">    Champaign</w:t>
      </w:r>
      <w:r>
        <w:rPr>
          <w:rFonts w:ascii="Times New Roman" w:eastAsia="Times New Roman" w:hAnsi="Times New Roman" w:cs="Times New Roman"/>
          <w:color w:val="000000"/>
        </w:rPr>
        <w:t xml:space="preserve"> </w:t>
      </w:r>
    </w:p>
    <w:p w14:paraId="769AEB18" w14:textId="77777777" w:rsidR="0092786C" w:rsidRPr="00F57796" w:rsidRDefault="0092786C" w:rsidP="0092786C">
      <w:pPr>
        <w:spacing w:after="0" w:line="240" w:lineRule="auto"/>
        <w:rPr>
          <w:rFonts w:ascii="Times New Roman" w:hAnsi="Times New Roman" w:cs="Times New Roman"/>
          <w:bCs/>
        </w:rPr>
      </w:pPr>
      <w:r w:rsidRPr="00F57796">
        <w:rPr>
          <w:rFonts w:ascii="Times New Roman" w:eastAsia="Times New Roman" w:hAnsi="Times New Roman" w:cs="Times New Roman"/>
          <w:color w:val="000000"/>
        </w:rPr>
        <w:t xml:space="preserve">4. </w:t>
      </w:r>
      <w:r w:rsidRPr="00F57796">
        <w:rPr>
          <w:rFonts w:ascii="Times New Roman" w:hAnsi="Times New Roman" w:cs="Times New Roman"/>
          <w:bCs/>
        </w:rPr>
        <w:t>Far Western Anthropological Research Group, Inc., Davis, California</w:t>
      </w:r>
    </w:p>
    <w:p w14:paraId="3039F29A" w14:textId="77777777" w:rsidR="0092786C" w:rsidRDefault="0092786C" w:rsidP="0092786C">
      <w:pPr>
        <w:spacing w:after="0" w:line="240" w:lineRule="auto"/>
        <w:rPr>
          <w:rFonts w:ascii="Times New Roman" w:eastAsia="Times New Roman" w:hAnsi="Times New Roman" w:cs="Times New Roman"/>
          <w:color w:val="000000"/>
        </w:rPr>
      </w:pPr>
      <w:r w:rsidRPr="00F57796">
        <w:rPr>
          <w:rFonts w:ascii="Times New Roman" w:eastAsia="Times New Roman" w:hAnsi="Times New Roman" w:cs="Times New Roman"/>
          <w:color w:val="000000"/>
        </w:rPr>
        <w:t xml:space="preserve">5. </w:t>
      </w:r>
      <w:r w:rsidRPr="00F57796">
        <w:rPr>
          <w:rFonts w:ascii="Times New Roman" w:hAnsi="Times New Roman" w:cs="Times New Roman"/>
          <w:bCs/>
        </w:rPr>
        <w:t xml:space="preserve">Department of Anthropology, </w:t>
      </w:r>
      <w:r w:rsidRPr="00F57796">
        <w:rPr>
          <w:rFonts w:ascii="Times New Roman" w:eastAsia="Times New Roman" w:hAnsi="Times New Roman" w:cs="Times New Roman"/>
          <w:color w:val="000000"/>
        </w:rPr>
        <w:t>University of Illinois at Urbana-Champaign</w:t>
      </w:r>
    </w:p>
    <w:p w14:paraId="3A1CD397" w14:textId="77777777" w:rsidR="0092786C" w:rsidRDefault="0092786C" w:rsidP="0092786C">
      <w:pPr>
        <w:spacing w:after="0" w:line="240" w:lineRule="auto"/>
        <w:rPr>
          <w:rFonts w:ascii="Times New Roman" w:eastAsia="Times New Roman" w:hAnsi="Times New Roman" w:cs="Times New Roman"/>
          <w:color w:val="000000"/>
        </w:rPr>
      </w:pPr>
      <w:r w:rsidRPr="00F57796">
        <w:rPr>
          <w:rFonts w:ascii="Times New Roman" w:hAnsi="Times New Roman" w:cs="Times New Roman"/>
          <w:bCs/>
        </w:rPr>
        <w:t xml:space="preserve">6. </w:t>
      </w:r>
      <w:r>
        <w:rPr>
          <w:rFonts w:ascii="Times New Roman" w:eastAsia="Times New Roman" w:hAnsi="Times New Roman" w:cs="Times New Roman"/>
          <w:color w:val="000000"/>
        </w:rPr>
        <w:t>D&amp;D Osteological Services, LLC, San Jose, California</w:t>
      </w:r>
    </w:p>
    <w:p w14:paraId="7EEE12EE" w14:textId="77777777" w:rsidR="0092786C" w:rsidRPr="00F57796" w:rsidRDefault="0092786C" w:rsidP="0092786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sidRPr="00F57796">
        <w:rPr>
          <w:rFonts w:ascii="Times New Roman" w:eastAsia="Times New Roman" w:hAnsi="Times New Roman" w:cs="Times New Roman"/>
          <w:color w:val="000000"/>
        </w:rPr>
        <w:t>Proteomic Core Facility, Genome Center, University of California, Davis, California</w:t>
      </w:r>
    </w:p>
    <w:p w14:paraId="0E5934D1" w14:textId="77777777" w:rsidR="0092786C" w:rsidRPr="00F57796" w:rsidRDefault="0092786C" w:rsidP="0092786C">
      <w:pPr>
        <w:spacing w:after="0" w:line="240" w:lineRule="auto"/>
        <w:rPr>
          <w:rFonts w:ascii="Times New Roman" w:hAnsi="Times New Roman" w:cs="Times New Roman"/>
          <w:bCs/>
        </w:rPr>
      </w:pPr>
      <w:r>
        <w:rPr>
          <w:rFonts w:ascii="Times New Roman" w:eastAsia="Times New Roman" w:hAnsi="Times New Roman" w:cs="Times New Roman"/>
          <w:color w:val="000000"/>
        </w:rPr>
        <w:t xml:space="preserve">8. </w:t>
      </w:r>
      <w:proofErr w:type="spellStart"/>
      <w:r w:rsidRPr="00F57796">
        <w:rPr>
          <w:rFonts w:ascii="Times New Roman" w:hAnsi="Times New Roman" w:cs="Times New Roman"/>
          <w:bCs/>
        </w:rPr>
        <w:t>Muwekma</w:t>
      </w:r>
      <w:proofErr w:type="spellEnd"/>
      <w:r w:rsidRPr="00F57796">
        <w:rPr>
          <w:rFonts w:ascii="Times New Roman" w:hAnsi="Times New Roman" w:cs="Times New Roman"/>
          <w:bCs/>
        </w:rPr>
        <w:t xml:space="preserve"> Ohlone Tribe of the San Francisco Bay Area, Milpitas, California</w:t>
      </w:r>
    </w:p>
    <w:p w14:paraId="0F4BEF40" w14:textId="77777777" w:rsidR="0092786C" w:rsidRDefault="0092786C" w:rsidP="0092786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9. </w:t>
      </w:r>
      <w:r w:rsidRPr="00EC7A5D">
        <w:rPr>
          <w:rFonts w:ascii="Times New Roman" w:eastAsia="Times New Roman" w:hAnsi="Times New Roman" w:cs="Times New Roman"/>
          <w:color w:val="000000"/>
        </w:rPr>
        <w:t>Department of Anthrop</w:t>
      </w:r>
      <w:r>
        <w:rPr>
          <w:rFonts w:ascii="Times New Roman" w:eastAsia="Times New Roman" w:hAnsi="Times New Roman" w:cs="Times New Roman"/>
          <w:color w:val="000000"/>
        </w:rPr>
        <w:t>ology, San Jose State University, San Jose, California</w:t>
      </w:r>
    </w:p>
    <w:p w14:paraId="6F261C00" w14:textId="77777777" w:rsidR="0092786C" w:rsidRDefault="0092786C" w:rsidP="0092786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10. Carl R. </w:t>
      </w:r>
      <w:proofErr w:type="spellStart"/>
      <w:r>
        <w:rPr>
          <w:rFonts w:ascii="Times New Roman" w:eastAsia="Times New Roman" w:hAnsi="Times New Roman" w:cs="Times New Roman"/>
          <w:color w:val="000000"/>
        </w:rPr>
        <w:t>Woese</w:t>
      </w:r>
      <w:proofErr w:type="spellEnd"/>
      <w:r>
        <w:rPr>
          <w:rFonts w:ascii="Times New Roman" w:eastAsia="Times New Roman" w:hAnsi="Times New Roman" w:cs="Times New Roman"/>
          <w:color w:val="000000"/>
        </w:rPr>
        <w:t xml:space="preserve"> Institute for Genomic Biology, University of Illinois at Urbana-Champaign</w:t>
      </w:r>
    </w:p>
    <w:p w14:paraId="240D1D38" w14:textId="77777777" w:rsidR="0092786C" w:rsidRPr="00F57796" w:rsidRDefault="0092786C" w:rsidP="0092786C">
      <w:pPr>
        <w:spacing w:after="0" w:line="240" w:lineRule="auto"/>
        <w:rPr>
          <w:rFonts w:ascii="Times New Roman" w:eastAsia="Times New Roman" w:hAnsi="Times New Roman" w:cs="Times New Roman"/>
          <w:color w:val="000000"/>
        </w:rPr>
      </w:pPr>
    </w:p>
    <w:p w14:paraId="2626B281" w14:textId="7F89769D" w:rsidR="0092786C" w:rsidRPr="00F80374" w:rsidRDefault="0092786C" w:rsidP="0092786C">
      <w:pPr>
        <w:spacing w:after="0" w:line="240" w:lineRule="auto"/>
        <w:rPr>
          <w:rFonts w:ascii="Times New Roman" w:hAnsi="Times New Roman" w:cs="Times New Roman"/>
          <w:b/>
          <w:sz w:val="24"/>
        </w:rPr>
      </w:pPr>
      <w:r w:rsidRPr="00F80374">
        <w:rPr>
          <w:rFonts w:ascii="Times New Roman" w:hAnsi="Times New Roman" w:cs="Times New Roman"/>
          <w:b/>
          <w:sz w:val="24"/>
        </w:rPr>
        <w:t>*</w:t>
      </w:r>
      <w:r w:rsidRPr="00F80374">
        <w:rPr>
          <w:rFonts w:ascii="Times New Roman" w:hAnsi="Times New Roman" w:cs="Times New Roman"/>
          <w:b/>
          <w:bCs/>
          <w:sz w:val="24"/>
        </w:rPr>
        <w:t xml:space="preserve">Corresponding </w:t>
      </w:r>
      <w:r w:rsidRPr="00C640F1">
        <w:rPr>
          <w:rFonts w:ascii="Times New Roman" w:hAnsi="Times New Roman" w:cs="Times New Roman"/>
          <w:b/>
          <w:bCs/>
          <w:sz w:val="24"/>
        </w:rPr>
        <w:t>Author</w:t>
      </w:r>
      <w:r w:rsidR="004E7134" w:rsidRPr="00C640F1">
        <w:rPr>
          <w:rFonts w:ascii="Times New Roman" w:hAnsi="Times New Roman" w:cs="Times New Roman"/>
          <w:b/>
          <w:bCs/>
          <w:sz w:val="24"/>
        </w:rPr>
        <w:t>s</w:t>
      </w:r>
      <w:bookmarkStart w:id="2" w:name="_GoBack"/>
      <w:bookmarkEnd w:id="2"/>
    </w:p>
    <w:p w14:paraId="359ACB71" w14:textId="77777777" w:rsidR="0092786C" w:rsidRPr="00F57796" w:rsidRDefault="0092786C" w:rsidP="0092786C">
      <w:pPr>
        <w:spacing w:after="0" w:line="240" w:lineRule="auto"/>
        <w:rPr>
          <w:rFonts w:ascii="Times New Roman" w:hAnsi="Times New Roman" w:cs="Times New Roman"/>
        </w:rPr>
      </w:pPr>
      <w:r w:rsidRPr="00F57796">
        <w:rPr>
          <w:rFonts w:ascii="Times New Roman" w:hAnsi="Times New Roman" w:cs="Times New Roman"/>
        </w:rPr>
        <w:t xml:space="preserve">Rm 5241B Meyer Hall, </w:t>
      </w:r>
    </w:p>
    <w:p w14:paraId="0E7B79F5" w14:textId="77777777" w:rsidR="0092786C" w:rsidRPr="00F57796" w:rsidRDefault="0092786C" w:rsidP="0092786C">
      <w:pPr>
        <w:spacing w:after="0" w:line="240" w:lineRule="auto"/>
        <w:rPr>
          <w:rFonts w:ascii="Times New Roman" w:hAnsi="Times New Roman" w:cs="Times New Roman"/>
        </w:rPr>
      </w:pPr>
      <w:r>
        <w:rPr>
          <w:rFonts w:ascii="Times New Roman" w:hAnsi="Times New Roman" w:cs="Times New Roman"/>
        </w:rPr>
        <w:t>1</w:t>
      </w:r>
      <w:r w:rsidRPr="00F57796">
        <w:rPr>
          <w:rFonts w:ascii="Times New Roman" w:hAnsi="Times New Roman" w:cs="Times New Roman"/>
        </w:rPr>
        <w:t xml:space="preserve"> Shield</w:t>
      </w:r>
      <w:r>
        <w:rPr>
          <w:rFonts w:ascii="Times New Roman" w:hAnsi="Times New Roman" w:cs="Times New Roman"/>
        </w:rPr>
        <w:t>s</w:t>
      </w:r>
      <w:r w:rsidRPr="00F57796">
        <w:rPr>
          <w:rFonts w:ascii="Times New Roman" w:hAnsi="Times New Roman" w:cs="Times New Roman"/>
        </w:rPr>
        <w:t xml:space="preserve"> Ave, </w:t>
      </w:r>
    </w:p>
    <w:p w14:paraId="32025F8E" w14:textId="77777777" w:rsidR="0092786C" w:rsidRPr="00F57796" w:rsidRDefault="0092786C" w:rsidP="0092786C">
      <w:pPr>
        <w:spacing w:after="0" w:line="240" w:lineRule="auto"/>
        <w:rPr>
          <w:rFonts w:ascii="Times New Roman" w:hAnsi="Times New Roman" w:cs="Times New Roman"/>
        </w:rPr>
      </w:pPr>
      <w:r w:rsidRPr="00F57796">
        <w:rPr>
          <w:rFonts w:ascii="Times New Roman" w:hAnsi="Times New Roman" w:cs="Times New Roman"/>
        </w:rPr>
        <w:t xml:space="preserve">Davis, CA </w:t>
      </w:r>
      <w:proofErr w:type="gramStart"/>
      <w:r w:rsidRPr="00F57796">
        <w:rPr>
          <w:rFonts w:ascii="Times New Roman" w:hAnsi="Times New Roman" w:cs="Times New Roman"/>
        </w:rPr>
        <w:t>95616</w:t>
      </w:r>
      <w:r>
        <w:rPr>
          <w:rFonts w:ascii="Times New Roman" w:hAnsi="Times New Roman" w:cs="Times New Roman"/>
        </w:rPr>
        <w:t xml:space="preserve">  </w:t>
      </w:r>
      <w:r w:rsidRPr="00F57796">
        <w:rPr>
          <w:rFonts w:ascii="Times New Roman" w:hAnsi="Times New Roman" w:cs="Times New Roman"/>
        </w:rPr>
        <w:t>USA</w:t>
      </w:r>
      <w:proofErr w:type="gramEnd"/>
    </w:p>
    <w:p w14:paraId="2018A33A" w14:textId="77777777" w:rsidR="0092786C" w:rsidRPr="00F57796" w:rsidRDefault="0092786C" w:rsidP="0092786C">
      <w:pPr>
        <w:spacing w:after="0" w:line="240" w:lineRule="auto"/>
        <w:rPr>
          <w:rFonts w:ascii="Times New Roman" w:hAnsi="Times New Roman" w:cs="Times New Roman"/>
        </w:rPr>
      </w:pPr>
      <w:r w:rsidRPr="00F57796">
        <w:rPr>
          <w:rFonts w:ascii="Times New Roman" w:hAnsi="Times New Roman" w:cs="Times New Roman"/>
        </w:rPr>
        <w:t>p) 530) 752-9870</w:t>
      </w:r>
    </w:p>
    <w:p w14:paraId="3606346D" w14:textId="77777777" w:rsidR="003901AA" w:rsidRDefault="0092786C" w:rsidP="004E7134">
      <w:pPr>
        <w:spacing w:after="0" w:line="240" w:lineRule="auto"/>
        <w:rPr>
          <w:rStyle w:val="Hyperlink"/>
          <w:rFonts w:ascii="Times New Roman" w:hAnsi="Times New Roman" w:cs="Times New Roman"/>
        </w:rPr>
      </w:pPr>
      <w:r w:rsidRPr="00F57796">
        <w:rPr>
          <w:rFonts w:ascii="Times New Roman" w:hAnsi="Times New Roman" w:cs="Times New Roman"/>
        </w:rPr>
        <w:t xml:space="preserve">e) </w:t>
      </w:r>
      <w:hyperlink r:id="rId6" w:history="1">
        <w:r w:rsidRPr="00F57796">
          <w:rPr>
            <w:rStyle w:val="Hyperlink"/>
            <w:rFonts w:ascii="Times New Roman" w:hAnsi="Times New Roman" w:cs="Times New Roman"/>
          </w:rPr>
          <w:t>gjparker@ucdavis.edu</w:t>
        </w:r>
      </w:hyperlink>
      <w:r w:rsidR="003901AA">
        <w:rPr>
          <w:rStyle w:val="Hyperlink"/>
          <w:rFonts w:ascii="Times New Roman" w:hAnsi="Times New Roman" w:cs="Times New Roman"/>
        </w:rPr>
        <w:t xml:space="preserve">; </w:t>
      </w:r>
    </w:p>
    <w:p w14:paraId="0605A681" w14:textId="2F108FCE" w:rsidR="004E7134" w:rsidRDefault="00244F4E" w:rsidP="004E7134">
      <w:pPr>
        <w:spacing w:after="0" w:line="240" w:lineRule="auto"/>
        <w:rPr>
          <w:rFonts w:ascii="Times New Roman" w:hAnsi="Times New Roman" w:cs="Times New Roman"/>
        </w:rPr>
      </w:pPr>
      <w:hyperlink r:id="rId7" w:history="1">
        <w:r w:rsidR="003901AA" w:rsidRPr="00FD0686">
          <w:rPr>
            <w:rStyle w:val="Hyperlink"/>
            <w:rFonts w:ascii="Times New Roman" w:hAnsi="Times New Roman" w:cs="Times New Roman"/>
          </w:rPr>
          <w:t>tybuonasera@ucdavis.edu</w:t>
        </w:r>
      </w:hyperlink>
    </w:p>
    <w:p w14:paraId="5EC920DA" w14:textId="77777777" w:rsidR="003901AA" w:rsidRPr="004E7134" w:rsidRDefault="003901AA" w:rsidP="004E7134">
      <w:pPr>
        <w:spacing w:after="0" w:line="240" w:lineRule="auto"/>
        <w:rPr>
          <w:rFonts w:ascii="Times New Roman" w:hAnsi="Times New Roman" w:cs="Times New Roman"/>
        </w:rPr>
      </w:pPr>
    </w:p>
    <w:p w14:paraId="09B90635" w14:textId="77777777" w:rsidR="004E7134" w:rsidRDefault="004E7134"/>
    <w:p w14:paraId="47CE717E" w14:textId="55E4D8F2" w:rsidR="0092786C" w:rsidRDefault="0092786C"/>
    <w:p w14:paraId="4763A484" w14:textId="54AB254F" w:rsidR="0092786C" w:rsidRDefault="0092786C"/>
    <w:p w14:paraId="44C31ADF" w14:textId="0BEAA851" w:rsidR="0092786C" w:rsidRDefault="0092786C"/>
    <w:p w14:paraId="4447F3F5" w14:textId="1766D141" w:rsidR="0092786C" w:rsidRDefault="0092786C"/>
    <w:p w14:paraId="5E765685" w14:textId="7CE21716" w:rsidR="0092786C" w:rsidRDefault="0092786C"/>
    <w:p w14:paraId="089CA0FB" w14:textId="7BD86591" w:rsidR="0092786C" w:rsidRDefault="0092786C"/>
    <w:p w14:paraId="37BD6835" w14:textId="78538EE5" w:rsidR="0092786C" w:rsidRDefault="0092786C"/>
    <w:p w14:paraId="389DD8A2" w14:textId="1A8C98FE" w:rsidR="0092786C" w:rsidRDefault="0092786C"/>
    <w:p w14:paraId="1ED60F75" w14:textId="151BC469" w:rsidR="0092786C" w:rsidRDefault="0092786C"/>
    <w:p w14:paraId="654ABFDE" w14:textId="7FAF8BAD" w:rsidR="0092786C" w:rsidRDefault="0092786C"/>
    <w:p w14:paraId="06E18C0C" w14:textId="77777777" w:rsidR="00C176B2" w:rsidRDefault="00C176B2" w:rsidP="00C176B2">
      <w:pPr>
        <w:ind w:left="-540"/>
      </w:pPr>
      <w:r>
        <w:rPr>
          <w:noProof/>
        </w:rPr>
        <w:drawing>
          <wp:inline distT="0" distB="0" distL="0" distR="0" wp14:anchorId="1681733E" wp14:editId="7F2EBEED">
            <wp:extent cx="6118058" cy="3446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531" cy="3465638"/>
                    </a:xfrm>
                    <a:prstGeom prst="rect">
                      <a:avLst/>
                    </a:prstGeom>
                    <a:noFill/>
                  </pic:spPr>
                </pic:pic>
              </a:graphicData>
            </a:graphic>
          </wp:inline>
        </w:drawing>
      </w:r>
    </w:p>
    <w:p w14:paraId="15C65EFC" w14:textId="5A64B5A7" w:rsidR="00C176B2" w:rsidRPr="00544FEF" w:rsidRDefault="00C176B2" w:rsidP="00C176B2">
      <w:pPr>
        <w:rPr>
          <w:rFonts w:ascii="Times New Roman" w:hAnsi="Times New Roman" w:cs="Times New Roman"/>
          <w:sz w:val="24"/>
          <w:szCs w:val="24"/>
        </w:rPr>
      </w:pPr>
      <w:r w:rsidRPr="00544FEF">
        <w:rPr>
          <w:rFonts w:ascii="Times New Roman" w:hAnsi="Times New Roman" w:cs="Times New Roman"/>
          <w:b/>
          <w:bCs/>
          <w:sz w:val="24"/>
          <w:szCs w:val="24"/>
        </w:rPr>
        <w:t>Figure S1.</w:t>
      </w:r>
      <w:r w:rsidRPr="00544FEF">
        <w:rPr>
          <w:rFonts w:ascii="Times New Roman" w:hAnsi="Times New Roman" w:cs="Times New Roman"/>
          <w:sz w:val="24"/>
          <w:szCs w:val="24"/>
        </w:rPr>
        <w:t xml:space="preserve"> The level of AMELY_HUMAN and AMELX_HUMAN (Cumulative Ion Intensity per mg enamel, CI/mg) was used to </w:t>
      </w:r>
      <w:proofErr w:type="spellStart"/>
      <w:r w:rsidRPr="00544FEF">
        <w:rPr>
          <w:rFonts w:ascii="Times New Roman" w:hAnsi="Times New Roman" w:cs="Times New Roman"/>
          <w:sz w:val="24"/>
          <w:szCs w:val="24"/>
        </w:rPr>
        <w:t>proteomically</w:t>
      </w:r>
      <w:proofErr w:type="spellEnd"/>
      <w:r w:rsidRPr="00544FEF">
        <w:rPr>
          <w:rFonts w:ascii="Times New Roman" w:hAnsi="Times New Roman" w:cs="Times New Roman"/>
          <w:sz w:val="24"/>
          <w:szCs w:val="24"/>
        </w:rPr>
        <w:t xml:space="preserve"> estimate the sex of each individual (inner circle: red = female; blue = male) and the DNA reads from each sex chromosome was used to estimate the sex of each individual with the R</w:t>
      </w:r>
      <w:r w:rsidRPr="00544FEF">
        <w:rPr>
          <w:rFonts w:ascii="Times New Roman" w:hAnsi="Times New Roman" w:cs="Times New Roman"/>
          <w:sz w:val="24"/>
          <w:szCs w:val="24"/>
          <w:vertAlign w:val="subscript"/>
        </w:rPr>
        <w:t>Y</w:t>
      </w:r>
      <w:r w:rsidRPr="00544FEF">
        <w:rPr>
          <w:rFonts w:ascii="Times New Roman" w:hAnsi="Times New Roman" w:cs="Times New Roman"/>
          <w:sz w:val="24"/>
          <w:szCs w:val="24"/>
        </w:rPr>
        <w:t xml:space="preserve"> method (outer circle: red = female; light red = consistent with female, </w:t>
      </w:r>
      <w:r w:rsidRPr="00490F55">
        <w:rPr>
          <w:rFonts w:ascii="Times New Roman" w:hAnsi="Times New Roman" w:cs="Times New Roman"/>
          <w:sz w:val="24"/>
          <w:szCs w:val="24"/>
        </w:rPr>
        <w:t>grey = not assigned</w:t>
      </w:r>
      <w:r w:rsidRPr="00544FEF">
        <w:rPr>
          <w:rFonts w:ascii="Times New Roman" w:hAnsi="Times New Roman" w:cs="Times New Roman"/>
          <w:sz w:val="24"/>
          <w:szCs w:val="24"/>
        </w:rPr>
        <w:t>, light blue = consistent with male, blue = male).</w:t>
      </w:r>
      <w:r>
        <w:rPr>
          <w:rFonts w:ascii="Times New Roman" w:hAnsi="Times New Roman" w:cs="Times New Roman"/>
          <w:sz w:val="24"/>
          <w:szCs w:val="24"/>
        </w:rPr>
        <w:t xml:space="preserve"> Datapoints are plotted according to the scheme introduced by Skoglund et al.</w:t>
      </w:r>
      <w:r>
        <w:rPr>
          <w:rFonts w:ascii="Times New Roman" w:hAnsi="Times New Roman" w:cs="Times New Roman"/>
          <w:sz w:val="24"/>
          <w:szCs w:val="24"/>
        </w:rPr>
        <w:fldChar w:fldCharType="begin"/>
      </w:r>
      <w:r w:rsidR="00C640F1">
        <w:rPr>
          <w:rFonts w:ascii="Times New Roman" w:hAnsi="Times New Roman" w:cs="Times New Roman"/>
          <w:sz w:val="24"/>
          <w:szCs w:val="24"/>
        </w:rPr>
        <w:instrText xml:space="preserve"> ADDIN EN.CITE &lt;EndNote&gt;&lt;Cite&gt;&lt;Author&gt;Skoglund&lt;/Author&gt;&lt;Year&gt;2013&lt;/Year&gt;&lt;RecNum&gt;3858&lt;/RecNum&gt;&lt;DisplayText&gt;(Skoglund, et al., 2013)&lt;/DisplayText&gt;&lt;record&gt;&lt;rec-number&gt;3858&lt;/rec-number&gt;&lt;foreign-keys&gt;&lt;key app="EN" db-id="azezefwv4tezr1evpt5p2et85a05dp5v2ve5" timestamp="1478202989"&gt;3858&lt;/key&gt;&lt;/foreign-keys&gt;&lt;ref-type name="Journal Article"&gt;17&lt;/ref-type&gt;&lt;contributors&gt;&lt;authors&gt;&lt;author&gt;Skoglund, P.&lt;/author&gt;&lt;author&gt;Storå, J.&lt;/author&gt;&lt;author&gt;Götherström, A.&lt;/author&gt;&lt;author&gt;Jakobsson, M.&lt;/author&gt;&lt;/authors&gt;&lt;/contributors&gt;&lt;titles&gt;&lt;title&gt;Accurate sex identification of ancient human remains using DNA shotgun sequencing&lt;/title&gt;&lt;secondary-title&gt;Journal of Archaeological Science&lt;/secondary-title&gt;&lt;/titles&gt;&lt;periodical&gt;&lt;full-title&gt;Journal of Archaeological Science&lt;/full-title&gt;&lt;/periodical&gt;&lt;pages&gt;4477-4482&lt;/pages&gt;&lt;volume&gt;40&lt;/volume&gt;&lt;number&gt;12&lt;/number&gt;&lt;dates&gt;&lt;year&gt;2013&lt;/year&gt;&lt;/dates&gt;&lt;urls&gt;&lt;/urls&gt;&lt;electronic-resource-num&gt;http://dx.doi.org/10.1016/j.jas.2013.07.004&lt;/electronic-resource-num&gt;&lt;/record&gt;&lt;/Cite&gt;&lt;/EndNote&gt;</w:instrText>
      </w:r>
      <w:r>
        <w:rPr>
          <w:rFonts w:ascii="Times New Roman" w:hAnsi="Times New Roman" w:cs="Times New Roman"/>
          <w:sz w:val="24"/>
          <w:szCs w:val="24"/>
        </w:rPr>
        <w:fldChar w:fldCharType="separate"/>
      </w:r>
      <w:r w:rsidR="00C640F1">
        <w:rPr>
          <w:rFonts w:ascii="Times New Roman" w:hAnsi="Times New Roman" w:cs="Times New Roman"/>
          <w:noProof/>
          <w:sz w:val="24"/>
          <w:szCs w:val="24"/>
        </w:rPr>
        <w:t>(Skoglund, et al., 2013)</w:t>
      </w:r>
      <w:r>
        <w:rPr>
          <w:rFonts w:ascii="Times New Roman" w:hAnsi="Times New Roman" w:cs="Times New Roman"/>
          <w:sz w:val="24"/>
          <w:szCs w:val="24"/>
        </w:rPr>
        <w:fldChar w:fldCharType="end"/>
      </w:r>
      <w:r>
        <w:rPr>
          <w:rFonts w:ascii="Times New Roman" w:hAnsi="Times New Roman" w:cs="Times New Roman"/>
          <w:sz w:val="24"/>
          <w:szCs w:val="24"/>
        </w:rPr>
        <w:t>.</w:t>
      </w:r>
    </w:p>
    <w:p w14:paraId="7636ACFB" w14:textId="77777777" w:rsidR="00C176B2" w:rsidRPr="00544FEF" w:rsidRDefault="00C176B2" w:rsidP="00C176B2">
      <w:pPr>
        <w:rPr>
          <w:rFonts w:ascii="Times New Roman" w:hAnsi="Times New Roman" w:cs="Times New Roman"/>
          <w:sz w:val="24"/>
          <w:szCs w:val="24"/>
        </w:rPr>
      </w:pPr>
    </w:p>
    <w:p w14:paraId="2A97054F" w14:textId="77777777" w:rsidR="00C176B2" w:rsidRDefault="00C176B2" w:rsidP="00C176B2">
      <w:pPr>
        <w:rPr>
          <w:rFonts w:ascii="Times New Roman" w:hAnsi="Times New Roman" w:cs="Times New Roman"/>
        </w:rPr>
      </w:pPr>
    </w:p>
    <w:p w14:paraId="7EB35F5E" w14:textId="77777777" w:rsidR="00C176B2" w:rsidRDefault="00C176B2" w:rsidP="00C176B2">
      <w:pPr>
        <w:rPr>
          <w:rFonts w:ascii="Times New Roman" w:hAnsi="Times New Roman" w:cs="Times New Roman"/>
        </w:rPr>
      </w:pPr>
    </w:p>
    <w:p w14:paraId="425E97C7" w14:textId="77777777" w:rsidR="00C176B2" w:rsidRDefault="00C176B2" w:rsidP="00C176B2">
      <w:pPr>
        <w:ind w:left="-180"/>
        <w:rPr>
          <w:rFonts w:ascii="Times New Roman" w:hAnsi="Times New Roman" w:cs="Times New Roman"/>
        </w:rPr>
      </w:pPr>
      <w:r w:rsidRPr="00EF74CA">
        <w:rPr>
          <w:rFonts w:ascii="Times New Roman" w:hAnsi="Times New Roman" w:cs="Times New Roman"/>
        </w:rPr>
        <w:lastRenderedPageBreak/>
        <w:t xml:space="preserve"> </w:t>
      </w:r>
      <w:r>
        <w:rPr>
          <w:rFonts w:ascii="Times New Roman" w:hAnsi="Times New Roman" w:cs="Times New Roman"/>
          <w:noProof/>
        </w:rPr>
        <w:drawing>
          <wp:inline distT="0" distB="0" distL="0" distR="0" wp14:anchorId="3F5F8D26" wp14:editId="4FB6B8CE">
            <wp:extent cx="5969000" cy="34789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9492" cy="3490922"/>
                    </a:xfrm>
                    <a:prstGeom prst="rect">
                      <a:avLst/>
                    </a:prstGeom>
                    <a:noFill/>
                  </pic:spPr>
                </pic:pic>
              </a:graphicData>
            </a:graphic>
          </wp:inline>
        </w:drawing>
      </w:r>
    </w:p>
    <w:p w14:paraId="41F1863C" w14:textId="77777777" w:rsidR="00C176B2" w:rsidRPr="00EF74CA" w:rsidRDefault="00C176B2" w:rsidP="00C176B2">
      <w:pPr>
        <w:rPr>
          <w:rFonts w:ascii="Times New Roman" w:hAnsi="Times New Roman" w:cs="Times New Roman"/>
        </w:rPr>
      </w:pPr>
    </w:p>
    <w:p w14:paraId="69B77693" w14:textId="634D0BEF" w:rsidR="00C176B2" w:rsidRPr="00544FEF" w:rsidRDefault="00C176B2" w:rsidP="00C176B2">
      <w:pPr>
        <w:rPr>
          <w:rFonts w:ascii="Times New Roman" w:hAnsi="Times New Roman" w:cs="Times New Roman"/>
          <w:sz w:val="24"/>
          <w:szCs w:val="24"/>
        </w:rPr>
      </w:pPr>
      <w:r w:rsidRPr="00544FEF">
        <w:rPr>
          <w:rFonts w:ascii="Times New Roman" w:hAnsi="Times New Roman" w:cs="Times New Roman"/>
          <w:b/>
          <w:bCs/>
          <w:sz w:val="24"/>
          <w:szCs w:val="24"/>
        </w:rPr>
        <w:t>Figure S2.</w:t>
      </w:r>
      <w:r w:rsidRPr="00544FEF">
        <w:rPr>
          <w:rFonts w:ascii="Times New Roman" w:hAnsi="Times New Roman" w:cs="Times New Roman"/>
          <w:sz w:val="24"/>
          <w:szCs w:val="24"/>
        </w:rPr>
        <w:t xml:space="preserve"> The level of AMELY_HUMAN and AMELX_HUMAN (Cumulative Ion Intensity per mg enamel, CI/mg) was used to </w:t>
      </w:r>
      <w:proofErr w:type="spellStart"/>
      <w:r w:rsidRPr="00544FEF">
        <w:rPr>
          <w:rFonts w:ascii="Times New Roman" w:hAnsi="Times New Roman" w:cs="Times New Roman"/>
          <w:sz w:val="24"/>
          <w:szCs w:val="24"/>
        </w:rPr>
        <w:t>proteomically</w:t>
      </w:r>
      <w:proofErr w:type="spellEnd"/>
      <w:r w:rsidRPr="00544FEF">
        <w:rPr>
          <w:rFonts w:ascii="Times New Roman" w:hAnsi="Times New Roman" w:cs="Times New Roman"/>
          <w:sz w:val="24"/>
          <w:szCs w:val="24"/>
        </w:rPr>
        <w:t xml:space="preserve"> estimate the sex of each individual (inner circle: red = female; blue = male) and the DNA reads from each sex chromosome was used to estimate the sex of each individual with the R</w:t>
      </w:r>
      <w:r w:rsidRPr="00544FEF">
        <w:rPr>
          <w:rFonts w:ascii="Times New Roman" w:hAnsi="Times New Roman" w:cs="Times New Roman"/>
          <w:sz w:val="24"/>
          <w:szCs w:val="24"/>
          <w:vertAlign w:val="subscript"/>
        </w:rPr>
        <w:t>X</w:t>
      </w:r>
      <w:r w:rsidRPr="00544FEF">
        <w:rPr>
          <w:rFonts w:ascii="Times New Roman" w:hAnsi="Times New Roman" w:cs="Times New Roman"/>
          <w:sz w:val="24"/>
          <w:szCs w:val="24"/>
        </w:rPr>
        <w:t xml:space="preserve"> method (outer circle: red = female; light red = consistent with female, </w:t>
      </w:r>
      <w:r w:rsidRPr="004273FD">
        <w:rPr>
          <w:rFonts w:ascii="Times New Roman" w:hAnsi="Times New Roman" w:cs="Times New Roman"/>
          <w:sz w:val="24"/>
          <w:szCs w:val="24"/>
        </w:rPr>
        <w:t>grey = not assigned</w:t>
      </w:r>
      <w:r w:rsidRPr="00544FEF">
        <w:rPr>
          <w:rFonts w:ascii="Times New Roman" w:hAnsi="Times New Roman" w:cs="Times New Roman"/>
          <w:sz w:val="24"/>
          <w:szCs w:val="24"/>
        </w:rPr>
        <w:t xml:space="preserve">, light blue = consistent with male, blue = male). </w:t>
      </w:r>
      <w:r>
        <w:rPr>
          <w:rFonts w:ascii="Times New Roman" w:hAnsi="Times New Roman" w:cs="Times New Roman"/>
          <w:sz w:val="24"/>
          <w:szCs w:val="24"/>
        </w:rPr>
        <w:t xml:space="preserve">Datapoints are plotted according to the </w:t>
      </w:r>
      <w:r w:rsidRPr="00C640F1">
        <w:rPr>
          <w:rFonts w:ascii="Times New Roman" w:hAnsi="Times New Roman" w:cs="Times New Roman"/>
          <w:sz w:val="24"/>
          <w:szCs w:val="24"/>
        </w:rPr>
        <w:t>scheme introduced by Skoglund et al.</w:t>
      </w:r>
      <w:r w:rsidRPr="00C640F1">
        <w:rPr>
          <w:rFonts w:ascii="Times New Roman" w:hAnsi="Times New Roman" w:cs="Times New Roman"/>
          <w:sz w:val="24"/>
          <w:szCs w:val="24"/>
        </w:rPr>
        <w:fldChar w:fldCharType="begin"/>
      </w:r>
      <w:r w:rsidR="00C640F1" w:rsidRPr="00C640F1">
        <w:rPr>
          <w:rFonts w:ascii="Times New Roman" w:hAnsi="Times New Roman" w:cs="Times New Roman"/>
          <w:sz w:val="24"/>
          <w:szCs w:val="24"/>
        </w:rPr>
        <w:instrText xml:space="preserve"> ADDIN EN.CITE &lt;EndNote&gt;&lt;Cite&gt;&lt;Author&gt;Skoglund&lt;/Author&gt;&lt;Year&gt;2013&lt;/Year&gt;&lt;RecNum&gt;3858&lt;/RecNum&gt;&lt;DisplayText&gt;(Skoglund, et al., 2013)&lt;/DisplayText&gt;&lt;record&gt;&lt;rec-number&gt;3858&lt;/rec-number&gt;&lt;foreign-keys&gt;&lt;key app="EN" db-id="azezefwv4tezr1evpt5p2et85a05dp5v2ve5" timestamp="1478202989"&gt;3858&lt;/key&gt;&lt;/foreign-keys&gt;&lt;ref-type name="Journal Article"&gt;17&lt;/ref-type&gt;&lt;contributors&gt;&lt;authors&gt;&lt;author&gt;Skoglund, P.&lt;/author&gt;&lt;author&gt;Storå, J.&lt;/author&gt;&lt;author&gt;Götherström, A.&lt;/author&gt;&lt;author&gt;Jakobsson, M.&lt;/author&gt;&lt;/authors&gt;&lt;/contributors&gt;&lt;titles&gt;&lt;title&gt;Accurate sex identification of ancient human remains using DNA shotgun sequencing&lt;/title&gt;&lt;secondary-title&gt;Journal of Archaeological Science&lt;/secondary-title&gt;&lt;/titles&gt;&lt;periodical&gt;&lt;full-title&gt;Journal of Archaeological Science&lt;/full-title&gt;&lt;/periodical&gt;&lt;pages&gt;4477-4482&lt;/pages&gt;&lt;volume&gt;40&lt;/volume&gt;&lt;number&gt;12&lt;/number&gt;&lt;dates&gt;&lt;year&gt;2013&lt;/year&gt;&lt;/dates&gt;&lt;urls&gt;&lt;/urls&gt;&lt;electronic-resource-num&gt;http://dx.doi.org/10.1016/j.jas.2013.07.004&lt;/electronic-resource-num&gt;&lt;/record&gt;&lt;/Cite&gt;&lt;/EndNote&gt;</w:instrText>
      </w:r>
      <w:r w:rsidRPr="00C640F1">
        <w:rPr>
          <w:rFonts w:ascii="Times New Roman" w:hAnsi="Times New Roman" w:cs="Times New Roman"/>
          <w:sz w:val="24"/>
          <w:szCs w:val="24"/>
        </w:rPr>
        <w:fldChar w:fldCharType="separate"/>
      </w:r>
      <w:r w:rsidR="00C640F1" w:rsidRPr="00C640F1">
        <w:rPr>
          <w:rFonts w:ascii="Times New Roman" w:hAnsi="Times New Roman" w:cs="Times New Roman"/>
          <w:noProof/>
          <w:sz w:val="24"/>
          <w:szCs w:val="24"/>
        </w:rPr>
        <w:t>(Skoglund, et al., 2013)</w:t>
      </w:r>
      <w:r w:rsidRPr="00C640F1">
        <w:rPr>
          <w:rFonts w:ascii="Times New Roman" w:hAnsi="Times New Roman" w:cs="Times New Roman"/>
          <w:sz w:val="24"/>
          <w:szCs w:val="24"/>
        </w:rPr>
        <w:fldChar w:fldCharType="end"/>
      </w:r>
      <w:r w:rsidR="00C640F1" w:rsidRPr="00C640F1">
        <w:rPr>
          <w:rFonts w:ascii="Times New Roman" w:hAnsi="Times New Roman" w:cs="Times New Roman"/>
          <w:sz w:val="24"/>
          <w:szCs w:val="24"/>
        </w:rPr>
        <w:t xml:space="preserve"> using the criteria developed by</w:t>
      </w:r>
      <w:r w:rsidR="00C640F1">
        <w:rPr>
          <w:rFonts w:ascii="Times New Roman" w:hAnsi="Times New Roman" w:cs="Times New Roman"/>
          <w:sz w:val="24"/>
          <w:szCs w:val="24"/>
        </w:rPr>
        <w:t xml:space="preserve"> </w:t>
      </w:r>
      <w:proofErr w:type="spellStart"/>
      <w:r w:rsidR="00C640F1">
        <w:rPr>
          <w:rFonts w:ascii="Times New Roman" w:hAnsi="Times New Roman" w:cs="Times New Roman"/>
          <w:sz w:val="24"/>
          <w:szCs w:val="24"/>
        </w:rPr>
        <w:t>Mittnik</w:t>
      </w:r>
      <w:proofErr w:type="spellEnd"/>
      <w:r w:rsidR="00C640F1">
        <w:rPr>
          <w:rFonts w:ascii="Times New Roman" w:hAnsi="Times New Roman" w:cs="Times New Roman"/>
          <w:sz w:val="24"/>
          <w:szCs w:val="24"/>
        </w:rPr>
        <w:t xml:space="preserve"> et al.</w:t>
      </w:r>
      <w:r w:rsidR="00C640F1">
        <w:rPr>
          <w:rFonts w:ascii="Times New Roman" w:hAnsi="Times New Roman" w:cs="Times New Roman"/>
          <w:sz w:val="24"/>
          <w:szCs w:val="24"/>
        </w:rPr>
        <w:fldChar w:fldCharType="begin">
          <w:fldData xml:space="preserve">PEVuZE5vdGU+PENpdGU+PEF1dGhvcj5NaXR0bmlrPC9BdXRob3I+PFllYXI+MjAxNjwvWWVhcj48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=
</w:fldData>
        </w:fldChar>
      </w:r>
      <w:r w:rsidR="00C640F1">
        <w:rPr>
          <w:rFonts w:ascii="Times New Roman" w:hAnsi="Times New Roman" w:cs="Times New Roman"/>
          <w:sz w:val="24"/>
          <w:szCs w:val="24"/>
        </w:rPr>
        <w:instrText xml:space="preserve"> ADDIN EN.CITE </w:instrText>
      </w:r>
      <w:r w:rsidR="00C640F1">
        <w:rPr>
          <w:rFonts w:ascii="Times New Roman" w:hAnsi="Times New Roman" w:cs="Times New Roman"/>
          <w:sz w:val="24"/>
          <w:szCs w:val="24"/>
        </w:rPr>
        <w:fldChar w:fldCharType="begin">
          <w:fldData xml:space="preserve">PEVuZE5vdGU+PENpdGU+PEF1dGhvcj5NaXR0bmlrPC9BdXRob3I+PFllYXI+MjAxNjwvWWVhcj48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=
</w:fldData>
        </w:fldChar>
      </w:r>
      <w:r w:rsidR="00C640F1">
        <w:rPr>
          <w:rFonts w:ascii="Times New Roman" w:hAnsi="Times New Roman" w:cs="Times New Roman"/>
          <w:sz w:val="24"/>
          <w:szCs w:val="24"/>
        </w:rPr>
        <w:instrText xml:space="preserve"> ADDIN EN.CITE.DATA </w:instrText>
      </w:r>
      <w:r w:rsidR="00C640F1">
        <w:rPr>
          <w:rFonts w:ascii="Times New Roman" w:hAnsi="Times New Roman" w:cs="Times New Roman"/>
          <w:sz w:val="24"/>
          <w:szCs w:val="24"/>
        </w:rPr>
      </w:r>
      <w:r w:rsidR="00C640F1">
        <w:rPr>
          <w:rFonts w:ascii="Times New Roman" w:hAnsi="Times New Roman" w:cs="Times New Roman"/>
          <w:sz w:val="24"/>
          <w:szCs w:val="24"/>
        </w:rPr>
        <w:fldChar w:fldCharType="end"/>
      </w:r>
      <w:r w:rsidR="00C640F1">
        <w:rPr>
          <w:rFonts w:ascii="Times New Roman" w:hAnsi="Times New Roman" w:cs="Times New Roman"/>
          <w:sz w:val="24"/>
          <w:szCs w:val="24"/>
        </w:rPr>
        <w:fldChar w:fldCharType="separate"/>
      </w:r>
      <w:r w:rsidR="00C640F1">
        <w:rPr>
          <w:rFonts w:ascii="Times New Roman" w:hAnsi="Times New Roman" w:cs="Times New Roman"/>
          <w:noProof/>
          <w:sz w:val="24"/>
          <w:szCs w:val="24"/>
        </w:rPr>
        <w:t>(</w:t>
      </w:r>
      <w:proofErr w:type="spellStart"/>
      <w:r w:rsidR="00C640F1">
        <w:rPr>
          <w:rFonts w:ascii="Times New Roman" w:hAnsi="Times New Roman" w:cs="Times New Roman"/>
          <w:noProof/>
          <w:sz w:val="24"/>
          <w:szCs w:val="24"/>
        </w:rPr>
        <w:t>Mittnik</w:t>
      </w:r>
      <w:proofErr w:type="spellEnd"/>
      <w:r w:rsidR="00C640F1">
        <w:rPr>
          <w:rFonts w:ascii="Times New Roman" w:hAnsi="Times New Roman" w:cs="Times New Roman"/>
          <w:noProof/>
          <w:sz w:val="24"/>
          <w:szCs w:val="24"/>
        </w:rPr>
        <w:t>, et al., 2016)</w:t>
      </w:r>
      <w:r w:rsidR="00C640F1">
        <w:rPr>
          <w:rFonts w:ascii="Times New Roman" w:hAnsi="Times New Roman" w:cs="Times New Roman"/>
          <w:sz w:val="24"/>
          <w:szCs w:val="24"/>
        </w:rPr>
        <w:fldChar w:fldCharType="end"/>
      </w:r>
      <w:r w:rsidR="00C640F1">
        <w:rPr>
          <w:rFonts w:ascii="Times New Roman" w:hAnsi="Times New Roman" w:cs="Times New Roman"/>
          <w:sz w:val="24"/>
          <w:szCs w:val="24"/>
        </w:rPr>
        <w:t>.</w:t>
      </w:r>
    </w:p>
    <w:p w14:paraId="3E4CC9E2" w14:textId="77777777" w:rsidR="00C176B2" w:rsidRDefault="00C176B2" w:rsidP="00C176B2"/>
    <w:p w14:paraId="22E9ACD5" w14:textId="77777777" w:rsidR="00C176B2" w:rsidRDefault="00C176B2" w:rsidP="00C176B2"/>
    <w:p w14:paraId="79983706" w14:textId="77777777" w:rsidR="00C176B2" w:rsidRDefault="00C176B2" w:rsidP="00C176B2"/>
    <w:p w14:paraId="5F83E49A" w14:textId="77777777" w:rsidR="00C176B2" w:rsidRDefault="00C176B2" w:rsidP="00C176B2"/>
    <w:p w14:paraId="61E5D8DC" w14:textId="27FD2FBD" w:rsidR="00C176B2" w:rsidRDefault="001B2CBA" w:rsidP="001B2CBA">
      <w:pPr>
        <w:tabs>
          <w:tab w:val="left" w:pos="6540"/>
        </w:tabs>
      </w:pPr>
      <w:r>
        <w:tab/>
      </w:r>
    </w:p>
    <w:p w14:paraId="49BD65DC" w14:textId="77777777" w:rsidR="00C176B2" w:rsidRDefault="00C176B2" w:rsidP="00C176B2"/>
    <w:p w14:paraId="01F97F05" w14:textId="77777777" w:rsidR="00C176B2" w:rsidRDefault="00C176B2" w:rsidP="00C176B2"/>
    <w:p w14:paraId="5B8A8AFA" w14:textId="77777777" w:rsidR="00C176B2" w:rsidRDefault="00C176B2" w:rsidP="00C176B2"/>
    <w:p w14:paraId="6D028072" w14:textId="77777777" w:rsidR="00C176B2" w:rsidRDefault="00C176B2" w:rsidP="00C176B2"/>
    <w:p w14:paraId="14068E47" w14:textId="77777777" w:rsidR="00C176B2" w:rsidRDefault="00C176B2" w:rsidP="00C176B2"/>
    <w:p w14:paraId="5A8CECD1" w14:textId="77777777" w:rsidR="00C176B2" w:rsidRDefault="00C176B2" w:rsidP="00C176B2"/>
    <w:p w14:paraId="6B660283" w14:textId="77777777" w:rsidR="00C176B2" w:rsidRDefault="00C176B2" w:rsidP="00C176B2"/>
    <w:p w14:paraId="437B4DB5" w14:textId="77777777" w:rsidR="00C176B2" w:rsidRDefault="00C176B2" w:rsidP="00C176B2"/>
    <w:p w14:paraId="6C60E4CE" w14:textId="77777777" w:rsidR="00C176B2" w:rsidRDefault="00C176B2" w:rsidP="00C176B2">
      <w:r>
        <w:rPr>
          <w:noProof/>
        </w:rPr>
        <w:drawing>
          <wp:inline distT="0" distB="0" distL="0" distR="0" wp14:anchorId="2FDC940C" wp14:editId="3C2868B3">
            <wp:extent cx="5943600" cy="44095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6539" cy="4419173"/>
                    </a:xfrm>
                    <a:prstGeom prst="rect">
                      <a:avLst/>
                    </a:prstGeom>
                    <a:noFill/>
                    <a:ln>
                      <a:noFill/>
                    </a:ln>
                  </pic:spPr>
                </pic:pic>
              </a:graphicData>
            </a:graphic>
          </wp:inline>
        </w:drawing>
      </w:r>
    </w:p>
    <w:p w14:paraId="5C369AAF" w14:textId="77777777" w:rsidR="00C176B2" w:rsidRPr="006B095D" w:rsidRDefault="00C176B2" w:rsidP="00C176B2">
      <w:pPr>
        <w:rPr>
          <w:rFonts w:ascii="Times New Roman" w:hAnsi="Times New Roman" w:cs="Times New Roman"/>
        </w:rPr>
      </w:pPr>
    </w:p>
    <w:p w14:paraId="35D9227D" w14:textId="1BC0E0F4" w:rsidR="00C176B2" w:rsidRPr="00F23D6B" w:rsidRDefault="00C176B2" w:rsidP="00C176B2">
      <w:pPr>
        <w:rPr>
          <w:rFonts w:ascii="Times New Roman" w:hAnsi="Times New Roman" w:cs="Times New Roman"/>
          <w:sz w:val="24"/>
          <w:szCs w:val="24"/>
        </w:rPr>
      </w:pPr>
      <w:r w:rsidRPr="00F23D6B">
        <w:rPr>
          <w:rFonts w:ascii="Times New Roman" w:hAnsi="Times New Roman" w:cs="Times New Roman"/>
          <w:b/>
          <w:bCs/>
          <w:sz w:val="24"/>
          <w:szCs w:val="24"/>
        </w:rPr>
        <w:t xml:space="preserve">Figure S3. </w:t>
      </w:r>
      <w:r w:rsidRPr="00F23D6B">
        <w:rPr>
          <w:rFonts w:ascii="Times New Roman" w:hAnsi="Times New Roman" w:cs="Times New Roman"/>
          <w:sz w:val="24"/>
          <w:szCs w:val="24"/>
        </w:rPr>
        <w:t>AMELY isoform 1 (</w:t>
      </w:r>
      <w:proofErr w:type="spellStart"/>
      <w:r w:rsidRPr="00F23D6B">
        <w:rPr>
          <w:rFonts w:ascii="Times New Roman" w:hAnsi="Times New Roman" w:cs="Times New Roman"/>
          <w:sz w:val="24"/>
          <w:szCs w:val="24"/>
        </w:rPr>
        <w:t>Uniprot</w:t>
      </w:r>
      <w:proofErr w:type="spellEnd"/>
      <w:r w:rsidRPr="00F23D6B">
        <w:rPr>
          <w:rFonts w:ascii="Times New Roman" w:hAnsi="Times New Roman" w:cs="Times New Roman"/>
          <w:sz w:val="24"/>
          <w:szCs w:val="24"/>
        </w:rPr>
        <w:t xml:space="preserve"> accession number: Q99218-1</w:t>
      </w:r>
      <w:r w:rsidRPr="00F23D6B">
        <w:rPr>
          <w:rFonts w:ascii="Times New Roman" w:hAnsi="Times New Roman" w:cs="Times New Roman"/>
          <w:sz w:val="24"/>
          <w:szCs w:val="24"/>
          <w:lang w:val="de-DE"/>
        </w:rPr>
        <w:t xml:space="preserve">) </w:t>
      </w:r>
      <w:r w:rsidRPr="00F23D6B">
        <w:rPr>
          <w:rFonts w:ascii="Times New Roman" w:hAnsi="Times New Roman" w:cs="Times New Roman"/>
          <w:sz w:val="24"/>
          <w:szCs w:val="24"/>
        </w:rPr>
        <w:t>peptide coverage for B35 (</w:t>
      </w:r>
      <w:r w:rsidRPr="00E8515B">
        <w:rPr>
          <w:rFonts w:ascii="Times New Roman" w:hAnsi="Times New Roman" w:cs="Times New Roman"/>
          <w:i/>
          <w:sz w:val="24"/>
          <w:szCs w:val="24"/>
        </w:rPr>
        <w:t>Síi Túupentak</w:t>
      </w:r>
      <w:r w:rsidRPr="00F23D6B">
        <w:rPr>
          <w:rFonts w:ascii="Times New Roman" w:hAnsi="Times New Roman" w:cs="Times New Roman"/>
          <w:sz w:val="24"/>
          <w:szCs w:val="24"/>
        </w:rPr>
        <w:t>)</w:t>
      </w:r>
      <w:r>
        <w:rPr>
          <w:rFonts w:ascii="Times New Roman" w:hAnsi="Times New Roman" w:cs="Times New Roman"/>
          <w:sz w:val="24"/>
          <w:szCs w:val="24"/>
        </w:rPr>
        <w:t xml:space="preserve"> using the PEAK</w:t>
      </w:r>
      <w:r w:rsidR="005C10AE">
        <w:rPr>
          <w:rFonts w:ascii="Times New Roman" w:hAnsi="Times New Roman" w:cs="Times New Roman"/>
          <w:sz w:val="24"/>
          <w:szCs w:val="24"/>
        </w:rPr>
        <w:t>S</w:t>
      </w:r>
      <w:r>
        <w:rPr>
          <w:rFonts w:ascii="Times New Roman" w:hAnsi="Times New Roman" w:cs="Times New Roman"/>
          <w:sz w:val="24"/>
          <w:szCs w:val="24"/>
        </w:rPr>
        <w:t xml:space="preserve"> </w:t>
      </w:r>
      <w:r w:rsidR="00C640F1" w:rsidRPr="00C640F1">
        <w:rPr>
          <w:rFonts w:ascii="Times New Roman" w:hAnsi="Times New Roman" w:cs="Times New Roman"/>
          <w:sz w:val="24"/>
          <w:szCs w:val="24"/>
        </w:rPr>
        <w:t>P</w:t>
      </w:r>
      <w:r w:rsidRPr="00C640F1">
        <w:rPr>
          <w:rFonts w:ascii="Times New Roman" w:hAnsi="Times New Roman" w:cs="Times New Roman"/>
          <w:sz w:val="24"/>
          <w:szCs w:val="24"/>
        </w:rPr>
        <w:t xml:space="preserve">eptide Spectra Matching </w:t>
      </w:r>
      <w:r w:rsidR="00C640F1" w:rsidRPr="00C640F1">
        <w:rPr>
          <w:rFonts w:ascii="Times New Roman" w:hAnsi="Times New Roman" w:cs="Times New Roman"/>
          <w:sz w:val="24"/>
          <w:szCs w:val="24"/>
        </w:rPr>
        <w:t>a</w:t>
      </w:r>
      <w:r w:rsidRPr="00C640F1">
        <w:rPr>
          <w:rFonts w:ascii="Times New Roman" w:hAnsi="Times New Roman" w:cs="Times New Roman"/>
          <w:sz w:val="24"/>
          <w:szCs w:val="24"/>
        </w:rPr>
        <w:t>lgorithm</w:t>
      </w:r>
      <w:r w:rsidRPr="00C640F1">
        <w:rPr>
          <w:rFonts w:ascii="Times New Roman" w:hAnsi="Times New Roman" w:cs="Times New Roman"/>
          <w:sz w:val="24"/>
          <w:szCs w:val="24"/>
        </w:rPr>
        <w:fldChar w:fldCharType="begin"/>
      </w:r>
      <w:r w:rsidR="00C640F1">
        <w:rPr>
          <w:rFonts w:ascii="Times New Roman" w:hAnsi="Times New Roman" w:cs="Times New Roman"/>
          <w:sz w:val="24"/>
          <w:szCs w:val="24"/>
        </w:rPr>
        <w:instrText xml:space="preserve"> ADDIN EN.CITE &lt;EndNote&gt;&lt;Cite&gt;&lt;Author&gt;Zhang&lt;/Author&gt;&lt;Year&gt;2012&lt;/Year&gt;&lt;RecNum&gt;3863&lt;/RecNum&gt;&lt;DisplayText&gt;(Zhang, et al., 2012)&lt;/DisplayText&gt;&lt;record&gt;&lt;rec-number&gt;3863&lt;/rec-number&gt;&lt;foreign-keys&gt;&lt;key app="EN" db-id="azezefwv4tezr1evpt5p2et85a05dp5v2ve5" timestamp="1478569416"&gt;3863&lt;/key&gt;&lt;/foreign-keys&gt;&lt;ref-type name="Journal Article"&gt;17&lt;/ref-type&gt;&lt;contributors&gt;&lt;authors&gt;&lt;author&gt;Zhang, J.&lt;/author&gt;&lt;author&gt;Xin, L.&lt;/author&gt;&lt;author&gt;Shan, B.&lt;/author&gt;&lt;author&gt;Chen, W.&lt;/author&gt;&lt;author&gt;Xie, M.&lt;/author&gt;&lt;author&gt;Yuen, D.&lt;/author&gt;&lt;author&gt;Zhang, W.&lt;/author&gt;&lt;author&gt;Zhang, Z.&lt;/author&gt;&lt;author&gt;Lajoie, G. A.&lt;/author&gt;&lt;author&gt;Ma, B.&lt;/author&gt;&lt;/authors&gt;&lt;/contributors&gt;&lt;auth-address&gt;Bioinformatics Solutions Inc., Waterloo, Ontario N2L 6J2, Canada.&lt;/auth-address&gt;&lt;titles&gt;&lt;title&gt;PEAKS DB: de novo sequencing assisted database search for sensitive and accurate peptide identification&lt;/title&gt;&lt;secondary-title&gt;Mol Cell Proteomics&lt;/secondary-title&gt;&lt;/titles&gt;&lt;periodical&gt;&lt;full-title&gt;Mol Cell Proteomics&lt;/full-title&gt;&lt;abbr-1&gt;Molecular &amp;amp; cellular proteomics : MCP&lt;/abbr-1&gt;&lt;/periodical&gt;&lt;pages&gt;M111 010587&lt;/pages&gt;&lt;volume&gt;11&lt;/volume&gt;&lt;number&gt;4&lt;/number&gt;&lt;keywords&gt;&lt;keyword&gt;*Databases, Protein&lt;/keyword&gt;&lt;keyword&gt;Peptides/*analysis/chemistry&lt;/keyword&gt;&lt;keyword&gt;Protein Processing, Post-Translational&lt;/keyword&gt;&lt;keyword&gt;Sequence Analysis, Protein&lt;/keyword&gt;&lt;keyword&gt;Software&lt;/keyword&gt;&lt;keyword&gt;Tandem Mass Spectrometry&lt;/keyword&gt;&lt;/keywords&gt;&lt;dates&gt;&lt;year&gt;2012&lt;/year&gt;&lt;pub-dates&gt;&lt;date&gt;Apr&lt;/date&gt;&lt;/pub-dates&gt;&lt;/dates&gt;&lt;isbn&gt;1535-9484 (Electronic)&amp;#xD;1535-9476 (Linking)&lt;/isbn&gt;&lt;accession-num&gt;22186715&lt;/accession-num&gt;&lt;urls&gt;&lt;related-urls&gt;&lt;url&gt;https://www.ncbi.nlm.nih.gov/pubmed/22186715&lt;/url&gt;&lt;/related-urls&gt;&lt;/urls&gt;&lt;custom2&gt;PMC3322562&lt;/custom2&gt;&lt;electronic-resource-num&gt;10.1074/mcp.M111.010587&lt;/electronic-resource-num&gt;&lt;/record&gt;&lt;/Cite&gt;&lt;/EndNote&gt;</w:instrText>
      </w:r>
      <w:r w:rsidRPr="00C640F1">
        <w:rPr>
          <w:rFonts w:ascii="Times New Roman" w:hAnsi="Times New Roman" w:cs="Times New Roman"/>
          <w:sz w:val="24"/>
          <w:szCs w:val="24"/>
        </w:rPr>
        <w:fldChar w:fldCharType="separate"/>
      </w:r>
      <w:r w:rsidR="00C640F1">
        <w:rPr>
          <w:rFonts w:ascii="Times New Roman" w:hAnsi="Times New Roman" w:cs="Times New Roman"/>
          <w:noProof/>
          <w:sz w:val="24"/>
          <w:szCs w:val="24"/>
        </w:rPr>
        <w:t>(Zhang, et al., 2012)</w:t>
      </w:r>
      <w:r w:rsidRPr="00C640F1">
        <w:rPr>
          <w:rFonts w:ascii="Times New Roman" w:hAnsi="Times New Roman" w:cs="Times New Roman"/>
          <w:sz w:val="24"/>
          <w:szCs w:val="24"/>
        </w:rPr>
        <w:fldChar w:fldCharType="end"/>
      </w:r>
      <w:r w:rsidRPr="00F23D6B">
        <w:rPr>
          <w:rFonts w:ascii="Times New Roman" w:hAnsi="Times New Roman" w:cs="Times New Roman"/>
          <w:sz w:val="24"/>
          <w:szCs w:val="24"/>
        </w:rPr>
        <w:t>. Peptide sequences detected in this sample are shown in blue. Amino acid sequences specific to AMELY are indicated by the black outline</w:t>
      </w:r>
      <w:r>
        <w:rPr>
          <w:rFonts w:ascii="Times New Roman" w:hAnsi="Times New Roman" w:cs="Times New Roman"/>
          <w:sz w:val="24"/>
          <w:szCs w:val="24"/>
        </w:rPr>
        <w:t xml:space="preserve"> with all peptides within this range containing amino acids residues specific for the </w:t>
      </w:r>
      <w:r w:rsidRPr="00F23D6B">
        <w:rPr>
          <w:rFonts w:ascii="Times New Roman" w:hAnsi="Times New Roman" w:cs="Times New Roman"/>
          <w:sz w:val="24"/>
          <w:szCs w:val="24"/>
        </w:rPr>
        <w:t>AMELY isoform</w:t>
      </w:r>
      <w:r>
        <w:rPr>
          <w:rFonts w:ascii="Times New Roman" w:hAnsi="Times New Roman" w:cs="Times New Roman"/>
          <w:sz w:val="24"/>
          <w:szCs w:val="24"/>
        </w:rPr>
        <w:t xml:space="preserve"> 1 gene product</w:t>
      </w:r>
      <w:r w:rsidRPr="00F23D6B">
        <w:rPr>
          <w:rFonts w:ascii="Times New Roman" w:hAnsi="Times New Roman" w:cs="Times New Roman"/>
          <w:sz w:val="24"/>
          <w:szCs w:val="24"/>
        </w:rPr>
        <w:t xml:space="preserve">. </w:t>
      </w:r>
    </w:p>
    <w:p w14:paraId="660CD300" w14:textId="77777777" w:rsidR="00C176B2" w:rsidRPr="007F69BB" w:rsidRDefault="00C176B2" w:rsidP="00C176B2">
      <w:pPr>
        <w:rPr>
          <w:rFonts w:ascii="Times New Roman" w:hAnsi="Times New Roman" w:cs="Times New Roman"/>
          <w:b/>
          <w:bCs/>
          <w:sz w:val="24"/>
          <w:szCs w:val="24"/>
        </w:rPr>
      </w:pPr>
    </w:p>
    <w:p w14:paraId="15078CAE" w14:textId="77777777" w:rsidR="00C176B2" w:rsidRDefault="00C176B2" w:rsidP="00C176B2">
      <w:pPr>
        <w:rPr>
          <w:rFonts w:ascii="Times New Roman" w:hAnsi="Times New Roman" w:cs="Times New Roman"/>
          <w:b/>
          <w:bCs/>
          <w:sz w:val="24"/>
          <w:szCs w:val="24"/>
        </w:rPr>
      </w:pPr>
    </w:p>
    <w:p w14:paraId="5DACB558" w14:textId="77777777" w:rsidR="00C176B2" w:rsidRDefault="00C176B2" w:rsidP="00C176B2">
      <w:pPr>
        <w:rPr>
          <w:rFonts w:ascii="Times New Roman" w:hAnsi="Times New Roman" w:cs="Times New Roman"/>
          <w:b/>
          <w:bCs/>
          <w:sz w:val="24"/>
          <w:szCs w:val="24"/>
        </w:rPr>
      </w:pPr>
    </w:p>
    <w:p w14:paraId="45B5CB68" w14:textId="77777777" w:rsidR="00C176B2" w:rsidRDefault="00C176B2" w:rsidP="00C176B2">
      <w:pPr>
        <w:rPr>
          <w:rFonts w:ascii="Times New Roman" w:hAnsi="Times New Roman" w:cs="Times New Roman"/>
          <w:b/>
          <w:bCs/>
          <w:sz w:val="24"/>
          <w:szCs w:val="24"/>
        </w:rPr>
      </w:pPr>
    </w:p>
    <w:p w14:paraId="6A4937D6" w14:textId="77777777" w:rsidR="00C176B2" w:rsidRDefault="00C176B2" w:rsidP="00C176B2">
      <w:pPr>
        <w:rPr>
          <w:rFonts w:ascii="Times New Roman" w:hAnsi="Times New Roman" w:cs="Times New Roman"/>
          <w:b/>
          <w:bCs/>
          <w:sz w:val="24"/>
          <w:szCs w:val="24"/>
        </w:rPr>
      </w:pPr>
    </w:p>
    <w:p w14:paraId="15EFEB88" w14:textId="77777777" w:rsidR="00C176B2" w:rsidRDefault="00C176B2" w:rsidP="00C176B2">
      <w:pPr>
        <w:rPr>
          <w:rFonts w:ascii="Times New Roman" w:hAnsi="Times New Roman" w:cs="Times New Roman"/>
          <w:b/>
          <w:bCs/>
          <w:sz w:val="24"/>
          <w:szCs w:val="24"/>
        </w:rPr>
      </w:pPr>
    </w:p>
    <w:p w14:paraId="302B6B44" w14:textId="77777777" w:rsidR="00C176B2" w:rsidRDefault="00C176B2" w:rsidP="00C176B2">
      <w:pPr>
        <w:rPr>
          <w:rFonts w:ascii="Times New Roman" w:hAnsi="Times New Roman" w:cs="Times New Roman"/>
          <w:b/>
          <w:bCs/>
          <w:sz w:val="24"/>
          <w:szCs w:val="24"/>
        </w:rPr>
      </w:pPr>
      <w:r>
        <w:rPr>
          <w:noProof/>
        </w:rPr>
        <w:drawing>
          <wp:inline distT="0" distB="0" distL="0" distR="0" wp14:anchorId="75457AC8" wp14:editId="0584501C">
            <wp:extent cx="5943600" cy="3296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96920"/>
                    </a:xfrm>
                    <a:prstGeom prst="rect">
                      <a:avLst/>
                    </a:prstGeom>
                    <a:noFill/>
                    <a:ln>
                      <a:noFill/>
                    </a:ln>
                  </pic:spPr>
                </pic:pic>
              </a:graphicData>
            </a:graphic>
          </wp:inline>
        </w:drawing>
      </w:r>
    </w:p>
    <w:p w14:paraId="0CBEE5A6" w14:textId="77777777" w:rsidR="00C176B2" w:rsidRDefault="00C176B2" w:rsidP="00C176B2">
      <w:pPr>
        <w:rPr>
          <w:rFonts w:ascii="Times New Roman" w:hAnsi="Times New Roman" w:cs="Times New Roman"/>
          <w:b/>
          <w:bCs/>
          <w:sz w:val="24"/>
          <w:szCs w:val="24"/>
        </w:rPr>
      </w:pPr>
    </w:p>
    <w:p w14:paraId="127CD1E5" w14:textId="424C3E61" w:rsidR="00C176B2" w:rsidRPr="00F23D6B" w:rsidRDefault="00C176B2" w:rsidP="00C176B2">
      <w:pPr>
        <w:rPr>
          <w:rFonts w:ascii="Times New Roman" w:hAnsi="Times New Roman" w:cs="Times New Roman"/>
          <w:sz w:val="24"/>
          <w:szCs w:val="24"/>
        </w:rPr>
      </w:pPr>
      <w:r w:rsidRPr="00F23D6B">
        <w:rPr>
          <w:rFonts w:ascii="Times New Roman" w:hAnsi="Times New Roman" w:cs="Times New Roman"/>
          <w:b/>
          <w:bCs/>
          <w:sz w:val="24"/>
          <w:szCs w:val="24"/>
        </w:rPr>
        <w:t xml:space="preserve">Figure </w:t>
      </w:r>
      <w:r w:rsidRPr="007F69BB">
        <w:rPr>
          <w:rFonts w:ascii="Times New Roman" w:hAnsi="Times New Roman" w:cs="Times New Roman"/>
          <w:b/>
          <w:bCs/>
          <w:sz w:val="24"/>
          <w:szCs w:val="24"/>
        </w:rPr>
        <w:t>S</w:t>
      </w:r>
      <w:r w:rsidRPr="00F23D6B">
        <w:rPr>
          <w:rFonts w:ascii="Times New Roman" w:hAnsi="Times New Roman" w:cs="Times New Roman"/>
          <w:b/>
          <w:bCs/>
          <w:sz w:val="24"/>
          <w:szCs w:val="24"/>
        </w:rPr>
        <w:t xml:space="preserve">4. </w:t>
      </w:r>
      <w:r w:rsidRPr="00F23D6B">
        <w:rPr>
          <w:rFonts w:ascii="Times New Roman" w:hAnsi="Times New Roman" w:cs="Times New Roman"/>
          <w:sz w:val="24"/>
          <w:szCs w:val="24"/>
        </w:rPr>
        <w:t>Amino Acid Variation in Amelogenin Sex-Specific Isoforms.</w:t>
      </w:r>
      <w:r w:rsidRPr="007F69BB">
        <w:rPr>
          <w:rFonts w:ascii="Times New Roman" w:hAnsi="Times New Roman" w:cs="Times New Roman"/>
          <w:sz w:val="24"/>
          <w:szCs w:val="24"/>
        </w:rPr>
        <w:t xml:space="preserve"> </w:t>
      </w:r>
      <w:proofErr w:type="spellStart"/>
      <w:r w:rsidRPr="00F23D6B">
        <w:rPr>
          <w:rFonts w:ascii="Times New Roman" w:hAnsi="Times New Roman" w:cs="Times New Roman"/>
          <w:sz w:val="24"/>
          <w:szCs w:val="24"/>
        </w:rPr>
        <w:t>Amelogenin</w:t>
      </w:r>
      <w:proofErr w:type="spellEnd"/>
      <w:r w:rsidRPr="00F23D6B">
        <w:rPr>
          <w:rFonts w:ascii="Times New Roman" w:hAnsi="Times New Roman" w:cs="Times New Roman"/>
          <w:sz w:val="24"/>
          <w:szCs w:val="24"/>
        </w:rPr>
        <w:t xml:space="preserve"> genes are transcribed in three AMELX isoforms and two AMELY </w:t>
      </w:r>
      <w:proofErr w:type="spellStart"/>
      <w:r w:rsidRPr="00F23D6B">
        <w:rPr>
          <w:rFonts w:ascii="Times New Roman" w:hAnsi="Times New Roman" w:cs="Times New Roman"/>
          <w:sz w:val="24"/>
          <w:szCs w:val="24"/>
          <w:lang w:val="de-DE"/>
        </w:rPr>
        <w:t>isoforms</w:t>
      </w:r>
      <w:proofErr w:type="spellEnd"/>
      <w:r w:rsidRPr="00F23D6B">
        <w:rPr>
          <w:rFonts w:ascii="Times New Roman" w:hAnsi="Times New Roman" w:cs="Times New Roman"/>
          <w:sz w:val="24"/>
          <w:szCs w:val="24"/>
        </w:rPr>
        <w:t xml:space="preserve"> </w:t>
      </w:r>
      <w:r>
        <w:rPr>
          <w:rFonts w:ascii="Times New Roman" w:hAnsi="Times New Roman" w:cs="Times New Roman"/>
          <w:sz w:val="24"/>
          <w:szCs w:val="24"/>
        </w:rPr>
        <w:fldChar w:fldCharType="begin">
          <w:fldData xml:space="preserve">PEVuZE5vdGU+PENpdGU+PEF1dGhvcj5TYWxpZG88L0F1dGhvcj48WWVhcj4xOTkyPC9ZZWFyPjxS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</w:fldData>
        </w:fldChar>
      </w:r>
      <w:r w:rsidR="00C640F1">
        <w:rPr>
          <w:rFonts w:ascii="Times New Roman" w:hAnsi="Times New Roman" w:cs="Times New Roman"/>
          <w:sz w:val="24"/>
          <w:szCs w:val="24"/>
        </w:rPr>
        <w:instrText xml:space="preserve"> ADDIN EN.CITE </w:instrText>
      </w:r>
      <w:r w:rsidR="00C640F1">
        <w:rPr>
          <w:rFonts w:ascii="Times New Roman" w:hAnsi="Times New Roman" w:cs="Times New Roman"/>
          <w:sz w:val="24"/>
          <w:szCs w:val="24"/>
        </w:rPr>
        <w:fldChar w:fldCharType="begin">
          <w:fldData xml:space="preserve">PEVuZE5vdGU+PENpdGU+PEF1dGhvcj5TYWxpZG88L0F1dGhvcj48WWVhcj4xOTkyPC9ZZWFyPjxS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</w:fldData>
        </w:fldChar>
      </w:r>
      <w:r w:rsidR="00C640F1">
        <w:rPr>
          <w:rFonts w:ascii="Times New Roman" w:hAnsi="Times New Roman" w:cs="Times New Roman"/>
          <w:sz w:val="24"/>
          <w:szCs w:val="24"/>
        </w:rPr>
        <w:instrText xml:space="preserve"> ADDIN EN.CITE.DATA </w:instrText>
      </w:r>
      <w:r w:rsidR="00C640F1">
        <w:rPr>
          <w:rFonts w:ascii="Times New Roman" w:hAnsi="Times New Roman" w:cs="Times New Roman"/>
          <w:sz w:val="24"/>
          <w:szCs w:val="24"/>
        </w:rPr>
      </w:r>
      <w:r w:rsidR="00C640F1">
        <w:rPr>
          <w:rFonts w:ascii="Times New Roman" w:hAnsi="Times New Roman" w:cs="Times New Roman"/>
          <w:sz w:val="24"/>
          <w:szCs w:val="24"/>
        </w:rPr>
        <w:fldChar w:fldCharType="end"/>
      </w:r>
      <w:r>
        <w:rPr>
          <w:rFonts w:ascii="Times New Roman" w:hAnsi="Times New Roman" w:cs="Times New Roman"/>
          <w:sz w:val="24"/>
          <w:szCs w:val="24"/>
        </w:rPr>
        <w:fldChar w:fldCharType="separate"/>
      </w:r>
      <w:r w:rsidR="00C640F1">
        <w:rPr>
          <w:rFonts w:ascii="Times New Roman" w:hAnsi="Times New Roman" w:cs="Times New Roman"/>
          <w:noProof/>
          <w:sz w:val="24"/>
          <w:szCs w:val="24"/>
        </w:rPr>
        <w:t>(Salido, et al., 1992, Simmer, 1995)</w:t>
      </w:r>
      <w:r>
        <w:rPr>
          <w:rFonts w:ascii="Times New Roman" w:hAnsi="Times New Roman" w:cs="Times New Roman"/>
          <w:sz w:val="24"/>
          <w:szCs w:val="24"/>
        </w:rPr>
        <w:fldChar w:fldCharType="end"/>
      </w:r>
      <w:r w:rsidRPr="00F23D6B">
        <w:rPr>
          <w:rFonts w:ascii="Times New Roman" w:hAnsi="Times New Roman" w:cs="Times New Roman"/>
          <w:sz w:val="24"/>
          <w:szCs w:val="24"/>
        </w:rPr>
        <w:t>. Amino acid variation between the two proteins are indicated in blue squares. The putative signal peptide is indicated in green, the documented site of phosphorylation (S15) is indicated in yellow</w:t>
      </w:r>
      <w:r>
        <w:rPr>
          <w:rFonts w:ascii="Times New Roman" w:hAnsi="Times New Roman" w:cs="Times New Roman"/>
          <w:sz w:val="24"/>
          <w:szCs w:val="24"/>
        </w:rPr>
        <w:fldChar w:fldCharType="begin"/>
      </w:r>
      <w:r w:rsidR="00C640F1">
        <w:rPr>
          <w:rFonts w:ascii="Times New Roman" w:hAnsi="Times New Roman" w:cs="Times New Roman"/>
          <w:sz w:val="24"/>
          <w:szCs w:val="24"/>
        </w:rPr>
        <w:instrText xml:space="preserve"> ADDIN EN.CITE &lt;EndNote&gt;&lt;Cite&gt;&lt;Author&gt;Connelly&lt;/Author&gt;&lt;Year&gt;2016&lt;/Year&gt;&lt;RecNum&gt;3802&lt;/RecNum&gt;&lt;DisplayText&gt;(Connelly, et al., 2016)&lt;/DisplayText&gt;&lt;record&gt;&lt;rec-number&gt;3802&lt;/rec-number&gt;&lt;foreign-keys&gt;&lt;key app="EN" db-id="azezefwv4tezr1evpt5p2et85a05dp5v2ve5" timestamp="1477431879"&gt;3802&lt;/key&gt;&lt;/foreign-keys&gt;&lt;ref-type name="Journal Article"&gt;17&lt;/ref-type&gt;&lt;contributors&gt;&lt;authors&gt;&lt;author&gt;Connelly, C.&lt;/author&gt;&lt;author&gt;Cicuto, T.&lt;/author&gt;&lt;author&gt;Leavitt, J.&lt;/author&gt;&lt;author&gt;Petty, A.&lt;/author&gt;&lt;author&gt;Litman, A.&lt;/author&gt;&lt;author&gt;Margolis, H. C.&lt;/author&gt;&lt;author&gt;Gerdon, A. E.&lt;/author&gt;&lt;/authors&gt;&lt;/contributors&gt;&lt;auth-address&gt;Emmanuel College, Department of Chemistry and Physics, Boston, MA 02115, USA.&amp;#xD;The Forsyth Institute, Center for Biomineralization, Department of Applied Oral Sciences, Cambridge, MA 02142, USA.&amp;#xD;Emmanuel College, Department of Chemistry and Physics, Boston, MA 02115, USA. Electronic address: gerdoar@emmanuel.edu.&lt;/auth-address&gt;&lt;titles&gt;&lt;title&gt;Dynamic interactions of amelogenin with hydroxyapatite surfaces are dependent on protein phosphorylation and solution pH&lt;/title&gt;&lt;secondary-title&gt;Colloids Surf B Biointerfaces&lt;/secondary-title&gt;&lt;/titles&gt;&lt;periodical&gt;&lt;full-title&gt;Colloids Surf B Biointerfaces&lt;/full-title&gt;&lt;/periodical&gt;&lt;pages&gt;377-384&lt;/pages&gt;&lt;volume&gt;148&lt;/volume&gt;&lt;keywords&gt;&lt;keyword&gt;Adsorption&lt;/keyword&gt;&lt;keyword&gt;Amelogenin&lt;/keyword&gt;&lt;keyword&gt;Hydroxyapatite&lt;/keyword&gt;&lt;keyword&gt;Phosphorylation&lt;/keyword&gt;&lt;keyword&gt;Quartz crystal microbalance&lt;/keyword&gt;&lt;/keywords&gt;&lt;dates&gt;&lt;year&gt;2016&lt;/year&gt;&lt;pub-dates&gt;&lt;date&gt;Sep 8&lt;/date&gt;&lt;/pub-dates&gt;&lt;/dates&gt;&lt;isbn&gt;1873-4367 (Electronic)&amp;#xD;0927-7765 (Linking)&lt;/isbn&gt;&lt;accession-num&gt;27632699&lt;/accession-num&gt;&lt;urls&gt;&lt;related-urls&gt;&lt;url&gt;https://www.ncbi.nlm.nih.gov/pubmed/27632699&lt;/url&gt;&lt;/related-urls&gt;&lt;/urls&gt;&lt;electronic-resource-num&gt;10.1016/j.colsurfb.2016.09.010&lt;/electronic-resource-num&gt;&lt;/record&gt;&lt;/Cite&gt;&lt;/EndNote&gt;</w:instrText>
      </w:r>
      <w:r>
        <w:rPr>
          <w:rFonts w:ascii="Times New Roman" w:hAnsi="Times New Roman" w:cs="Times New Roman"/>
          <w:sz w:val="24"/>
          <w:szCs w:val="24"/>
        </w:rPr>
        <w:fldChar w:fldCharType="separate"/>
      </w:r>
      <w:r w:rsidR="00C640F1">
        <w:rPr>
          <w:rFonts w:ascii="Times New Roman" w:hAnsi="Times New Roman" w:cs="Times New Roman"/>
          <w:noProof/>
          <w:sz w:val="24"/>
          <w:szCs w:val="24"/>
        </w:rPr>
        <w:t>(Connelly, et al., 2016)</w:t>
      </w:r>
      <w:r>
        <w:rPr>
          <w:rFonts w:ascii="Times New Roman" w:hAnsi="Times New Roman" w:cs="Times New Roman"/>
          <w:sz w:val="24"/>
          <w:szCs w:val="24"/>
        </w:rPr>
        <w:fldChar w:fldCharType="end"/>
      </w:r>
      <w:r w:rsidRPr="00F23D6B">
        <w:rPr>
          <w:rFonts w:ascii="Times New Roman" w:hAnsi="Times New Roman" w:cs="Times New Roman"/>
          <w:sz w:val="24"/>
          <w:szCs w:val="24"/>
        </w:rPr>
        <w:t xml:space="preserve">.  UNIPROT protein accession numbers are indicated. </w:t>
      </w:r>
    </w:p>
    <w:p w14:paraId="598D07B2" w14:textId="77777777" w:rsidR="00C176B2" w:rsidRDefault="00C176B2" w:rsidP="00C176B2">
      <w:pPr>
        <w:rPr>
          <w:rFonts w:ascii="Times New Roman" w:hAnsi="Times New Roman" w:cs="Times New Roman"/>
        </w:rPr>
      </w:pPr>
    </w:p>
    <w:p w14:paraId="7E5C26FD" w14:textId="77777777" w:rsidR="00C176B2" w:rsidRPr="00C176B2" w:rsidRDefault="00C176B2" w:rsidP="00C176B2">
      <w:pPr>
        <w:rPr>
          <w:rFonts w:ascii="Times New Roman" w:hAnsi="Times New Roman" w:cs="Times New Roman"/>
        </w:rPr>
      </w:pPr>
    </w:p>
    <w:p w14:paraId="3050A78E" w14:textId="77777777" w:rsidR="00C176B2" w:rsidRPr="00C176B2" w:rsidRDefault="00C176B2" w:rsidP="00C176B2">
      <w:pPr>
        <w:rPr>
          <w:rFonts w:ascii="Times New Roman" w:hAnsi="Times New Roman" w:cs="Times New Roman"/>
        </w:rPr>
      </w:pPr>
      <w:r w:rsidRPr="00C176B2">
        <w:rPr>
          <w:rFonts w:ascii="Times New Roman" w:hAnsi="Times New Roman" w:cs="Times New Roman"/>
        </w:rPr>
        <w:t>References Cited</w:t>
      </w:r>
    </w:p>
    <w:p w14:paraId="50D3A6DA" w14:textId="77777777" w:rsidR="00C640F1" w:rsidRPr="00C640F1" w:rsidRDefault="00C176B2" w:rsidP="00C640F1">
      <w:pPr>
        <w:pStyle w:val="EndNoteBibliography"/>
        <w:spacing w:after="0"/>
        <w:rPr>
          <w:rFonts w:ascii="Times New Roman" w:hAnsi="Times New Roman" w:cs="Times New Roman"/>
          <w:noProof/>
        </w:rPr>
      </w:pPr>
      <w:r w:rsidRPr="00C176B2">
        <w:rPr>
          <w:rFonts w:ascii="Times New Roman" w:hAnsi="Times New Roman" w:cs="Times New Roman"/>
        </w:rPr>
        <w:fldChar w:fldCharType="begin"/>
      </w:r>
      <w:r w:rsidRPr="00C176B2">
        <w:rPr>
          <w:rFonts w:ascii="Times New Roman" w:hAnsi="Times New Roman" w:cs="Times New Roman"/>
        </w:rPr>
        <w:instrText xml:space="preserve"> ADDIN EN.REFLIST </w:instrText>
      </w:r>
      <w:r w:rsidRPr="00C176B2">
        <w:rPr>
          <w:rFonts w:ascii="Times New Roman" w:hAnsi="Times New Roman" w:cs="Times New Roman"/>
        </w:rPr>
        <w:fldChar w:fldCharType="separate"/>
      </w:r>
      <w:r w:rsidR="00C640F1" w:rsidRPr="00C640F1">
        <w:rPr>
          <w:rFonts w:ascii="Times New Roman" w:hAnsi="Times New Roman" w:cs="Times New Roman"/>
          <w:noProof/>
        </w:rPr>
        <w:t xml:space="preserve">Connelly, C., Cicuto, T., Leavitt, J., Petty, A., Litman, A., Margolis, H.C., Gerdon, A.E., 2016. Dynamic interactions of amelogenin with hydroxyapatite surfaces are dependent on protein phosphorylation and solution pH, </w:t>
      </w:r>
      <w:r w:rsidR="00C640F1" w:rsidRPr="00C640F1">
        <w:rPr>
          <w:rFonts w:ascii="Times New Roman" w:hAnsi="Times New Roman" w:cs="Times New Roman"/>
          <w:i/>
          <w:noProof/>
        </w:rPr>
        <w:t>Colloids Surf B Biointerfaces</w:t>
      </w:r>
      <w:r w:rsidR="00C640F1" w:rsidRPr="00C640F1">
        <w:rPr>
          <w:rFonts w:ascii="Times New Roman" w:hAnsi="Times New Roman" w:cs="Times New Roman"/>
          <w:noProof/>
        </w:rPr>
        <w:t xml:space="preserve"> </w:t>
      </w:r>
      <w:r w:rsidR="00C640F1" w:rsidRPr="00C640F1">
        <w:rPr>
          <w:rFonts w:ascii="Times New Roman" w:hAnsi="Times New Roman" w:cs="Times New Roman"/>
          <w:b/>
          <w:noProof/>
        </w:rPr>
        <w:t>148</w:t>
      </w:r>
      <w:r w:rsidR="00C640F1" w:rsidRPr="00C640F1">
        <w:rPr>
          <w:rFonts w:ascii="Times New Roman" w:hAnsi="Times New Roman" w:cs="Times New Roman"/>
          <w:noProof/>
        </w:rPr>
        <w:t>, 377-384. 10.1016/j.colsurfb.2016.09.010.</w:t>
      </w:r>
    </w:p>
    <w:p w14:paraId="493E264C" w14:textId="77777777" w:rsidR="00C640F1" w:rsidRPr="00C640F1" w:rsidRDefault="00C640F1" w:rsidP="00C640F1">
      <w:pPr>
        <w:pStyle w:val="EndNoteBibliography"/>
        <w:spacing w:after="0"/>
        <w:rPr>
          <w:rFonts w:ascii="Times New Roman" w:hAnsi="Times New Roman" w:cs="Times New Roman"/>
          <w:noProof/>
        </w:rPr>
      </w:pPr>
      <w:r w:rsidRPr="00C640F1">
        <w:rPr>
          <w:rFonts w:ascii="Times New Roman" w:hAnsi="Times New Roman" w:cs="Times New Roman"/>
          <w:noProof/>
        </w:rPr>
        <w:t xml:space="preserve">Deutsch, E.W., Csordas, A., Sun, Z., Jarnuczak, A., Perez-Riverol, Y., Ternent, T., Campbell, D.S., Bernal-Llinares, M., Okuda, S., Kawano, S., Moritz, R.L., Carver, J.J., Wang, M., Ishihama, Y., Bandeira, N., Hermjakob, H., Vizcaino, J.A., 2017. The ProteomeXchange consortium in 2017: supporting the cultural change in proteomics public data deposition, </w:t>
      </w:r>
      <w:r w:rsidRPr="00C640F1">
        <w:rPr>
          <w:rFonts w:ascii="Times New Roman" w:hAnsi="Times New Roman" w:cs="Times New Roman"/>
          <w:i/>
          <w:noProof/>
        </w:rPr>
        <w:t>Nucleic Acids Res</w:t>
      </w:r>
      <w:r w:rsidRPr="00C640F1">
        <w:rPr>
          <w:rFonts w:ascii="Times New Roman" w:hAnsi="Times New Roman" w:cs="Times New Roman"/>
          <w:noProof/>
        </w:rPr>
        <w:t xml:space="preserve"> </w:t>
      </w:r>
      <w:r w:rsidRPr="00C640F1">
        <w:rPr>
          <w:rFonts w:ascii="Times New Roman" w:hAnsi="Times New Roman" w:cs="Times New Roman"/>
          <w:b/>
          <w:noProof/>
        </w:rPr>
        <w:t>45</w:t>
      </w:r>
      <w:r w:rsidRPr="00C640F1">
        <w:rPr>
          <w:rFonts w:ascii="Times New Roman" w:hAnsi="Times New Roman" w:cs="Times New Roman"/>
          <w:noProof/>
        </w:rPr>
        <w:t>, D1100-D1106. 10.1093/nar/gkw936.</w:t>
      </w:r>
    </w:p>
    <w:p w14:paraId="4DB8680F" w14:textId="77777777" w:rsidR="00C640F1" w:rsidRPr="00C640F1" w:rsidRDefault="00C640F1" w:rsidP="00C640F1">
      <w:pPr>
        <w:pStyle w:val="EndNoteBibliography"/>
        <w:spacing w:after="0"/>
        <w:rPr>
          <w:rFonts w:ascii="Times New Roman" w:hAnsi="Times New Roman" w:cs="Times New Roman"/>
          <w:noProof/>
        </w:rPr>
      </w:pPr>
      <w:r w:rsidRPr="00C640F1">
        <w:rPr>
          <w:rFonts w:ascii="Times New Roman" w:hAnsi="Times New Roman" w:cs="Times New Roman"/>
          <w:noProof/>
        </w:rPr>
        <w:t xml:space="preserve">Mittnik, A., Wang, C.-C., Svoboda, J., Krause, J., 2016. A Molecular Approach to the Sexing of the Triple Burial at the Upper Paleolithic Site of Dolní Věstonice, </w:t>
      </w:r>
      <w:r w:rsidRPr="00C640F1">
        <w:rPr>
          <w:rFonts w:ascii="Times New Roman" w:hAnsi="Times New Roman" w:cs="Times New Roman"/>
          <w:i/>
          <w:noProof/>
        </w:rPr>
        <w:t>PLoS ONE</w:t>
      </w:r>
      <w:r w:rsidRPr="00C640F1">
        <w:rPr>
          <w:rFonts w:ascii="Times New Roman" w:hAnsi="Times New Roman" w:cs="Times New Roman"/>
          <w:noProof/>
        </w:rPr>
        <w:t xml:space="preserve"> </w:t>
      </w:r>
      <w:r w:rsidRPr="00C640F1">
        <w:rPr>
          <w:rFonts w:ascii="Times New Roman" w:hAnsi="Times New Roman" w:cs="Times New Roman"/>
          <w:b/>
          <w:noProof/>
        </w:rPr>
        <w:t>11</w:t>
      </w:r>
      <w:r w:rsidRPr="00C640F1">
        <w:rPr>
          <w:rFonts w:ascii="Times New Roman" w:hAnsi="Times New Roman" w:cs="Times New Roman"/>
          <w:noProof/>
        </w:rPr>
        <w:t>, e0163019. 10.1371/journal.pone.0163019.</w:t>
      </w:r>
    </w:p>
    <w:p w14:paraId="4E8B4656" w14:textId="77777777" w:rsidR="00C640F1" w:rsidRPr="00C640F1" w:rsidRDefault="00C640F1" w:rsidP="00C640F1">
      <w:pPr>
        <w:pStyle w:val="EndNoteBibliography"/>
        <w:spacing w:after="0"/>
        <w:rPr>
          <w:rFonts w:ascii="Times New Roman" w:hAnsi="Times New Roman" w:cs="Times New Roman"/>
          <w:noProof/>
        </w:rPr>
      </w:pPr>
      <w:r w:rsidRPr="00C640F1">
        <w:rPr>
          <w:rFonts w:ascii="Times New Roman" w:hAnsi="Times New Roman" w:cs="Times New Roman"/>
          <w:noProof/>
        </w:rPr>
        <w:t xml:space="preserve">Salido, E.C., Yen, P.H., Koprivnikar, K., Yu, L.C., Shapiro, L.J., 1992. The human enamel protein gene amelogenin is expressed from both the X and the Y chromosomes, </w:t>
      </w:r>
      <w:r w:rsidRPr="00C640F1">
        <w:rPr>
          <w:rFonts w:ascii="Times New Roman" w:hAnsi="Times New Roman" w:cs="Times New Roman"/>
          <w:i/>
          <w:noProof/>
        </w:rPr>
        <w:t>Am J Hum Genet</w:t>
      </w:r>
      <w:r w:rsidRPr="00C640F1">
        <w:rPr>
          <w:rFonts w:ascii="Times New Roman" w:hAnsi="Times New Roman" w:cs="Times New Roman"/>
          <w:noProof/>
        </w:rPr>
        <w:t xml:space="preserve"> </w:t>
      </w:r>
      <w:r w:rsidRPr="00C640F1">
        <w:rPr>
          <w:rFonts w:ascii="Times New Roman" w:hAnsi="Times New Roman" w:cs="Times New Roman"/>
          <w:b/>
          <w:noProof/>
        </w:rPr>
        <w:t>50</w:t>
      </w:r>
      <w:r w:rsidRPr="00C640F1">
        <w:rPr>
          <w:rFonts w:ascii="Times New Roman" w:hAnsi="Times New Roman" w:cs="Times New Roman"/>
          <w:noProof/>
        </w:rPr>
        <w:t>, 303-316.</w:t>
      </w:r>
    </w:p>
    <w:p w14:paraId="7C99A0A5" w14:textId="77777777" w:rsidR="00C640F1" w:rsidRPr="00C640F1" w:rsidRDefault="00C640F1" w:rsidP="00C640F1">
      <w:pPr>
        <w:pStyle w:val="EndNoteBibliography"/>
        <w:spacing w:after="0"/>
        <w:rPr>
          <w:rFonts w:ascii="Times New Roman" w:hAnsi="Times New Roman" w:cs="Times New Roman"/>
          <w:noProof/>
        </w:rPr>
      </w:pPr>
      <w:r w:rsidRPr="00C640F1">
        <w:rPr>
          <w:rFonts w:ascii="Times New Roman" w:hAnsi="Times New Roman" w:cs="Times New Roman"/>
          <w:noProof/>
        </w:rPr>
        <w:t xml:space="preserve">Simmer, J.P., 1995. Alternative splicing of amelogenins, </w:t>
      </w:r>
      <w:r w:rsidRPr="00C640F1">
        <w:rPr>
          <w:rFonts w:ascii="Times New Roman" w:hAnsi="Times New Roman" w:cs="Times New Roman"/>
          <w:i/>
          <w:noProof/>
        </w:rPr>
        <w:t>Connect Tissue Res</w:t>
      </w:r>
      <w:r w:rsidRPr="00C640F1">
        <w:rPr>
          <w:rFonts w:ascii="Times New Roman" w:hAnsi="Times New Roman" w:cs="Times New Roman"/>
          <w:noProof/>
        </w:rPr>
        <w:t xml:space="preserve"> </w:t>
      </w:r>
      <w:r w:rsidRPr="00C640F1">
        <w:rPr>
          <w:rFonts w:ascii="Times New Roman" w:hAnsi="Times New Roman" w:cs="Times New Roman"/>
          <w:b/>
          <w:noProof/>
        </w:rPr>
        <w:t>32</w:t>
      </w:r>
      <w:r w:rsidRPr="00C640F1">
        <w:rPr>
          <w:rFonts w:ascii="Times New Roman" w:hAnsi="Times New Roman" w:cs="Times New Roman"/>
          <w:noProof/>
        </w:rPr>
        <w:t>, 131-136.</w:t>
      </w:r>
    </w:p>
    <w:p w14:paraId="40A28032" w14:textId="1BBE0156" w:rsidR="00C640F1" w:rsidRPr="00C640F1" w:rsidRDefault="00C640F1" w:rsidP="00C640F1">
      <w:pPr>
        <w:pStyle w:val="EndNoteBibliography"/>
        <w:spacing w:after="0"/>
        <w:rPr>
          <w:rFonts w:ascii="Times New Roman" w:hAnsi="Times New Roman" w:cs="Times New Roman"/>
          <w:noProof/>
        </w:rPr>
      </w:pPr>
      <w:r w:rsidRPr="00C640F1">
        <w:rPr>
          <w:rFonts w:ascii="Times New Roman" w:hAnsi="Times New Roman" w:cs="Times New Roman"/>
          <w:noProof/>
        </w:rPr>
        <w:lastRenderedPageBreak/>
        <w:t xml:space="preserve">Skoglund, P., Storå, J., Götherström, A., Jakobsson, M., 2013. Accurate sex identification of ancient human remains using DNA shotgun sequencing, </w:t>
      </w:r>
      <w:r w:rsidRPr="00C640F1">
        <w:rPr>
          <w:rFonts w:ascii="Times New Roman" w:hAnsi="Times New Roman" w:cs="Times New Roman"/>
          <w:i/>
          <w:noProof/>
        </w:rPr>
        <w:t>Journal of Archaeological Science</w:t>
      </w:r>
      <w:r w:rsidRPr="00C640F1">
        <w:rPr>
          <w:rFonts w:ascii="Times New Roman" w:hAnsi="Times New Roman" w:cs="Times New Roman"/>
          <w:noProof/>
        </w:rPr>
        <w:t xml:space="preserve"> </w:t>
      </w:r>
      <w:r w:rsidRPr="00C640F1">
        <w:rPr>
          <w:rFonts w:ascii="Times New Roman" w:hAnsi="Times New Roman" w:cs="Times New Roman"/>
          <w:b/>
          <w:noProof/>
        </w:rPr>
        <w:t>40</w:t>
      </w:r>
      <w:r w:rsidRPr="00C640F1">
        <w:rPr>
          <w:rFonts w:ascii="Times New Roman" w:hAnsi="Times New Roman" w:cs="Times New Roman"/>
          <w:noProof/>
        </w:rPr>
        <w:t xml:space="preserve">, 4477-4482. </w:t>
      </w:r>
      <w:hyperlink r:id="rId12" w:history="1">
        <w:r w:rsidRPr="00C640F1">
          <w:rPr>
            <w:rStyle w:val="Hyperlink"/>
            <w:rFonts w:ascii="Times New Roman" w:hAnsi="Times New Roman" w:cs="Times New Roman"/>
            <w:noProof/>
          </w:rPr>
          <w:t>http://dx.doi.org/10.1016/j.jas.2013.07.004</w:t>
        </w:r>
      </w:hyperlink>
      <w:r w:rsidRPr="00C640F1">
        <w:rPr>
          <w:rFonts w:ascii="Times New Roman" w:hAnsi="Times New Roman" w:cs="Times New Roman"/>
          <w:noProof/>
        </w:rPr>
        <w:t>.</w:t>
      </w:r>
    </w:p>
    <w:p w14:paraId="3C47FEA6" w14:textId="77777777" w:rsidR="00C640F1" w:rsidRPr="00C640F1" w:rsidRDefault="00C640F1" w:rsidP="00C640F1">
      <w:pPr>
        <w:pStyle w:val="EndNoteBibliography"/>
        <w:rPr>
          <w:rFonts w:ascii="Times New Roman" w:hAnsi="Times New Roman" w:cs="Times New Roman"/>
          <w:noProof/>
        </w:rPr>
      </w:pPr>
      <w:r w:rsidRPr="00C640F1">
        <w:rPr>
          <w:rFonts w:ascii="Times New Roman" w:hAnsi="Times New Roman" w:cs="Times New Roman"/>
          <w:noProof/>
        </w:rPr>
        <w:t xml:space="preserve">Zhang, J., Xin, L., Shan, B., Chen, W., Xie, M., Yuen, D., Zhang, W., Zhang, Z., Lajoie, G.A., Ma, B., 2012. PEAKS DB: de novo sequencing assisted database search for sensitive and accurate peptide identification, </w:t>
      </w:r>
      <w:r w:rsidRPr="00C640F1">
        <w:rPr>
          <w:rFonts w:ascii="Times New Roman" w:hAnsi="Times New Roman" w:cs="Times New Roman"/>
          <w:i/>
          <w:noProof/>
        </w:rPr>
        <w:t>Mol Cell Proteomics</w:t>
      </w:r>
      <w:r w:rsidRPr="00C640F1">
        <w:rPr>
          <w:rFonts w:ascii="Times New Roman" w:hAnsi="Times New Roman" w:cs="Times New Roman"/>
          <w:noProof/>
        </w:rPr>
        <w:t xml:space="preserve"> </w:t>
      </w:r>
      <w:r w:rsidRPr="00C640F1">
        <w:rPr>
          <w:rFonts w:ascii="Times New Roman" w:hAnsi="Times New Roman" w:cs="Times New Roman"/>
          <w:b/>
          <w:noProof/>
        </w:rPr>
        <w:t>11</w:t>
      </w:r>
      <w:r w:rsidRPr="00C640F1">
        <w:rPr>
          <w:rFonts w:ascii="Times New Roman" w:hAnsi="Times New Roman" w:cs="Times New Roman"/>
          <w:noProof/>
        </w:rPr>
        <w:t>, M111 010587. 10.1074/mcp.M111.010587.</w:t>
      </w:r>
    </w:p>
    <w:p w14:paraId="0C8E587F" w14:textId="2BB79125" w:rsidR="0092786C" w:rsidRDefault="00C176B2" w:rsidP="00C176B2">
      <w:r w:rsidRPr="00C176B2">
        <w:rPr>
          <w:rFonts w:ascii="Times New Roman" w:hAnsi="Times New Roman" w:cs="Times New Roman"/>
        </w:rPr>
        <w:fldChar w:fldCharType="end"/>
      </w:r>
    </w:p>
    <w:p w14:paraId="485BC65C" w14:textId="4001E29E" w:rsidR="0092786C" w:rsidRDefault="0092786C"/>
    <w:p w14:paraId="46334AF4" w14:textId="08560FB0" w:rsidR="0013457A" w:rsidRPr="00136A97" w:rsidRDefault="0013457A" w:rsidP="0013457A">
      <w:pPr>
        <w:rPr>
          <w:rFonts w:ascii="Times New Roman" w:hAnsi="Times New Roman" w:cs="Times New Roman"/>
          <w:b/>
          <w:bCs/>
        </w:rPr>
      </w:pPr>
      <w:r w:rsidRPr="00136A97">
        <w:rPr>
          <w:rFonts w:ascii="Times New Roman" w:hAnsi="Times New Roman" w:cs="Times New Roman"/>
          <w:b/>
          <w:bCs/>
        </w:rPr>
        <w:t>Supplemental Tables</w:t>
      </w:r>
    </w:p>
    <w:p w14:paraId="38CF4EA7" w14:textId="77777777" w:rsidR="0013457A" w:rsidRDefault="0013457A" w:rsidP="0013457A">
      <w:pPr>
        <w:rPr>
          <w:rFonts w:ascii="Times New Roman" w:hAnsi="Times New Roman" w:cs="Times New Roman"/>
        </w:rPr>
      </w:pPr>
      <w:r w:rsidRPr="00411C1A">
        <w:rPr>
          <w:rFonts w:ascii="Times New Roman" w:hAnsi="Times New Roman" w:cs="Times New Roman"/>
        </w:rPr>
        <w:t>Table S1. Data for all human burials excavated at</w:t>
      </w:r>
      <w:r>
        <w:rPr>
          <w:rFonts w:ascii="Times New Roman" w:hAnsi="Times New Roman" w:cs="Times New Roman"/>
        </w:rPr>
        <w:t xml:space="preserve"> the archaeological sites</w:t>
      </w:r>
      <w:r w:rsidRPr="00411C1A">
        <w:rPr>
          <w:rFonts w:ascii="Times New Roman" w:hAnsi="Times New Roman" w:cs="Times New Roman"/>
        </w:rPr>
        <w:t xml:space="preserve"> </w:t>
      </w:r>
      <w:r w:rsidRPr="009A1E4E">
        <w:rPr>
          <w:rFonts w:ascii="Times New Roman" w:hAnsi="Times New Roman" w:cs="Times New Roman"/>
          <w:i/>
          <w:iCs/>
        </w:rPr>
        <w:t>Síi Túupentak</w:t>
      </w:r>
      <w:r w:rsidRPr="00411C1A">
        <w:rPr>
          <w:rFonts w:ascii="Times New Roman" w:hAnsi="Times New Roman" w:cs="Times New Roman"/>
        </w:rPr>
        <w:t xml:space="preserve"> </w:t>
      </w:r>
      <w:r>
        <w:rPr>
          <w:rFonts w:ascii="Times New Roman" w:hAnsi="Times New Roman" w:cs="Times New Roman"/>
        </w:rPr>
        <w:t>(</w:t>
      </w:r>
      <w:r w:rsidRPr="00411C1A">
        <w:rPr>
          <w:rFonts w:ascii="Times New Roman" w:hAnsi="Times New Roman" w:cs="Times New Roman"/>
        </w:rPr>
        <w:t>CA-ALA-565</w:t>
      </w:r>
      <w:r>
        <w:rPr>
          <w:rFonts w:ascii="Times New Roman" w:hAnsi="Times New Roman" w:cs="Times New Roman"/>
        </w:rPr>
        <w:t xml:space="preserve">/H) </w:t>
      </w:r>
      <w:r w:rsidRPr="00411C1A">
        <w:rPr>
          <w:rFonts w:ascii="Times New Roman" w:hAnsi="Times New Roman" w:cs="Times New Roman"/>
        </w:rPr>
        <w:t xml:space="preserve">and </w:t>
      </w:r>
      <w:r w:rsidRPr="00E8515B">
        <w:rPr>
          <w:rFonts w:ascii="Times New Roman" w:hAnsi="Times New Roman" w:cs="Times New Roman"/>
          <w:bCs/>
          <w:i/>
          <w:iCs/>
          <w:color w:val="000000"/>
          <w:sz w:val="24"/>
          <w:szCs w:val="24"/>
        </w:rPr>
        <w:t>Rummey Ta Kuččuwiš Tiprectak</w:t>
      </w:r>
      <w:r>
        <w:rPr>
          <w:rFonts w:ascii="Times New Roman" w:hAnsi="Times New Roman" w:cs="Times New Roman"/>
          <w:bCs/>
          <w:i/>
          <w:iCs/>
          <w:color w:val="000000"/>
          <w:sz w:val="24"/>
          <w:szCs w:val="24"/>
        </w:rPr>
        <w:t xml:space="preserve"> (</w:t>
      </w:r>
      <w:r w:rsidRPr="00411C1A">
        <w:rPr>
          <w:rFonts w:ascii="Times New Roman" w:hAnsi="Times New Roman" w:cs="Times New Roman"/>
        </w:rPr>
        <w:t>CA-ALA-704/H</w:t>
      </w:r>
      <w:r>
        <w:rPr>
          <w:rFonts w:ascii="Times New Roman" w:hAnsi="Times New Roman" w:cs="Times New Roman"/>
        </w:rPr>
        <w:t>).</w:t>
      </w:r>
    </w:p>
    <w:p w14:paraId="0409389C" w14:textId="6A1B0E73" w:rsidR="0013457A" w:rsidRPr="00411C1A" w:rsidRDefault="0013457A" w:rsidP="0013457A">
      <w:pPr>
        <w:rPr>
          <w:rFonts w:ascii="Times New Roman" w:hAnsi="Times New Roman" w:cs="Times New Roman"/>
        </w:rPr>
      </w:pPr>
      <w:r w:rsidRPr="00411C1A">
        <w:rPr>
          <w:rFonts w:ascii="Times New Roman" w:hAnsi="Times New Roman" w:cs="Times New Roman"/>
        </w:rPr>
        <w:t xml:space="preserve">Radiocarbon dates are </w:t>
      </w:r>
      <w:r>
        <w:rPr>
          <w:rFonts w:ascii="Times New Roman" w:hAnsi="Times New Roman" w:cs="Times New Roman"/>
        </w:rPr>
        <w:t xml:space="preserve">given as the </w:t>
      </w:r>
      <w:r w:rsidRPr="00411C1A">
        <w:rPr>
          <w:rFonts w:ascii="Times New Roman" w:hAnsi="Times New Roman" w:cs="Times New Roman"/>
        </w:rPr>
        <w:t xml:space="preserve">median </w:t>
      </w:r>
      <w:r>
        <w:rPr>
          <w:rFonts w:ascii="Times New Roman" w:hAnsi="Times New Roman" w:cs="Times New Roman"/>
        </w:rPr>
        <w:t xml:space="preserve">intercept of calibrated </w:t>
      </w:r>
      <w:r w:rsidRPr="00411C1A">
        <w:rPr>
          <w:rFonts w:ascii="Times New Roman" w:hAnsi="Times New Roman" w:cs="Times New Roman"/>
        </w:rPr>
        <w:t>radio</w:t>
      </w:r>
      <w:r>
        <w:rPr>
          <w:rFonts w:ascii="Times New Roman" w:hAnsi="Times New Roman" w:cs="Times New Roman"/>
        </w:rPr>
        <w:t>carbon</w:t>
      </w:r>
      <w:r w:rsidRPr="00411C1A">
        <w:rPr>
          <w:rFonts w:ascii="Times New Roman" w:hAnsi="Times New Roman" w:cs="Times New Roman"/>
        </w:rPr>
        <w:t xml:space="preserve"> years BP. Osteological data include approximate completeness of the skeletal remains (% complete), age categories:</w:t>
      </w:r>
      <w:r w:rsidRPr="00411C1A">
        <w:rPr>
          <w:rFonts w:ascii="Times New Roman" w:eastAsia="Times New Roman" w:hAnsi="Times New Roman" w:cs="Times New Roman"/>
        </w:rPr>
        <w:t xml:space="preserve"> Fetus (&lt; 0 years), Infant (0-3 years), Child (4-10 years), Juvenile (11-17 years), Young </w:t>
      </w:r>
      <w:r>
        <w:rPr>
          <w:rFonts w:ascii="Times New Roman" w:eastAsia="Times New Roman" w:hAnsi="Times New Roman" w:cs="Times New Roman"/>
        </w:rPr>
        <w:t>A</w:t>
      </w:r>
      <w:r w:rsidRPr="00411C1A">
        <w:rPr>
          <w:rFonts w:ascii="Times New Roman" w:eastAsia="Times New Roman" w:hAnsi="Times New Roman" w:cs="Times New Roman"/>
        </w:rPr>
        <w:t xml:space="preserve">dult (18-34 years), Middle </w:t>
      </w:r>
      <w:r>
        <w:rPr>
          <w:rFonts w:ascii="Times New Roman" w:eastAsia="Times New Roman" w:hAnsi="Times New Roman" w:cs="Times New Roman"/>
        </w:rPr>
        <w:t>A</w:t>
      </w:r>
      <w:r w:rsidRPr="00411C1A">
        <w:rPr>
          <w:rFonts w:ascii="Times New Roman" w:eastAsia="Times New Roman" w:hAnsi="Times New Roman" w:cs="Times New Roman"/>
        </w:rPr>
        <w:t xml:space="preserve">dult (35-49 years), Older </w:t>
      </w:r>
      <w:r>
        <w:rPr>
          <w:rFonts w:ascii="Times New Roman" w:eastAsia="Times New Roman" w:hAnsi="Times New Roman" w:cs="Times New Roman"/>
        </w:rPr>
        <w:t>A</w:t>
      </w:r>
      <w:r w:rsidRPr="00411C1A">
        <w:rPr>
          <w:rFonts w:ascii="Times New Roman" w:eastAsia="Times New Roman" w:hAnsi="Times New Roman" w:cs="Times New Roman"/>
        </w:rPr>
        <w:t>dult (&gt; 50 years), Adult (age uncertain)</w:t>
      </w:r>
      <w:r w:rsidRPr="00411C1A">
        <w:rPr>
          <w:rFonts w:ascii="Times New Roman" w:hAnsi="Times New Roman" w:cs="Times New Roman"/>
        </w:rPr>
        <w:t xml:space="preserve">, and sex estimates. </w:t>
      </w:r>
      <w:r>
        <w:rPr>
          <w:rFonts w:ascii="Times New Roman" w:hAnsi="Times New Roman" w:cs="Times New Roman"/>
        </w:rPr>
        <w:t>Conditional s</w:t>
      </w:r>
      <w:r w:rsidRPr="00411C1A">
        <w:rPr>
          <w:rFonts w:ascii="Times New Roman" w:hAnsi="Times New Roman" w:cs="Times New Roman"/>
        </w:rPr>
        <w:t>ex estimates</w:t>
      </w:r>
      <w:r>
        <w:rPr>
          <w:rFonts w:ascii="Times New Roman" w:hAnsi="Times New Roman" w:cs="Times New Roman"/>
        </w:rPr>
        <w:t xml:space="preserve"> are</w:t>
      </w:r>
      <w:r w:rsidRPr="00411C1A">
        <w:rPr>
          <w:rFonts w:ascii="Times New Roman" w:hAnsi="Times New Roman" w:cs="Times New Roman"/>
        </w:rPr>
        <w:t xml:space="preserve"> designated as </w:t>
      </w:r>
      <w:r>
        <w:rPr>
          <w:rFonts w:ascii="Times New Roman" w:hAnsi="Times New Roman" w:cs="Times New Roman"/>
        </w:rPr>
        <w:t xml:space="preserve">probable (Prob.) or possible (Poss.) with the former having greater certainty. </w:t>
      </w:r>
      <w:r w:rsidR="00847D69" w:rsidRPr="004273FD">
        <w:rPr>
          <w:rFonts w:ascii="Times New Roman" w:hAnsi="Times New Roman" w:cs="Times New Roman"/>
        </w:rPr>
        <w:t xml:space="preserve">Cases where osteological sex estimates could not be made are </w:t>
      </w:r>
      <w:r w:rsidR="00FC6085" w:rsidRPr="004273FD">
        <w:rPr>
          <w:rFonts w:ascii="Times New Roman" w:hAnsi="Times New Roman" w:cs="Times New Roman"/>
        </w:rPr>
        <w:t>i</w:t>
      </w:r>
      <w:r w:rsidR="00847D69" w:rsidRPr="004273FD">
        <w:rPr>
          <w:rFonts w:ascii="Times New Roman" w:hAnsi="Times New Roman" w:cs="Times New Roman"/>
        </w:rPr>
        <w:t>ndet</w:t>
      </w:r>
      <w:r w:rsidR="00FC6085" w:rsidRPr="004273FD">
        <w:rPr>
          <w:rFonts w:ascii="Times New Roman" w:hAnsi="Times New Roman" w:cs="Times New Roman"/>
        </w:rPr>
        <w:t>erminate (</w:t>
      </w:r>
      <w:proofErr w:type="spellStart"/>
      <w:r w:rsidR="00FC6085" w:rsidRPr="004273FD">
        <w:rPr>
          <w:rFonts w:ascii="Times New Roman" w:hAnsi="Times New Roman" w:cs="Times New Roman"/>
        </w:rPr>
        <w:t>Indet</w:t>
      </w:r>
      <w:proofErr w:type="spellEnd"/>
      <w:r w:rsidR="00FC6085" w:rsidRPr="004273FD">
        <w:rPr>
          <w:rFonts w:ascii="Times New Roman" w:hAnsi="Times New Roman" w:cs="Times New Roman"/>
        </w:rPr>
        <w:t>).</w:t>
      </w:r>
      <w:r w:rsidR="00FC6085">
        <w:rPr>
          <w:rFonts w:ascii="Times New Roman" w:hAnsi="Times New Roman" w:cs="Times New Roman"/>
        </w:rPr>
        <w:t xml:space="preserve"> </w:t>
      </w:r>
      <w:r w:rsidRPr="00411C1A">
        <w:rPr>
          <w:rFonts w:ascii="Times New Roman" w:hAnsi="Times New Roman" w:cs="Times New Roman"/>
        </w:rPr>
        <w:t>Genomic data include numbers of matched human DNA sequences (Total Reads), along with Ry and Rx values with 95% confidence intervals (RY ± range</w:t>
      </w:r>
      <w:r>
        <w:rPr>
          <w:rFonts w:ascii="Times New Roman" w:hAnsi="Times New Roman" w:cs="Times New Roman"/>
        </w:rPr>
        <w:t xml:space="preserve">, </w:t>
      </w:r>
      <w:r w:rsidRPr="00411C1A">
        <w:rPr>
          <w:rFonts w:ascii="Times New Roman" w:hAnsi="Times New Roman" w:cs="Times New Roman"/>
        </w:rPr>
        <w:t>and RX ± range).</w:t>
      </w:r>
      <w:r>
        <w:rPr>
          <w:rFonts w:ascii="Times New Roman" w:hAnsi="Times New Roman" w:cs="Times New Roman"/>
        </w:rPr>
        <w:t xml:space="preserve"> Genomic sex estimates are definitively </w:t>
      </w:r>
      <w:r w:rsidRPr="00411C1A">
        <w:rPr>
          <w:rFonts w:ascii="Times New Roman" w:hAnsi="Times New Roman" w:cs="Times New Roman"/>
        </w:rPr>
        <w:t xml:space="preserve">female or male </w:t>
      </w:r>
      <w:r>
        <w:rPr>
          <w:rFonts w:ascii="Times New Roman" w:hAnsi="Times New Roman" w:cs="Times New Roman"/>
        </w:rPr>
        <w:t>(XX</w:t>
      </w:r>
      <w:r w:rsidRPr="00411C1A">
        <w:rPr>
          <w:rFonts w:ascii="Times New Roman" w:hAnsi="Times New Roman" w:cs="Times New Roman"/>
        </w:rPr>
        <w:t xml:space="preserve"> or </w:t>
      </w:r>
      <w:r>
        <w:rPr>
          <w:rFonts w:ascii="Times New Roman" w:hAnsi="Times New Roman" w:cs="Times New Roman"/>
        </w:rPr>
        <w:t>XY</w:t>
      </w:r>
      <w:r w:rsidRPr="00411C1A">
        <w:rPr>
          <w:rFonts w:ascii="Times New Roman" w:hAnsi="Times New Roman" w:cs="Times New Roman"/>
        </w:rPr>
        <w:t>)</w:t>
      </w:r>
      <w:r>
        <w:rPr>
          <w:rFonts w:ascii="Times New Roman" w:hAnsi="Times New Roman" w:cs="Times New Roman"/>
        </w:rPr>
        <w:t>,</w:t>
      </w:r>
      <w:r w:rsidRPr="00411C1A">
        <w:rPr>
          <w:rFonts w:ascii="Times New Roman" w:hAnsi="Times New Roman" w:cs="Times New Roman"/>
        </w:rPr>
        <w:t xml:space="preserve"> conditionally female or male (</w:t>
      </w:r>
      <w:r>
        <w:rPr>
          <w:rFonts w:ascii="Times New Roman" w:hAnsi="Times New Roman" w:cs="Times New Roman"/>
        </w:rPr>
        <w:t>consistant with XX, but not XY; or consistant with XY, but not XX</w:t>
      </w:r>
      <w:r w:rsidRPr="004273FD">
        <w:rPr>
          <w:rFonts w:ascii="Times New Roman" w:hAnsi="Times New Roman" w:cs="Times New Roman"/>
        </w:rPr>
        <w:t xml:space="preserve">). Several cases are not assigned due to calculated values (Not Assigned) or because DNA could not be reconstructed (Failed for </w:t>
      </w:r>
      <w:proofErr w:type="spellStart"/>
      <w:r w:rsidRPr="004273FD">
        <w:rPr>
          <w:rFonts w:ascii="Times New Roman" w:hAnsi="Times New Roman" w:cs="Times New Roman"/>
        </w:rPr>
        <w:t>reconst</w:t>
      </w:r>
      <w:proofErr w:type="spellEnd"/>
      <w:r w:rsidRPr="004273FD">
        <w:rPr>
          <w:rFonts w:ascii="Times New Roman" w:hAnsi="Times New Roman" w:cs="Times New Roman"/>
        </w:rPr>
        <w:t>.).</w:t>
      </w:r>
      <w:r w:rsidRPr="00411C1A">
        <w:rPr>
          <w:rFonts w:ascii="Times New Roman" w:hAnsi="Times New Roman" w:cs="Times New Roman"/>
        </w:rPr>
        <w:t xml:space="preserve"> Proteomics data include the total </w:t>
      </w:r>
      <w:r>
        <w:rPr>
          <w:rFonts w:ascii="Times New Roman" w:hAnsi="Times New Roman" w:cs="Times New Roman"/>
        </w:rPr>
        <w:t>cumulative ion signal</w:t>
      </w:r>
      <w:r w:rsidRPr="00411C1A">
        <w:rPr>
          <w:rFonts w:ascii="Times New Roman" w:hAnsi="Times New Roman" w:cs="Times New Roman"/>
        </w:rPr>
        <w:t xml:space="preserve"> intensity </w:t>
      </w:r>
      <w:r>
        <w:rPr>
          <w:rFonts w:ascii="Times New Roman" w:hAnsi="Times New Roman" w:cs="Times New Roman"/>
        </w:rPr>
        <w:t xml:space="preserve">for </w:t>
      </w:r>
      <w:r w:rsidRPr="00411C1A">
        <w:rPr>
          <w:rFonts w:ascii="Times New Roman" w:hAnsi="Times New Roman" w:cs="Times New Roman"/>
        </w:rPr>
        <w:t xml:space="preserve">AMELX_HUMAN and AMELY_HUMAN </w:t>
      </w:r>
      <w:r w:rsidRPr="00B80936">
        <w:rPr>
          <w:rFonts w:ascii="Times New Roman" w:hAnsi="Times New Roman" w:cs="Times New Roman"/>
        </w:rPr>
        <w:t>peptides (</w:t>
      </w:r>
      <w:r w:rsidRPr="00B80936">
        <w:rPr>
          <w:rFonts w:ascii="Times New Roman" w:eastAsia="Times New Roman" w:hAnsi="Times New Roman" w:cs="Times New Roman"/>
          <w:color w:val="000000"/>
        </w:rPr>
        <w:t>AMELX (CI) and AMELY (CI)</w:t>
      </w:r>
      <w:r>
        <w:rPr>
          <w:rFonts w:ascii="Times New Roman" w:eastAsia="Times New Roman" w:hAnsi="Times New Roman" w:cs="Times New Roman"/>
          <w:color w:val="000000"/>
        </w:rPr>
        <w:t xml:space="preserve">, </w:t>
      </w:r>
      <w:r w:rsidRPr="00411C1A">
        <w:rPr>
          <w:rFonts w:ascii="Times New Roman" w:hAnsi="Times New Roman" w:cs="Times New Roman"/>
        </w:rPr>
        <w:t xml:space="preserve">as well as the probability of a true female </w:t>
      </w:r>
      <w:r>
        <w:rPr>
          <w:rFonts w:ascii="Times New Roman" w:hAnsi="Times New Roman" w:cs="Times New Roman"/>
        </w:rPr>
        <w:t>assignment</w:t>
      </w:r>
      <w:r w:rsidRPr="00411C1A">
        <w:rPr>
          <w:rFonts w:ascii="Times New Roman" w:hAnsi="Times New Roman" w:cs="Times New Roman"/>
        </w:rPr>
        <w:t xml:space="preserve">. </w:t>
      </w:r>
    </w:p>
    <w:p w14:paraId="235F93D4" w14:textId="55DB8549" w:rsidR="00C176B2" w:rsidRDefault="00C176B2"/>
    <w:p w14:paraId="61952180" w14:textId="31331F7D" w:rsidR="00BC701D" w:rsidRDefault="00BC701D"/>
    <w:p w14:paraId="114BDF25" w14:textId="26BC5507" w:rsidR="00BC701D" w:rsidRDefault="00BC701D"/>
    <w:p w14:paraId="2216A511" w14:textId="59C74781" w:rsidR="00BC701D" w:rsidRDefault="00BC701D"/>
    <w:p w14:paraId="4D0F00E5" w14:textId="53A233A5" w:rsidR="00BC701D" w:rsidRDefault="00BC701D"/>
    <w:p w14:paraId="10A434B5" w14:textId="0686CF96" w:rsidR="00BC701D" w:rsidRDefault="00BC701D"/>
    <w:p w14:paraId="7CD65A12" w14:textId="464A67AA" w:rsidR="00BC701D" w:rsidRDefault="00BC701D"/>
    <w:p w14:paraId="2F77B9CE" w14:textId="1F1FCD88" w:rsidR="00BC701D" w:rsidRDefault="00BC701D"/>
    <w:p w14:paraId="221CAF01" w14:textId="41726F9D" w:rsidR="00BC701D" w:rsidRDefault="00BC701D"/>
    <w:p w14:paraId="5E30A0FE" w14:textId="0A9D0AA4" w:rsidR="00BC701D" w:rsidRDefault="00BC701D"/>
    <w:p w14:paraId="45ADEB4D" w14:textId="68EAB18C" w:rsidR="00BC701D" w:rsidRDefault="00203BAC" w:rsidP="007B7E9A">
      <w:r w:rsidRPr="00203BAC">
        <w:rPr>
          <w:noProof/>
        </w:rPr>
        <w:lastRenderedPageBreak/>
        <w:drawing>
          <wp:inline distT="0" distB="0" distL="0" distR="0" wp14:anchorId="4D192812" wp14:editId="1C65026F">
            <wp:extent cx="5070066" cy="875290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70066" cy="8752907"/>
                    </a:xfrm>
                    <a:prstGeom prst="rect">
                      <a:avLst/>
                    </a:prstGeom>
                    <a:noFill/>
                    <a:ln>
                      <a:noFill/>
                    </a:ln>
                  </pic:spPr>
                </pic:pic>
              </a:graphicData>
            </a:graphic>
          </wp:inline>
        </w:drawing>
      </w:r>
    </w:p>
    <w:p w14:paraId="358D0022" w14:textId="77777777" w:rsidR="007B7E9A" w:rsidRDefault="007B7E9A" w:rsidP="007B7E9A">
      <w:pPr>
        <w:rPr>
          <w:rFonts w:ascii="Times New Roman" w:hAnsi="Times New Roman" w:cs="Times New Roman"/>
        </w:rPr>
      </w:pPr>
      <w:r w:rsidRPr="00411C1A">
        <w:rPr>
          <w:rFonts w:ascii="Times New Roman" w:hAnsi="Times New Roman" w:cs="Times New Roman"/>
        </w:rPr>
        <w:lastRenderedPageBreak/>
        <w:t xml:space="preserve">Table S2. Osteological, genomic, and proteomic sex estimates for 55 human burials from archaeological sites </w:t>
      </w:r>
      <w:r w:rsidRPr="009A1E4E">
        <w:rPr>
          <w:rFonts w:ascii="Times New Roman" w:hAnsi="Times New Roman" w:cs="Times New Roman"/>
          <w:i/>
          <w:iCs/>
        </w:rPr>
        <w:t>Síi Túupentak</w:t>
      </w:r>
      <w:r w:rsidRPr="00411C1A">
        <w:rPr>
          <w:rFonts w:ascii="Times New Roman" w:hAnsi="Times New Roman" w:cs="Times New Roman"/>
        </w:rPr>
        <w:t xml:space="preserve"> </w:t>
      </w:r>
      <w:r>
        <w:rPr>
          <w:rFonts w:ascii="Times New Roman" w:hAnsi="Times New Roman" w:cs="Times New Roman"/>
        </w:rPr>
        <w:t>(</w:t>
      </w:r>
      <w:r w:rsidRPr="00411C1A">
        <w:rPr>
          <w:rFonts w:ascii="Times New Roman" w:hAnsi="Times New Roman" w:cs="Times New Roman"/>
        </w:rPr>
        <w:t>CA-ALA-565</w:t>
      </w:r>
      <w:r>
        <w:rPr>
          <w:rFonts w:ascii="Times New Roman" w:hAnsi="Times New Roman" w:cs="Times New Roman"/>
        </w:rPr>
        <w:t xml:space="preserve">/H) </w:t>
      </w:r>
      <w:r w:rsidRPr="00411C1A">
        <w:rPr>
          <w:rFonts w:ascii="Times New Roman" w:hAnsi="Times New Roman" w:cs="Times New Roman"/>
        </w:rPr>
        <w:t xml:space="preserve">and </w:t>
      </w:r>
      <w:r w:rsidRPr="00E8515B">
        <w:rPr>
          <w:rFonts w:ascii="Times New Roman" w:hAnsi="Times New Roman" w:cs="Times New Roman"/>
          <w:bCs/>
          <w:i/>
          <w:iCs/>
          <w:color w:val="000000"/>
          <w:sz w:val="24"/>
          <w:szCs w:val="24"/>
        </w:rPr>
        <w:t>Rummey Ta Kuččuwiš Tiprectak</w:t>
      </w:r>
      <w:r>
        <w:rPr>
          <w:rFonts w:ascii="Times New Roman" w:hAnsi="Times New Roman" w:cs="Times New Roman"/>
          <w:bCs/>
          <w:i/>
          <w:iCs/>
          <w:color w:val="000000"/>
          <w:sz w:val="24"/>
          <w:szCs w:val="24"/>
        </w:rPr>
        <w:t xml:space="preserve"> (</w:t>
      </w:r>
      <w:r w:rsidRPr="00411C1A">
        <w:rPr>
          <w:rFonts w:ascii="Times New Roman" w:hAnsi="Times New Roman" w:cs="Times New Roman"/>
        </w:rPr>
        <w:t>CA-ALA-704/H</w:t>
      </w:r>
      <w:r>
        <w:rPr>
          <w:rFonts w:ascii="Times New Roman" w:hAnsi="Times New Roman" w:cs="Times New Roman"/>
        </w:rPr>
        <w:t>)</w:t>
      </w:r>
      <w:r>
        <w:rPr>
          <w:rFonts w:ascii="Times New Roman" w:hAnsi="Times New Roman" w:cs="Times New Roman"/>
          <w:bCs/>
          <w:i/>
          <w:iCs/>
          <w:color w:val="000000"/>
          <w:sz w:val="24"/>
          <w:szCs w:val="24"/>
        </w:rPr>
        <w:t>.</w:t>
      </w:r>
      <w:r w:rsidRPr="00411C1A">
        <w:rPr>
          <w:rFonts w:ascii="Times New Roman" w:hAnsi="Times New Roman" w:cs="Times New Roman"/>
        </w:rPr>
        <w:t xml:space="preserve"> </w:t>
      </w:r>
    </w:p>
    <w:p w14:paraId="7D4ADFFB" w14:textId="73A60EF4" w:rsidR="007B7E9A" w:rsidRDefault="007B7E9A" w:rsidP="007B7E9A">
      <w:pPr>
        <w:rPr>
          <w:rFonts w:ascii="Times New Roman" w:hAnsi="Times New Roman" w:cs="Times New Roman"/>
        </w:rPr>
      </w:pPr>
      <w:r w:rsidRPr="00411C1A">
        <w:rPr>
          <w:rFonts w:ascii="Times New Roman" w:hAnsi="Times New Roman" w:cs="Times New Roman"/>
        </w:rPr>
        <w:t xml:space="preserve">Radiocarbon dates are </w:t>
      </w:r>
      <w:r>
        <w:rPr>
          <w:rFonts w:ascii="Times New Roman" w:hAnsi="Times New Roman" w:cs="Times New Roman"/>
        </w:rPr>
        <w:t xml:space="preserve">given as the </w:t>
      </w:r>
      <w:r w:rsidRPr="00411C1A">
        <w:rPr>
          <w:rFonts w:ascii="Times New Roman" w:hAnsi="Times New Roman" w:cs="Times New Roman"/>
        </w:rPr>
        <w:t xml:space="preserve">median </w:t>
      </w:r>
      <w:r>
        <w:rPr>
          <w:rFonts w:ascii="Times New Roman" w:hAnsi="Times New Roman" w:cs="Times New Roman"/>
        </w:rPr>
        <w:t xml:space="preserve">intercept of calibrated </w:t>
      </w:r>
      <w:r w:rsidRPr="00411C1A">
        <w:rPr>
          <w:rFonts w:ascii="Times New Roman" w:hAnsi="Times New Roman" w:cs="Times New Roman"/>
        </w:rPr>
        <w:t>radio</w:t>
      </w:r>
      <w:r>
        <w:rPr>
          <w:rFonts w:ascii="Times New Roman" w:hAnsi="Times New Roman" w:cs="Times New Roman"/>
        </w:rPr>
        <w:t>carbon</w:t>
      </w:r>
      <w:r w:rsidRPr="00411C1A">
        <w:rPr>
          <w:rFonts w:ascii="Times New Roman" w:hAnsi="Times New Roman" w:cs="Times New Roman"/>
        </w:rPr>
        <w:t xml:space="preserve"> years BP. Osteological data include approximate completeness of the skeletal remains (% complete), age categories:</w:t>
      </w:r>
      <w:r w:rsidRPr="00411C1A">
        <w:rPr>
          <w:rFonts w:ascii="Times New Roman" w:eastAsia="Times New Roman" w:hAnsi="Times New Roman" w:cs="Times New Roman"/>
        </w:rPr>
        <w:t xml:space="preserve"> F (</w:t>
      </w:r>
      <w:r>
        <w:rPr>
          <w:rFonts w:ascii="Times New Roman" w:eastAsia="Times New Roman" w:hAnsi="Times New Roman" w:cs="Times New Roman"/>
        </w:rPr>
        <w:t xml:space="preserve">fetus, </w:t>
      </w:r>
      <w:r w:rsidRPr="00411C1A">
        <w:rPr>
          <w:rFonts w:ascii="Times New Roman" w:eastAsia="Times New Roman" w:hAnsi="Times New Roman" w:cs="Times New Roman"/>
        </w:rPr>
        <w:t>&lt; 0 years), I (</w:t>
      </w:r>
      <w:r>
        <w:rPr>
          <w:rFonts w:ascii="Times New Roman" w:eastAsia="Times New Roman" w:hAnsi="Times New Roman" w:cs="Times New Roman"/>
        </w:rPr>
        <w:t xml:space="preserve">infant, </w:t>
      </w:r>
      <w:r w:rsidRPr="00411C1A">
        <w:rPr>
          <w:rFonts w:ascii="Times New Roman" w:eastAsia="Times New Roman" w:hAnsi="Times New Roman" w:cs="Times New Roman"/>
        </w:rPr>
        <w:t>0-3 years), C (</w:t>
      </w:r>
      <w:r>
        <w:rPr>
          <w:rFonts w:ascii="Times New Roman" w:eastAsia="Times New Roman" w:hAnsi="Times New Roman" w:cs="Times New Roman"/>
        </w:rPr>
        <w:t xml:space="preserve">child, </w:t>
      </w:r>
      <w:r w:rsidRPr="00411C1A">
        <w:rPr>
          <w:rFonts w:ascii="Times New Roman" w:eastAsia="Times New Roman" w:hAnsi="Times New Roman" w:cs="Times New Roman"/>
        </w:rPr>
        <w:t>4-10 years), J (</w:t>
      </w:r>
      <w:r>
        <w:rPr>
          <w:rFonts w:ascii="Times New Roman" w:eastAsia="Times New Roman" w:hAnsi="Times New Roman" w:cs="Times New Roman"/>
        </w:rPr>
        <w:t xml:space="preserve">juvenile, </w:t>
      </w:r>
      <w:r w:rsidRPr="00411C1A">
        <w:rPr>
          <w:rFonts w:ascii="Times New Roman" w:eastAsia="Times New Roman" w:hAnsi="Times New Roman" w:cs="Times New Roman"/>
        </w:rPr>
        <w:t>11-17 years), Y</w:t>
      </w:r>
      <w:r>
        <w:rPr>
          <w:rFonts w:ascii="Times New Roman" w:eastAsia="Times New Roman" w:hAnsi="Times New Roman" w:cs="Times New Roman"/>
        </w:rPr>
        <w:t>A</w:t>
      </w:r>
      <w:r w:rsidRPr="00411C1A">
        <w:rPr>
          <w:rFonts w:ascii="Times New Roman" w:eastAsia="Times New Roman" w:hAnsi="Times New Roman" w:cs="Times New Roman"/>
        </w:rPr>
        <w:t xml:space="preserve"> (</w:t>
      </w:r>
      <w:r>
        <w:rPr>
          <w:rFonts w:ascii="Times New Roman" w:eastAsia="Times New Roman" w:hAnsi="Times New Roman" w:cs="Times New Roman"/>
        </w:rPr>
        <w:t xml:space="preserve">young adult, </w:t>
      </w:r>
      <w:r w:rsidRPr="00411C1A">
        <w:rPr>
          <w:rFonts w:ascii="Times New Roman" w:eastAsia="Times New Roman" w:hAnsi="Times New Roman" w:cs="Times New Roman"/>
        </w:rPr>
        <w:t>18-34 years), M</w:t>
      </w:r>
      <w:r>
        <w:rPr>
          <w:rFonts w:ascii="Times New Roman" w:eastAsia="Times New Roman" w:hAnsi="Times New Roman" w:cs="Times New Roman"/>
        </w:rPr>
        <w:t>A</w:t>
      </w:r>
      <w:r w:rsidRPr="00411C1A">
        <w:rPr>
          <w:rFonts w:ascii="Times New Roman" w:eastAsia="Times New Roman" w:hAnsi="Times New Roman" w:cs="Times New Roman"/>
        </w:rPr>
        <w:t xml:space="preserve"> (</w:t>
      </w:r>
      <w:r>
        <w:rPr>
          <w:rFonts w:ascii="Times New Roman" w:eastAsia="Times New Roman" w:hAnsi="Times New Roman" w:cs="Times New Roman"/>
        </w:rPr>
        <w:t xml:space="preserve">middle adult, </w:t>
      </w:r>
      <w:r w:rsidRPr="00411C1A">
        <w:rPr>
          <w:rFonts w:ascii="Times New Roman" w:eastAsia="Times New Roman" w:hAnsi="Times New Roman" w:cs="Times New Roman"/>
        </w:rPr>
        <w:t>35-49 years), O</w:t>
      </w:r>
      <w:r>
        <w:rPr>
          <w:rFonts w:ascii="Times New Roman" w:eastAsia="Times New Roman" w:hAnsi="Times New Roman" w:cs="Times New Roman"/>
        </w:rPr>
        <w:t>A</w:t>
      </w:r>
      <w:r w:rsidRPr="00411C1A">
        <w:rPr>
          <w:rFonts w:ascii="Times New Roman" w:eastAsia="Times New Roman" w:hAnsi="Times New Roman" w:cs="Times New Roman"/>
        </w:rPr>
        <w:t xml:space="preserve"> (</w:t>
      </w:r>
      <w:r>
        <w:rPr>
          <w:rFonts w:ascii="Times New Roman" w:eastAsia="Times New Roman" w:hAnsi="Times New Roman" w:cs="Times New Roman"/>
        </w:rPr>
        <w:t xml:space="preserve">older adult, </w:t>
      </w:r>
      <w:r w:rsidRPr="00411C1A">
        <w:rPr>
          <w:rFonts w:ascii="Times New Roman" w:eastAsia="Times New Roman" w:hAnsi="Times New Roman" w:cs="Times New Roman"/>
        </w:rPr>
        <w:t>&gt; 50 years), A (</w:t>
      </w:r>
      <w:r>
        <w:rPr>
          <w:rFonts w:ascii="Times New Roman" w:eastAsia="Times New Roman" w:hAnsi="Times New Roman" w:cs="Times New Roman"/>
        </w:rPr>
        <w:t xml:space="preserve">adult, </w:t>
      </w:r>
      <w:r w:rsidRPr="00411C1A">
        <w:rPr>
          <w:rFonts w:ascii="Times New Roman" w:eastAsia="Times New Roman" w:hAnsi="Times New Roman" w:cs="Times New Roman"/>
        </w:rPr>
        <w:t>age uncertain)</w:t>
      </w:r>
      <w:r w:rsidRPr="00411C1A">
        <w:rPr>
          <w:rFonts w:ascii="Times New Roman" w:hAnsi="Times New Roman" w:cs="Times New Roman"/>
        </w:rPr>
        <w:t xml:space="preserve">, and sex estimates. </w:t>
      </w:r>
      <w:r>
        <w:rPr>
          <w:rFonts w:ascii="Times New Roman" w:hAnsi="Times New Roman" w:cs="Times New Roman"/>
        </w:rPr>
        <w:t>Conditional s</w:t>
      </w:r>
      <w:r w:rsidRPr="00411C1A">
        <w:rPr>
          <w:rFonts w:ascii="Times New Roman" w:hAnsi="Times New Roman" w:cs="Times New Roman"/>
        </w:rPr>
        <w:t>ex estimates</w:t>
      </w:r>
      <w:r>
        <w:rPr>
          <w:rFonts w:ascii="Times New Roman" w:hAnsi="Times New Roman" w:cs="Times New Roman"/>
        </w:rPr>
        <w:t xml:space="preserve"> are</w:t>
      </w:r>
      <w:r w:rsidRPr="00411C1A">
        <w:rPr>
          <w:rFonts w:ascii="Times New Roman" w:hAnsi="Times New Roman" w:cs="Times New Roman"/>
        </w:rPr>
        <w:t xml:space="preserve"> designated as </w:t>
      </w:r>
      <w:r>
        <w:rPr>
          <w:rFonts w:ascii="Times New Roman" w:hAnsi="Times New Roman" w:cs="Times New Roman"/>
        </w:rPr>
        <w:t xml:space="preserve">probable (Prob.) or possible (Poss.) with the former having greater certainty. </w:t>
      </w:r>
      <w:r w:rsidR="00FC6085" w:rsidRPr="00490F55">
        <w:rPr>
          <w:rFonts w:ascii="Times New Roman" w:hAnsi="Times New Roman" w:cs="Times New Roman"/>
        </w:rPr>
        <w:t>Cases where osteological sex estimates could not be made are indeterminate (</w:t>
      </w:r>
      <w:proofErr w:type="spellStart"/>
      <w:r w:rsidR="00FC6085" w:rsidRPr="00490F55">
        <w:rPr>
          <w:rFonts w:ascii="Times New Roman" w:hAnsi="Times New Roman" w:cs="Times New Roman"/>
        </w:rPr>
        <w:t>Indet</w:t>
      </w:r>
      <w:proofErr w:type="spellEnd"/>
      <w:r w:rsidR="00FC6085" w:rsidRPr="00490F55">
        <w:rPr>
          <w:rFonts w:ascii="Times New Roman" w:hAnsi="Times New Roman" w:cs="Times New Roman"/>
        </w:rPr>
        <w:t>).</w:t>
      </w:r>
      <w:r w:rsidRPr="00490F55">
        <w:rPr>
          <w:rFonts w:ascii="Times New Roman" w:hAnsi="Times New Roman" w:cs="Times New Roman"/>
        </w:rPr>
        <w:t xml:space="preserve"> Genomic data include numbers of matched human DNA sequences (Total Reads), along with Ry and Rx values with 95% confidence intervals (RY ± range and RX ± range). Sex estimates are designated as definitively female or male (F or M), as conditionally female or male (F*or M*), or </w:t>
      </w:r>
      <w:r w:rsidR="00847D69" w:rsidRPr="00490F55">
        <w:rPr>
          <w:rFonts w:ascii="Times New Roman" w:hAnsi="Times New Roman" w:cs="Times New Roman"/>
        </w:rPr>
        <w:t xml:space="preserve">indeterminate </w:t>
      </w:r>
      <w:r w:rsidRPr="00490F55">
        <w:rPr>
          <w:rFonts w:ascii="Times New Roman" w:hAnsi="Times New Roman" w:cs="Times New Roman"/>
        </w:rPr>
        <w:t>(</w:t>
      </w:r>
      <w:proofErr w:type="spellStart"/>
      <w:r w:rsidR="00847D69" w:rsidRPr="00490F55">
        <w:rPr>
          <w:rFonts w:ascii="Times New Roman" w:hAnsi="Times New Roman" w:cs="Times New Roman"/>
        </w:rPr>
        <w:t>Indet</w:t>
      </w:r>
      <w:proofErr w:type="spellEnd"/>
      <w:r w:rsidRPr="00490F55">
        <w:rPr>
          <w:rFonts w:ascii="Times New Roman" w:hAnsi="Times New Roman" w:cs="Times New Roman"/>
        </w:rPr>
        <w:t>). Proteomics data include the total cumulative ion signal intensity for AMELX_HUMAN and AMELY_HUMAN peptides (</w:t>
      </w:r>
      <w:r w:rsidRPr="00490F55">
        <w:rPr>
          <w:rFonts w:ascii="Times New Roman" w:eastAsia="Times New Roman" w:hAnsi="Times New Roman" w:cs="Times New Roman"/>
          <w:color w:val="000000"/>
        </w:rPr>
        <w:t xml:space="preserve">AMELX (CI) and AMELY (CI)), </w:t>
      </w:r>
      <w:r w:rsidRPr="00490F55">
        <w:rPr>
          <w:rFonts w:ascii="Times New Roman" w:hAnsi="Times New Roman" w:cs="Times New Roman"/>
        </w:rPr>
        <w:t>as well as the probability of a true female assignment.</w:t>
      </w:r>
      <w:r w:rsidRPr="00411C1A">
        <w:rPr>
          <w:rFonts w:ascii="Times New Roman" w:hAnsi="Times New Roman" w:cs="Times New Roman"/>
        </w:rPr>
        <w:t xml:space="preserve"> </w:t>
      </w:r>
    </w:p>
    <w:p w14:paraId="1D214A68" w14:textId="77777777" w:rsidR="008D67E3" w:rsidRDefault="008D67E3" w:rsidP="007B7E9A">
      <w:pPr>
        <w:rPr>
          <w:rFonts w:ascii="Times New Roman" w:hAnsi="Times New Roman" w:cs="Times New Roman"/>
        </w:rPr>
      </w:pPr>
    </w:p>
    <w:p w14:paraId="6AE6AB7D" w14:textId="0F91E969" w:rsidR="008D67E3" w:rsidRDefault="008D67E3" w:rsidP="007B7E9A">
      <w:pPr>
        <w:rPr>
          <w:rFonts w:ascii="Times New Roman" w:hAnsi="Times New Roman" w:cs="Times New Roman"/>
        </w:rPr>
      </w:pPr>
      <w:r w:rsidRPr="008D67E3">
        <w:rPr>
          <w:noProof/>
        </w:rPr>
        <w:drawing>
          <wp:inline distT="0" distB="0" distL="0" distR="0" wp14:anchorId="5BA062C0" wp14:editId="066C19BF">
            <wp:extent cx="5943600" cy="48812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881245"/>
                    </a:xfrm>
                    <a:prstGeom prst="rect">
                      <a:avLst/>
                    </a:prstGeom>
                    <a:noFill/>
                    <a:ln>
                      <a:noFill/>
                    </a:ln>
                  </pic:spPr>
                </pic:pic>
              </a:graphicData>
            </a:graphic>
          </wp:inline>
        </w:drawing>
      </w:r>
    </w:p>
    <w:p w14:paraId="7B331181" w14:textId="77777777" w:rsidR="008D67E3" w:rsidRPr="00411C1A" w:rsidRDefault="008D67E3" w:rsidP="007B7E9A">
      <w:pPr>
        <w:rPr>
          <w:rFonts w:ascii="Times New Roman" w:hAnsi="Times New Roman" w:cs="Times New Roman"/>
        </w:rPr>
      </w:pPr>
    </w:p>
    <w:p w14:paraId="76467D07" w14:textId="2C1C5889" w:rsidR="008D67E3" w:rsidRDefault="00272E94" w:rsidP="007B7E9A">
      <w:r w:rsidRPr="00272E94">
        <w:rPr>
          <w:noProof/>
        </w:rPr>
        <w:lastRenderedPageBreak/>
        <w:drawing>
          <wp:inline distT="0" distB="0" distL="0" distR="0" wp14:anchorId="51DD73A8" wp14:editId="72995223">
            <wp:extent cx="5943600" cy="35560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556000"/>
                    </a:xfrm>
                    <a:prstGeom prst="rect">
                      <a:avLst/>
                    </a:prstGeom>
                    <a:noFill/>
                    <a:ln>
                      <a:noFill/>
                    </a:ln>
                  </pic:spPr>
                </pic:pic>
              </a:graphicData>
            </a:graphic>
          </wp:inline>
        </w:drawing>
      </w:r>
    </w:p>
    <w:p w14:paraId="6DE365F6" w14:textId="113AC5BD" w:rsidR="004C12E1" w:rsidRDefault="004C12E1" w:rsidP="007B7E9A"/>
    <w:p w14:paraId="16C0A85F" w14:textId="78080DA3" w:rsidR="004C12E1" w:rsidRDefault="004C12E1" w:rsidP="007B7E9A"/>
    <w:p w14:paraId="68003134" w14:textId="6A6C95FE" w:rsidR="004C12E1" w:rsidRDefault="004C12E1" w:rsidP="007B7E9A"/>
    <w:p w14:paraId="62C32603" w14:textId="73961AC7" w:rsidR="004C12E1" w:rsidRDefault="004C12E1" w:rsidP="007B7E9A"/>
    <w:p w14:paraId="608E2E64" w14:textId="499693F6" w:rsidR="004C12E1" w:rsidRDefault="004C12E1" w:rsidP="007B7E9A"/>
    <w:p w14:paraId="30B711D8" w14:textId="7A345E43" w:rsidR="004C12E1" w:rsidRDefault="004C12E1" w:rsidP="007B7E9A"/>
    <w:p w14:paraId="46112587" w14:textId="1AD9892E" w:rsidR="004C12E1" w:rsidRDefault="004C12E1" w:rsidP="007B7E9A"/>
    <w:p w14:paraId="26707B16" w14:textId="442EB882" w:rsidR="004C12E1" w:rsidRDefault="004C12E1" w:rsidP="007B7E9A"/>
    <w:p w14:paraId="4F6931EF" w14:textId="11AD8E72" w:rsidR="004C12E1" w:rsidRDefault="004C12E1" w:rsidP="007B7E9A"/>
    <w:p w14:paraId="4A3E5F1D" w14:textId="55D3C21C" w:rsidR="004C12E1" w:rsidRDefault="004C12E1" w:rsidP="007B7E9A"/>
    <w:p w14:paraId="37CA9F90" w14:textId="735826A9" w:rsidR="004C12E1" w:rsidRDefault="004C12E1" w:rsidP="007B7E9A"/>
    <w:p w14:paraId="17D008F3" w14:textId="22F406F4" w:rsidR="004C12E1" w:rsidRDefault="004C12E1" w:rsidP="007B7E9A"/>
    <w:p w14:paraId="06BB8CB8" w14:textId="64122CA8" w:rsidR="004C12E1" w:rsidRDefault="004C12E1" w:rsidP="007B7E9A"/>
    <w:p w14:paraId="2848239E" w14:textId="728B1E2A" w:rsidR="004C12E1" w:rsidRDefault="004C12E1" w:rsidP="007B7E9A"/>
    <w:p w14:paraId="5E11332F" w14:textId="54E56AB7" w:rsidR="004C12E1" w:rsidRDefault="004C12E1" w:rsidP="007B7E9A"/>
    <w:p w14:paraId="003BC3C1" w14:textId="7F0A5F69" w:rsidR="004C12E1" w:rsidRDefault="00272E94" w:rsidP="007B7E9A">
      <w:r w:rsidRPr="004C12E1">
        <w:rPr>
          <w:noProof/>
        </w:rPr>
        <w:lastRenderedPageBreak/>
        <w:drawing>
          <wp:inline distT="0" distB="0" distL="0" distR="0" wp14:anchorId="4BFB2B7E" wp14:editId="7DC04D6C">
            <wp:extent cx="5615940" cy="560070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5940" cy="5600700"/>
                    </a:xfrm>
                    <a:prstGeom prst="rect">
                      <a:avLst/>
                    </a:prstGeom>
                    <a:noFill/>
                    <a:ln>
                      <a:noFill/>
                    </a:ln>
                  </pic:spPr>
                </pic:pic>
              </a:graphicData>
            </a:graphic>
          </wp:inline>
        </w:drawing>
      </w:r>
    </w:p>
    <w:p w14:paraId="701023ED" w14:textId="7AEF71B4" w:rsidR="004C12E1" w:rsidRDefault="004C12E1" w:rsidP="007B7E9A"/>
    <w:p w14:paraId="0AF3601D" w14:textId="170E2A4A" w:rsidR="004C12E1" w:rsidRDefault="004C12E1" w:rsidP="007B7E9A"/>
    <w:p w14:paraId="15791A73" w14:textId="61F85EC7" w:rsidR="00C537A7" w:rsidRDefault="00C537A7" w:rsidP="007B7E9A"/>
    <w:p w14:paraId="1058F08E" w14:textId="3F113F84" w:rsidR="00C537A7" w:rsidRDefault="00C537A7" w:rsidP="007B7E9A"/>
    <w:p w14:paraId="13BE932E" w14:textId="11211897" w:rsidR="00C537A7" w:rsidRDefault="00C537A7" w:rsidP="007B7E9A"/>
    <w:p w14:paraId="3DB91A45" w14:textId="01319280" w:rsidR="00C537A7" w:rsidRDefault="00C537A7" w:rsidP="007B7E9A"/>
    <w:p w14:paraId="65CDEC46" w14:textId="27EE26FA" w:rsidR="00C537A7" w:rsidRDefault="00C537A7" w:rsidP="007B7E9A"/>
    <w:p w14:paraId="765A1930" w14:textId="79853481" w:rsidR="00C537A7" w:rsidRDefault="00C537A7" w:rsidP="007B7E9A"/>
    <w:p w14:paraId="063C32A0" w14:textId="4E6EDE0B" w:rsidR="00C537A7" w:rsidRDefault="00C537A7" w:rsidP="007B7E9A"/>
    <w:p w14:paraId="34EF11F5" w14:textId="5DB9589D" w:rsidR="00C537A7" w:rsidRDefault="00C537A7" w:rsidP="007B7E9A">
      <w:pPr>
        <w:rPr>
          <w:b/>
          <w:bCs/>
        </w:rPr>
      </w:pPr>
      <w:r w:rsidRPr="00F46A47">
        <w:rPr>
          <w:b/>
          <w:bCs/>
          <w:sz w:val="24"/>
          <w:szCs w:val="24"/>
        </w:rPr>
        <w:lastRenderedPageBreak/>
        <w:t>Table S6.</w:t>
      </w:r>
      <w:r w:rsidRPr="00C537A7">
        <w:rPr>
          <w:b/>
          <w:bCs/>
        </w:rPr>
        <w:t xml:space="preserve"> </w:t>
      </w:r>
      <w:r w:rsidRPr="00F46A47">
        <w:rPr>
          <w:b/>
          <w:bCs/>
          <w:sz w:val="24"/>
          <w:szCs w:val="24"/>
        </w:rPr>
        <w:t>Scoring of 20 unique traits for osteological estimation of sex</w:t>
      </w:r>
      <w:r>
        <w:rPr>
          <w:b/>
          <w:bCs/>
          <w:sz w:val="7"/>
          <w:szCs w:val="7"/>
        </w:rPr>
        <w:t>.</w:t>
      </w:r>
    </w:p>
    <w:p w14:paraId="14BBE58F" w14:textId="77777777" w:rsidR="00C537A7" w:rsidRDefault="00C537A7" w:rsidP="007B7E9A">
      <w:pPr>
        <w:rPr>
          <w:b/>
          <w:bCs/>
        </w:rPr>
      </w:pPr>
    </w:p>
    <w:p w14:paraId="51F6CA63" w14:textId="07625DF8" w:rsidR="004C12E1" w:rsidRDefault="00B639AD" w:rsidP="007B7E9A">
      <w:r w:rsidRPr="00B639AD">
        <w:rPr>
          <w:noProof/>
        </w:rPr>
        <w:drawing>
          <wp:inline distT="0" distB="0" distL="0" distR="0" wp14:anchorId="1F2CE3C2" wp14:editId="5C4BDD2C">
            <wp:extent cx="4804780" cy="68503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5727" cy="6851730"/>
                    </a:xfrm>
                    <a:prstGeom prst="rect">
                      <a:avLst/>
                    </a:prstGeom>
                    <a:noFill/>
                    <a:ln>
                      <a:noFill/>
                    </a:ln>
                  </pic:spPr>
                </pic:pic>
              </a:graphicData>
            </a:graphic>
          </wp:inline>
        </w:drawing>
      </w:r>
    </w:p>
    <w:p w14:paraId="63BB9D5A" w14:textId="2F90709F" w:rsidR="00C537A7" w:rsidRDefault="00C537A7" w:rsidP="007B7E9A"/>
    <w:p w14:paraId="707BCE89" w14:textId="77777777" w:rsidR="00272E94" w:rsidRDefault="00272E94" w:rsidP="00B639AD">
      <w:pPr>
        <w:contextualSpacing/>
        <w:rPr>
          <w:rFonts w:ascii="Times New Roman" w:hAnsi="Times New Roman" w:cs="Times New Roman"/>
          <w:b/>
          <w:sz w:val="24"/>
          <w:szCs w:val="24"/>
        </w:rPr>
      </w:pPr>
    </w:p>
    <w:p w14:paraId="56EC36DC" w14:textId="77777777" w:rsidR="00272E94" w:rsidRDefault="00272E94" w:rsidP="00B639AD">
      <w:pPr>
        <w:contextualSpacing/>
        <w:rPr>
          <w:rFonts w:ascii="Times New Roman" w:hAnsi="Times New Roman" w:cs="Times New Roman"/>
          <w:b/>
          <w:sz w:val="24"/>
          <w:szCs w:val="24"/>
        </w:rPr>
      </w:pPr>
    </w:p>
    <w:p w14:paraId="678E3206" w14:textId="58AF44B8" w:rsidR="00B639AD" w:rsidRDefault="00B639AD" w:rsidP="00B639AD">
      <w:pPr>
        <w:contextualSpacing/>
        <w:rPr>
          <w:rFonts w:ascii="Times New Roman" w:hAnsi="Times New Roman" w:cs="Times New Roman"/>
          <w:b/>
          <w:sz w:val="24"/>
          <w:szCs w:val="24"/>
        </w:rPr>
      </w:pPr>
      <w:r>
        <w:rPr>
          <w:rFonts w:ascii="Times New Roman" w:hAnsi="Times New Roman" w:cs="Times New Roman"/>
          <w:b/>
          <w:sz w:val="24"/>
          <w:szCs w:val="24"/>
        </w:rPr>
        <w:lastRenderedPageBreak/>
        <w:t>Proteomic Laboratory Methods</w:t>
      </w:r>
    </w:p>
    <w:p w14:paraId="552202E5" w14:textId="77777777" w:rsidR="00B639AD" w:rsidRDefault="00B639AD" w:rsidP="00B639AD">
      <w:pPr>
        <w:contextualSpacing/>
        <w:rPr>
          <w:rFonts w:ascii="Times New Roman" w:hAnsi="Times New Roman" w:cs="Times New Roman"/>
          <w:b/>
          <w:sz w:val="24"/>
          <w:szCs w:val="24"/>
        </w:rPr>
      </w:pPr>
    </w:p>
    <w:p w14:paraId="14D5E88E" w14:textId="77777777" w:rsidR="00B639AD" w:rsidRPr="008F4DA9" w:rsidRDefault="00B639AD" w:rsidP="00B639AD">
      <w:pPr>
        <w:spacing w:after="0"/>
        <w:ind w:firstLine="720"/>
        <w:rPr>
          <w:rFonts w:ascii="Times New Roman" w:hAnsi="Times New Roman" w:cs="Times New Roman"/>
          <w:sz w:val="24"/>
          <w:szCs w:val="24"/>
        </w:rPr>
      </w:pPr>
      <w:r w:rsidRPr="008F4DA9">
        <w:rPr>
          <w:rFonts w:ascii="Times New Roman" w:hAnsi="Times New Roman" w:cs="Times New Roman"/>
          <w:sz w:val="24"/>
          <w:szCs w:val="24"/>
        </w:rPr>
        <w:t xml:space="preserve">A small amount of enamel, ~20 mg, was removed from teeth by cutting with a clean </w:t>
      </w:r>
      <w:r>
        <w:rPr>
          <w:rFonts w:ascii="Times New Roman" w:hAnsi="Times New Roman" w:cs="Times New Roman"/>
          <w:sz w:val="24"/>
          <w:szCs w:val="24"/>
        </w:rPr>
        <w:t xml:space="preserve">double sided, </w:t>
      </w:r>
      <w:r w:rsidRPr="008F4DA9">
        <w:rPr>
          <w:rFonts w:ascii="Times New Roman" w:hAnsi="Times New Roman" w:cs="Times New Roman"/>
          <w:sz w:val="24"/>
          <w:szCs w:val="24"/>
        </w:rPr>
        <w:t xml:space="preserve">diamond-coated steel </w:t>
      </w:r>
      <w:r>
        <w:rPr>
          <w:rFonts w:ascii="Times New Roman" w:hAnsi="Times New Roman" w:cs="Times New Roman"/>
          <w:sz w:val="24"/>
          <w:szCs w:val="24"/>
        </w:rPr>
        <w:t xml:space="preserve">disc </w:t>
      </w:r>
      <w:r w:rsidRPr="00E67AF0">
        <w:rPr>
          <w:rFonts w:ascii="Times New Roman" w:hAnsi="Times New Roman" w:cs="Times New Roman"/>
          <w:sz w:val="24"/>
          <w:szCs w:val="24"/>
        </w:rPr>
        <w:t>(</w:t>
      </w:r>
      <w:proofErr w:type="spellStart"/>
      <w:r w:rsidRPr="00E67AF0">
        <w:rPr>
          <w:rFonts w:ascii="Times New Roman" w:hAnsi="Times New Roman" w:cs="Times New Roman"/>
          <w:sz w:val="24"/>
          <w:szCs w:val="24"/>
        </w:rPr>
        <w:t>Brasseler</w:t>
      </w:r>
      <w:proofErr w:type="spellEnd"/>
      <w:r w:rsidRPr="00E67AF0">
        <w:rPr>
          <w:rFonts w:ascii="Times New Roman" w:hAnsi="Times New Roman" w:cs="Times New Roman"/>
          <w:sz w:val="24"/>
          <w:szCs w:val="24"/>
        </w:rPr>
        <w:t xml:space="preserve"> Inc., Savannah, GA,</w:t>
      </w:r>
      <w:r>
        <w:rPr>
          <w:rFonts w:ascii="Times New Roman" w:hAnsi="Times New Roman" w:cs="Times New Roman"/>
          <w:sz w:val="24"/>
          <w:szCs w:val="24"/>
        </w:rPr>
        <w:t xml:space="preserve"> HP medium)</w:t>
      </w:r>
      <w:r w:rsidRPr="008F4DA9">
        <w:rPr>
          <w:rFonts w:ascii="Times New Roman" w:hAnsi="Times New Roman" w:cs="Times New Roman"/>
          <w:sz w:val="24"/>
          <w:szCs w:val="24"/>
        </w:rPr>
        <w:t>, or by grinding with a</w:t>
      </w:r>
      <w:r>
        <w:rPr>
          <w:rFonts w:ascii="Times New Roman" w:hAnsi="Times New Roman" w:cs="Times New Roman"/>
          <w:sz w:val="24"/>
          <w:szCs w:val="24"/>
        </w:rPr>
        <w:t>n</w:t>
      </w:r>
      <w:r w:rsidRPr="008F4DA9">
        <w:rPr>
          <w:rFonts w:ascii="Times New Roman" w:hAnsi="Times New Roman" w:cs="Times New Roman"/>
          <w:sz w:val="24"/>
          <w:szCs w:val="24"/>
        </w:rPr>
        <w:t xml:space="preserve"> </w:t>
      </w:r>
      <w:r>
        <w:rPr>
          <w:rFonts w:ascii="Times New Roman" w:hAnsi="Times New Roman" w:cs="Times New Roman"/>
          <w:sz w:val="24"/>
          <w:szCs w:val="24"/>
        </w:rPr>
        <w:t xml:space="preserve">unused </w:t>
      </w:r>
      <w:r w:rsidRPr="008F4DA9">
        <w:rPr>
          <w:rFonts w:ascii="Times New Roman" w:hAnsi="Times New Roman" w:cs="Times New Roman"/>
          <w:sz w:val="24"/>
          <w:szCs w:val="24"/>
        </w:rPr>
        <w:t>carbide steel burr</w:t>
      </w:r>
      <w:r>
        <w:rPr>
          <w:rFonts w:ascii="Times New Roman" w:hAnsi="Times New Roman" w:cs="Times New Roman"/>
          <w:sz w:val="24"/>
          <w:szCs w:val="24"/>
        </w:rPr>
        <w:t xml:space="preserve"> (</w:t>
      </w:r>
      <w:proofErr w:type="spellStart"/>
      <w:r>
        <w:rPr>
          <w:rFonts w:ascii="Times New Roman" w:hAnsi="Times New Roman" w:cs="Times New Roman"/>
          <w:sz w:val="24"/>
          <w:szCs w:val="24"/>
        </w:rPr>
        <w:t>Brasseler</w:t>
      </w:r>
      <w:proofErr w:type="spellEnd"/>
      <w:r>
        <w:rPr>
          <w:rFonts w:ascii="Times New Roman" w:hAnsi="Times New Roman" w:cs="Times New Roman"/>
          <w:sz w:val="24"/>
          <w:szCs w:val="24"/>
        </w:rPr>
        <w:t xml:space="preserve"> Inc, Savannah, GA, US# 7 SH round).</w:t>
      </w:r>
      <w:r w:rsidRPr="008F4DA9">
        <w:rPr>
          <w:rFonts w:ascii="Times New Roman" w:hAnsi="Times New Roman" w:cs="Times New Roman"/>
          <w:sz w:val="24"/>
          <w:szCs w:val="24"/>
        </w:rPr>
        <w:t xml:space="preserve"> Blades were cleaned with ultrasonication and triple rinsed with 95% ethanol between samples. Powdered or cut enamel samples (~ 20 mg) were demineralized by adding 200μL of 1.2M hydrochloric acid to 2 mL sample vial with seven 2.8 mM ceramic beads (Omni-International Inc.). Samples were milled for 3 minutes at 7000 rpm in a </w:t>
      </w:r>
      <w:proofErr w:type="spellStart"/>
      <w:r w:rsidRPr="008F4DA9">
        <w:rPr>
          <w:rFonts w:ascii="Times New Roman" w:hAnsi="Times New Roman" w:cs="Times New Roman"/>
          <w:sz w:val="24"/>
          <w:szCs w:val="24"/>
        </w:rPr>
        <w:t>MagnaLyzer</w:t>
      </w:r>
      <w:proofErr w:type="spellEnd"/>
      <w:r w:rsidRPr="008F4DA9">
        <w:rPr>
          <w:rFonts w:ascii="Times New Roman" w:hAnsi="Times New Roman" w:cs="Times New Roman"/>
          <w:sz w:val="24"/>
          <w:szCs w:val="24"/>
        </w:rPr>
        <w:t xml:space="preserve"> (Roche Inc.), then centrifuged for 5 minutes at 16000 g. To reduce soluble proteins, 6μL of 0.5M dithioerythritol (DTE) was added to each sample vial and incubated at 56°C for 60 minutes. After incubation, 2M ammonium bicarbonate was added to each sample vial until the pH of the supernatant was 7.5-8.0. Alkylation was performed by adding 12μL of 0.5M iodoacetamide to the sample vials and incubated in the dark at 25°C for 60 minutes. The </w:t>
      </w:r>
      <w:proofErr w:type="spellStart"/>
      <w:r w:rsidRPr="008F4DA9">
        <w:rPr>
          <w:rFonts w:ascii="Times New Roman" w:hAnsi="Times New Roman" w:cs="Times New Roman"/>
          <w:sz w:val="24"/>
          <w:szCs w:val="24"/>
        </w:rPr>
        <w:t>carbamidomethylation</w:t>
      </w:r>
      <w:proofErr w:type="spellEnd"/>
      <w:r w:rsidRPr="008F4DA9">
        <w:rPr>
          <w:rFonts w:ascii="Times New Roman" w:hAnsi="Times New Roman" w:cs="Times New Roman"/>
          <w:sz w:val="24"/>
          <w:szCs w:val="24"/>
        </w:rPr>
        <w:t xml:space="preserve"> reaction was quenched by adding 12μL of 0.5M DTE to the sample vials and incubated at room temperature for 5 minutes. After incubation, 0.01% Protease Max (Promega Inc.) was added to the sample vials along with 0.5μg mass spectrometry grade trypsin (Thermo Pierce Inc.). Each sample was incubated at room temperature for 20 hours at 300 rpm. After incubation, sample vials were centrifuged for 5 minutes and 200μL of the supernatant transferred to 0.22μm centrifugal filters and centrifuged for 30 minutes. The filtrate was then transferred to clean Eppendorf Protein </w:t>
      </w:r>
      <w:proofErr w:type="spellStart"/>
      <w:r w:rsidRPr="008F4DA9">
        <w:rPr>
          <w:rFonts w:ascii="Times New Roman" w:hAnsi="Times New Roman" w:cs="Times New Roman"/>
          <w:sz w:val="24"/>
          <w:szCs w:val="24"/>
        </w:rPr>
        <w:t>LoBind</w:t>
      </w:r>
      <w:proofErr w:type="spellEnd"/>
      <w:r w:rsidRPr="008F4DA9">
        <w:rPr>
          <w:rFonts w:ascii="Times New Roman" w:hAnsi="Times New Roman" w:cs="Times New Roman"/>
          <w:sz w:val="24"/>
          <w:szCs w:val="24"/>
        </w:rPr>
        <w:t xml:space="preserve"> tubes for </w:t>
      </w:r>
      <w:proofErr w:type="spellStart"/>
      <w:r w:rsidRPr="008F4DA9">
        <w:rPr>
          <w:rFonts w:ascii="Times New Roman" w:hAnsi="Times New Roman" w:cs="Times New Roman"/>
          <w:sz w:val="24"/>
          <w:szCs w:val="24"/>
        </w:rPr>
        <w:t>ZipTip</w:t>
      </w:r>
      <w:proofErr w:type="spellEnd"/>
      <w:r w:rsidRPr="008F4DA9">
        <w:rPr>
          <w:rFonts w:ascii="Times New Roman" w:hAnsi="Times New Roman" w:cs="Times New Roman"/>
          <w:sz w:val="24"/>
          <w:szCs w:val="24"/>
        </w:rPr>
        <w:t xml:space="preserve"> (Millipore Inc.) sample clean up to prepare for mass spectrometric analysis. Organic contaminants in aqueous stocks and solutions were removed by prior passage over solid phase extraction (</w:t>
      </w:r>
      <w:proofErr w:type="spellStart"/>
      <w:r w:rsidRPr="008F4DA9">
        <w:rPr>
          <w:rFonts w:ascii="Times New Roman" w:hAnsi="Times New Roman" w:cs="Times New Roman"/>
          <w:sz w:val="24"/>
          <w:szCs w:val="24"/>
        </w:rPr>
        <w:t>SepPak</w:t>
      </w:r>
      <w:proofErr w:type="spellEnd"/>
      <w:r w:rsidRPr="008F4DA9">
        <w:rPr>
          <w:rFonts w:ascii="Times New Roman" w:hAnsi="Times New Roman" w:cs="Times New Roman"/>
          <w:sz w:val="24"/>
          <w:szCs w:val="24"/>
        </w:rPr>
        <w:t xml:space="preserve">, C18, Waters Inc.). Blank samples were prepared alongside each batch of samples. </w:t>
      </w:r>
    </w:p>
    <w:p w14:paraId="6D474F7F" w14:textId="77777777" w:rsidR="00B639AD" w:rsidRPr="008F4DA9" w:rsidRDefault="00B639AD" w:rsidP="00B639AD">
      <w:pPr>
        <w:spacing w:after="0"/>
        <w:rPr>
          <w:rFonts w:ascii="Times New Roman" w:hAnsi="Times New Roman" w:cs="Times New Roman"/>
          <w:sz w:val="24"/>
          <w:szCs w:val="24"/>
        </w:rPr>
      </w:pPr>
      <w:r w:rsidRPr="008F4DA9">
        <w:rPr>
          <w:rFonts w:ascii="Times New Roman" w:hAnsi="Times New Roman" w:cs="Times New Roman"/>
          <w:sz w:val="24"/>
          <w:szCs w:val="24"/>
        </w:rPr>
        <w:tab/>
        <w:t xml:space="preserve">Digested peptides were desalted and concentrated using </w:t>
      </w:r>
      <w:proofErr w:type="spellStart"/>
      <w:r w:rsidRPr="008F4DA9">
        <w:rPr>
          <w:rFonts w:ascii="Times New Roman" w:hAnsi="Times New Roman" w:cs="Times New Roman"/>
          <w:sz w:val="24"/>
          <w:szCs w:val="24"/>
        </w:rPr>
        <w:t>ZipTip</w:t>
      </w:r>
      <w:proofErr w:type="spellEnd"/>
      <w:r w:rsidRPr="008F4DA9">
        <w:rPr>
          <w:rFonts w:ascii="Times New Roman" w:hAnsi="Times New Roman" w:cs="Times New Roman"/>
          <w:sz w:val="24"/>
          <w:szCs w:val="24"/>
        </w:rPr>
        <w:t xml:space="preserve"> C18 pipette tips (Millipore Inc.) with the eluted material lyophilized and stored at 4°C in Lo-Bind (Eppendorf) tubes until analyzed via liquid chromatography-tandem mass spectrometry. Prior to analysis, samples were resuspended in 2% (v/v) acetonitrile and 0.1% (v/v) TFA. Peptide concentration was measured using the Pierce Quantitative Fluorometric Peptide Assay (Thermo Pierce, Inc.) and 1 µg of peptide, or 40% of the total sample if the sample was too diluted, was applied to mass spectrometry. </w:t>
      </w:r>
    </w:p>
    <w:p w14:paraId="63C1B904" w14:textId="77777777" w:rsidR="00B639AD" w:rsidRPr="008F4DA9" w:rsidRDefault="00B639AD" w:rsidP="00B639AD">
      <w:pPr>
        <w:spacing w:after="0"/>
        <w:ind w:firstLine="720"/>
        <w:rPr>
          <w:rFonts w:ascii="Times New Roman" w:hAnsi="Times New Roman" w:cs="Times New Roman"/>
          <w:sz w:val="24"/>
          <w:szCs w:val="24"/>
        </w:rPr>
      </w:pPr>
      <w:r w:rsidRPr="008F4DA9">
        <w:rPr>
          <w:rFonts w:ascii="Times New Roman" w:hAnsi="Times New Roman" w:cs="Times New Roman"/>
          <w:sz w:val="24"/>
          <w:szCs w:val="24"/>
        </w:rPr>
        <w:t xml:space="preserve">Liquid chromatography-tandem mass spectrometry of peptides was accomplished with </w:t>
      </w:r>
      <w:r w:rsidRPr="008F4DA9">
        <w:rPr>
          <w:rFonts w:ascii="Times New Roman" w:eastAsia="CharisSIL" w:hAnsi="Times New Roman" w:cs="Times New Roman"/>
          <w:sz w:val="24"/>
          <w:szCs w:val="24"/>
        </w:rPr>
        <w:t>a Thermo Scientific Q-</w:t>
      </w:r>
      <w:proofErr w:type="spellStart"/>
      <w:r w:rsidRPr="008F4DA9">
        <w:rPr>
          <w:rFonts w:ascii="Times New Roman" w:eastAsia="CharisSIL" w:hAnsi="Times New Roman" w:cs="Times New Roman"/>
          <w:sz w:val="24"/>
          <w:szCs w:val="24"/>
        </w:rPr>
        <w:t>Exactive</w:t>
      </w:r>
      <w:proofErr w:type="spellEnd"/>
      <w:r w:rsidRPr="008F4DA9">
        <w:rPr>
          <w:rFonts w:ascii="Times New Roman" w:eastAsia="CharisSIL" w:hAnsi="Times New Roman" w:cs="Times New Roman"/>
          <w:sz w:val="24"/>
          <w:szCs w:val="24"/>
        </w:rPr>
        <w:t xml:space="preserve"> Plus Orbitrap mass spectrometer equipped with a </w:t>
      </w:r>
      <w:proofErr w:type="spellStart"/>
      <w:r w:rsidRPr="008F4DA9">
        <w:rPr>
          <w:rFonts w:ascii="Times New Roman" w:eastAsia="CharisSIL" w:hAnsi="Times New Roman" w:cs="Times New Roman"/>
          <w:sz w:val="24"/>
          <w:szCs w:val="24"/>
        </w:rPr>
        <w:t>Proxeon</w:t>
      </w:r>
      <w:proofErr w:type="spellEnd"/>
      <w:r w:rsidRPr="008F4DA9">
        <w:rPr>
          <w:rFonts w:ascii="Times New Roman" w:eastAsia="CharisSIL" w:hAnsi="Times New Roman" w:cs="Times New Roman"/>
          <w:sz w:val="24"/>
          <w:szCs w:val="24"/>
        </w:rPr>
        <w:t xml:space="preserve"> Easy-</w:t>
      </w:r>
      <w:proofErr w:type="spellStart"/>
      <w:r w:rsidRPr="008F4DA9">
        <w:rPr>
          <w:rFonts w:ascii="Times New Roman" w:eastAsia="CharisSIL" w:hAnsi="Times New Roman" w:cs="Times New Roman"/>
          <w:sz w:val="24"/>
          <w:szCs w:val="24"/>
        </w:rPr>
        <w:t>nLC</w:t>
      </w:r>
      <w:proofErr w:type="spellEnd"/>
      <w:r w:rsidRPr="008F4DA9">
        <w:rPr>
          <w:rFonts w:ascii="Times New Roman" w:eastAsia="CharisSIL" w:hAnsi="Times New Roman" w:cs="Times New Roman"/>
          <w:sz w:val="24"/>
          <w:szCs w:val="24"/>
        </w:rPr>
        <w:t xml:space="preserve"> II HPLC (Thermo Scientific).</w:t>
      </w:r>
      <w:r w:rsidRPr="008F4DA9">
        <w:rPr>
          <w:rFonts w:ascii="Times New Roman" w:hAnsi="Times New Roman" w:cs="Times New Roman"/>
          <w:sz w:val="24"/>
          <w:szCs w:val="24"/>
        </w:rPr>
        <w:t xml:space="preserve"> Samples were loaded a </w:t>
      </w:r>
      <w:proofErr w:type="gramStart"/>
      <w:r w:rsidRPr="008F4DA9">
        <w:rPr>
          <w:rFonts w:ascii="Times New Roman" w:hAnsi="Times New Roman" w:cs="Times New Roman"/>
          <w:sz w:val="24"/>
          <w:szCs w:val="24"/>
        </w:rPr>
        <w:t>100 micron</w:t>
      </w:r>
      <w:proofErr w:type="gramEnd"/>
      <w:r w:rsidRPr="008F4DA9">
        <w:rPr>
          <w:rFonts w:ascii="Times New Roman" w:hAnsi="Times New Roman" w:cs="Times New Roman"/>
          <w:sz w:val="24"/>
          <w:szCs w:val="24"/>
        </w:rPr>
        <w:t xml:space="preserve"> x 25 mm Magic C18 100Å 5U reverse phase trap where they were desalted online before being separated using a 75 micron x 150 mm Magic C18 200Å 3U reverse phase column. Peptides were eluted using a </w:t>
      </w:r>
      <w:proofErr w:type="gramStart"/>
      <w:r w:rsidRPr="008F4DA9">
        <w:rPr>
          <w:rFonts w:ascii="Times New Roman" w:hAnsi="Times New Roman" w:cs="Times New Roman"/>
          <w:sz w:val="24"/>
          <w:szCs w:val="24"/>
        </w:rPr>
        <w:t>65 minute</w:t>
      </w:r>
      <w:proofErr w:type="gramEnd"/>
      <w:r w:rsidRPr="008F4DA9">
        <w:rPr>
          <w:rFonts w:ascii="Times New Roman" w:hAnsi="Times New Roman" w:cs="Times New Roman"/>
          <w:sz w:val="24"/>
          <w:szCs w:val="24"/>
        </w:rPr>
        <w:t xml:space="preserve"> gradient with a flow rate of 300nl/min. An MS survey scan was obtained for the m/z range 300-1600, MS/MS spectra were acquired using an inclusion list of 28 ions (</w:t>
      </w:r>
      <w:r>
        <w:rPr>
          <w:rFonts w:ascii="Times New Roman" w:hAnsi="Times New Roman" w:cs="Times New Roman"/>
          <w:sz w:val="24"/>
          <w:szCs w:val="24"/>
        </w:rPr>
        <w:t>Parker et al. 2019</w:t>
      </w:r>
      <w:r w:rsidRPr="008F4DA9">
        <w:rPr>
          <w:rFonts w:ascii="Times New Roman" w:hAnsi="Times New Roman" w:cs="Times New Roman"/>
          <w:sz w:val="24"/>
          <w:szCs w:val="24"/>
        </w:rPr>
        <w:t xml:space="preserve">) that were subjected to HCD (High Energy Collisional Dissociation). When inclusion list ions were not found, MS/MS was done on other ions in the MS survey scan. An isolation mass window of 1.6 m/z was used for precursor ion selection, and normalized collision energy of 27% used for fragmentation. A five second duration was used for the dynamic exclusion. Washes </w:t>
      </w:r>
      <w:r w:rsidRPr="008F4DA9">
        <w:rPr>
          <w:rFonts w:ascii="Times New Roman" w:hAnsi="Times New Roman" w:cs="Times New Roman"/>
          <w:sz w:val="24"/>
          <w:szCs w:val="24"/>
        </w:rPr>
        <w:lastRenderedPageBreak/>
        <w:t xml:space="preserve">were applied between each sample. After 10 samples a blank run of BSA standards was applied to test for sample-to-sample contamination. </w:t>
      </w:r>
    </w:p>
    <w:p w14:paraId="19E3AE4A" w14:textId="77777777" w:rsidR="00B639AD" w:rsidRDefault="00B639AD" w:rsidP="00B639AD">
      <w:pPr>
        <w:autoSpaceDE w:val="0"/>
        <w:autoSpaceDN w:val="0"/>
        <w:adjustRightInd w:val="0"/>
        <w:spacing w:after="0" w:line="240" w:lineRule="auto"/>
        <w:rPr>
          <w:rFonts w:ascii="Times New Roman" w:hAnsi="Times New Roman" w:cs="Times New Roman"/>
          <w:b/>
          <w:bCs/>
          <w:sz w:val="24"/>
          <w:szCs w:val="24"/>
        </w:rPr>
      </w:pPr>
      <w:bookmarkStart w:id="3" w:name="_Hlk11134917"/>
    </w:p>
    <w:p w14:paraId="4EA20C92" w14:textId="77777777" w:rsidR="00B639AD" w:rsidRPr="008F4DA9" w:rsidRDefault="00B639AD" w:rsidP="00B639AD">
      <w:pPr>
        <w:autoSpaceDE w:val="0"/>
        <w:autoSpaceDN w:val="0"/>
        <w:adjustRightInd w:val="0"/>
        <w:spacing w:after="0" w:line="240" w:lineRule="auto"/>
        <w:rPr>
          <w:rFonts w:ascii="Times New Roman" w:hAnsi="Times New Roman" w:cs="Times New Roman"/>
          <w:b/>
          <w:bCs/>
          <w:sz w:val="24"/>
          <w:szCs w:val="24"/>
        </w:rPr>
      </w:pPr>
      <w:r w:rsidRPr="008F4DA9">
        <w:rPr>
          <w:rFonts w:ascii="Times New Roman" w:hAnsi="Times New Roman" w:cs="Times New Roman"/>
          <w:b/>
          <w:bCs/>
          <w:sz w:val="24"/>
          <w:szCs w:val="24"/>
        </w:rPr>
        <w:t>Proteomic Data Processing</w:t>
      </w:r>
    </w:p>
    <w:p w14:paraId="39C92604" w14:textId="77777777" w:rsidR="00B639AD" w:rsidRDefault="00B639AD" w:rsidP="00B639AD">
      <w:pPr>
        <w:autoSpaceDE w:val="0"/>
        <w:autoSpaceDN w:val="0"/>
        <w:adjustRightInd w:val="0"/>
        <w:spacing w:after="0" w:line="240" w:lineRule="auto"/>
        <w:ind w:firstLine="720"/>
        <w:rPr>
          <w:rFonts w:ascii="Times New Roman" w:hAnsi="Times New Roman" w:cs="Times New Roman"/>
          <w:sz w:val="24"/>
          <w:szCs w:val="24"/>
        </w:rPr>
      </w:pPr>
    </w:p>
    <w:p w14:paraId="74C42D49" w14:textId="7484DAD3" w:rsidR="00B639AD" w:rsidRPr="008F4DA9" w:rsidRDefault="00B639AD" w:rsidP="00B639AD">
      <w:pPr>
        <w:autoSpaceDE w:val="0"/>
        <w:autoSpaceDN w:val="0"/>
        <w:adjustRightInd w:val="0"/>
        <w:spacing w:after="0" w:line="240" w:lineRule="auto"/>
        <w:ind w:firstLine="720"/>
        <w:rPr>
          <w:rFonts w:ascii="Times New Roman" w:hAnsi="Times New Roman" w:cs="Times New Roman"/>
          <w:sz w:val="24"/>
          <w:szCs w:val="24"/>
        </w:rPr>
      </w:pPr>
      <w:r w:rsidRPr="008F4DA9">
        <w:rPr>
          <w:rFonts w:ascii="Times New Roman" w:hAnsi="Times New Roman" w:cs="Times New Roman"/>
          <w:sz w:val="24"/>
          <w:szCs w:val="24"/>
        </w:rPr>
        <w:t xml:space="preserve">Mass spectrometry datasets </w:t>
      </w:r>
      <w:proofErr w:type="gramStart"/>
      <w:r w:rsidRPr="008F4DA9">
        <w:rPr>
          <w:rFonts w:ascii="Times New Roman" w:hAnsi="Times New Roman" w:cs="Times New Roman"/>
          <w:sz w:val="24"/>
          <w:szCs w:val="24"/>
        </w:rPr>
        <w:t>(.RAW</w:t>
      </w:r>
      <w:proofErr w:type="gramEnd"/>
      <w:r w:rsidRPr="008F4DA9">
        <w:rPr>
          <w:rFonts w:ascii="Times New Roman" w:hAnsi="Times New Roman" w:cs="Times New Roman"/>
          <w:sz w:val="24"/>
          <w:szCs w:val="24"/>
        </w:rPr>
        <w:t xml:space="preserve"> format) were processed with </w:t>
      </w:r>
      <w:r w:rsidRPr="008F4DA9">
        <w:rPr>
          <w:rFonts w:ascii="Times New Roman" w:eastAsia="CharisSIL" w:hAnsi="Times New Roman" w:cs="Times New Roman"/>
          <w:sz w:val="24"/>
          <w:szCs w:val="24"/>
        </w:rPr>
        <w:t>PEAKS</w:t>
      </w:r>
      <w:r w:rsidRPr="008F4DA9">
        <w:rPr>
          <w:rFonts w:ascii="Times New Roman" w:hAnsi="Times New Roman" w:cs="Times New Roman"/>
          <w:sz w:val="24"/>
          <w:szCs w:val="24"/>
        </w:rPr>
        <w:t xml:space="preserve"> (10.0) peptide matching software (Bioinformatics Solutions Inc., Waterloo, ON). The FASTA formatted UNIPROT </w:t>
      </w:r>
      <w:r w:rsidRPr="008F4DA9">
        <w:rPr>
          <w:rFonts w:ascii="Times New Roman" w:hAnsi="Times New Roman" w:cs="Times New Roman"/>
          <w:i/>
          <w:sz w:val="24"/>
          <w:szCs w:val="24"/>
        </w:rPr>
        <w:t>Homo sapiens</w:t>
      </w:r>
      <w:r w:rsidRPr="008F4DA9">
        <w:rPr>
          <w:rFonts w:ascii="Times New Roman" w:hAnsi="Times New Roman" w:cs="Times New Roman"/>
          <w:sz w:val="24"/>
          <w:szCs w:val="24"/>
        </w:rPr>
        <w:t xml:space="preserve"> reference protein database (</w:t>
      </w:r>
      <w:hyperlink r:id="rId18" w:history="1">
        <w:r w:rsidRPr="008F4DA9">
          <w:rPr>
            <w:rStyle w:val="Hyperlink"/>
            <w:rFonts w:ascii="Times New Roman" w:hAnsi="Times New Roman" w:cs="Times New Roman"/>
            <w:sz w:val="24"/>
            <w:szCs w:val="24"/>
          </w:rPr>
          <w:t>http://www.uniprot.org/proteomes/UP000005640</w:t>
        </w:r>
      </w:hyperlink>
      <w:r w:rsidRPr="008F4DA9">
        <w:rPr>
          <w:rFonts w:ascii="Times New Roman" w:hAnsi="Times New Roman" w:cs="Times New Roman"/>
          <w:sz w:val="24"/>
          <w:szCs w:val="24"/>
        </w:rPr>
        <w:t>) was modified to include additional FASTA protein entries of peptide sequences from all splice variants associated with AMELX_HUMAN (Q99217-1, -2, -3) and AMELY_HUMAN (Q99218-1, -2) proteins gene products (</w:t>
      </w:r>
      <w:proofErr w:type="spellStart"/>
      <w:r w:rsidRPr="008F4DA9">
        <w:rPr>
          <w:rFonts w:ascii="Times New Roman" w:hAnsi="Times New Roman" w:cs="Times New Roman"/>
          <w:sz w:val="24"/>
          <w:szCs w:val="24"/>
        </w:rPr>
        <w:t>Salido</w:t>
      </w:r>
      <w:proofErr w:type="spellEnd"/>
      <w:r w:rsidRPr="008F4DA9">
        <w:rPr>
          <w:rFonts w:ascii="Times New Roman" w:hAnsi="Times New Roman" w:cs="Times New Roman"/>
          <w:sz w:val="24"/>
          <w:szCs w:val="24"/>
        </w:rPr>
        <w:t>, et al., 1992, Simmer, 1995). The reference database was further modified to incorporate a decoy database and was validated in PEAK</w:t>
      </w:r>
      <w:r w:rsidR="005C10AE">
        <w:rPr>
          <w:rFonts w:ascii="Times New Roman" w:hAnsi="Times New Roman" w:cs="Times New Roman"/>
          <w:sz w:val="24"/>
          <w:szCs w:val="24"/>
        </w:rPr>
        <w:t>S</w:t>
      </w:r>
      <w:r w:rsidRPr="008F4DA9">
        <w:rPr>
          <w:rFonts w:ascii="Times New Roman" w:hAnsi="Times New Roman" w:cs="Times New Roman"/>
          <w:sz w:val="24"/>
          <w:szCs w:val="24"/>
        </w:rPr>
        <w:t xml:space="preserve"> Software (Zhang, et al., 2012). Peptide matching spectral assignment was conducted using default conditions with the following exceptions: error tolerance was set to 10 ppm for precursor mass and 0.04Da for fragment ions; cleavage with trypsin was set to non-specific, and up to </w:t>
      </w:r>
      <w:r w:rsidRPr="0034008A">
        <w:rPr>
          <w:rFonts w:ascii="Times New Roman" w:hAnsi="Times New Roman" w:cs="Times New Roman"/>
          <w:sz w:val="24"/>
          <w:szCs w:val="24"/>
        </w:rPr>
        <w:t>t</w:t>
      </w:r>
      <w:r>
        <w:rPr>
          <w:rFonts w:ascii="Times New Roman" w:hAnsi="Times New Roman" w:cs="Times New Roman"/>
          <w:sz w:val="24"/>
          <w:szCs w:val="24"/>
        </w:rPr>
        <w:t>wo missed</w:t>
      </w:r>
      <w:r w:rsidRPr="008F4DA9">
        <w:rPr>
          <w:rFonts w:ascii="Times New Roman" w:hAnsi="Times New Roman" w:cs="Times New Roman"/>
          <w:sz w:val="24"/>
          <w:szCs w:val="24"/>
        </w:rPr>
        <w:t xml:space="preserve"> cleavages. The algorithm assumed all cysteines were carbamidomethylated, and the peptide was partially modified by deamidation (NQ), oxidation (MHW)</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dioxidation</w:t>
      </w:r>
      <w:proofErr w:type="spellEnd"/>
      <w:r>
        <w:rPr>
          <w:rFonts w:ascii="Times New Roman" w:hAnsi="Times New Roman" w:cs="Times New Roman"/>
          <w:sz w:val="24"/>
          <w:szCs w:val="24"/>
        </w:rPr>
        <w:t xml:space="preserve"> (M)</w:t>
      </w:r>
      <w:r w:rsidRPr="008F4DA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8F4DA9">
        <w:rPr>
          <w:rFonts w:ascii="Times New Roman" w:hAnsi="Times New Roman" w:cs="Times New Roman"/>
          <w:sz w:val="24"/>
          <w:szCs w:val="24"/>
        </w:rPr>
        <w:t>pyroglutamate conversion from glutamate and glutamine. All peptide assignments were filtered by a 1% false discovery rate</w:t>
      </w:r>
      <w:r>
        <w:rPr>
          <w:rFonts w:ascii="Times New Roman" w:hAnsi="Times New Roman" w:cs="Times New Roman"/>
          <w:sz w:val="24"/>
          <w:szCs w:val="24"/>
        </w:rPr>
        <w:t xml:space="preserve"> (Zhang et al. 2012)</w:t>
      </w:r>
      <w:r w:rsidRPr="008F4DA9">
        <w:rPr>
          <w:rFonts w:ascii="Times New Roman" w:hAnsi="Times New Roman" w:cs="Times New Roman"/>
          <w:sz w:val="24"/>
          <w:szCs w:val="24"/>
        </w:rPr>
        <w:t xml:space="preserve">. Each peptide was quantified by </w:t>
      </w:r>
      <w:r>
        <w:rPr>
          <w:rFonts w:ascii="Times New Roman" w:hAnsi="Times New Roman" w:cs="Times New Roman"/>
          <w:sz w:val="24"/>
          <w:szCs w:val="24"/>
        </w:rPr>
        <w:t>using the peak</w:t>
      </w:r>
      <w:r w:rsidRPr="008F4DA9">
        <w:rPr>
          <w:rFonts w:ascii="Times New Roman" w:hAnsi="Times New Roman" w:cs="Times New Roman"/>
          <w:sz w:val="24"/>
          <w:szCs w:val="24"/>
        </w:rPr>
        <w:t xml:space="preserve"> </w:t>
      </w:r>
      <w:r>
        <w:rPr>
          <w:rFonts w:ascii="Times New Roman" w:hAnsi="Times New Roman" w:cs="Times New Roman"/>
          <w:sz w:val="24"/>
          <w:szCs w:val="24"/>
        </w:rPr>
        <w:t xml:space="preserve">ion </w:t>
      </w:r>
      <w:r w:rsidRPr="008F4DA9">
        <w:rPr>
          <w:rFonts w:ascii="Times New Roman" w:hAnsi="Times New Roman" w:cs="Times New Roman"/>
          <w:sz w:val="24"/>
          <w:szCs w:val="24"/>
        </w:rPr>
        <w:t xml:space="preserve">intensity of </w:t>
      </w:r>
      <w:r>
        <w:rPr>
          <w:rFonts w:ascii="Times New Roman" w:hAnsi="Times New Roman" w:cs="Times New Roman"/>
          <w:sz w:val="24"/>
          <w:szCs w:val="24"/>
        </w:rPr>
        <w:t xml:space="preserve">the </w:t>
      </w:r>
      <w:r w:rsidRPr="008F4DA9">
        <w:rPr>
          <w:rFonts w:ascii="Times New Roman" w:hAnsi="Times New Roman" w:cs="Times New Roman"/>
          <w:sz w:val="24"/>
          <w:szCs w:val="24"/>
        </w:rPr>
        <w:t xml:space="preserve">primary precursor mass over charge ratio (m/z). Peptides composed entirely of </w:t>
      </w:r>
      <w:r>
        <w:rPr>
          <w:rFonts w:ascii="Times New Roman" w:hAnsi="Times New Roman" w:cs="Times New Roman"/>
          <w:sz w:val="24"/>
          <w:szCs w:val="24"/>
        </w:rPr>
        <w:t>para</w:t>
      </w:r>
      <w:r w:rsidRPr="008F4DA9">
        <w:rPr>
          <w:rFonts w:ascii="Times New Roman" w:hAnsi="Times New Roman" w:cs="Times New Roman"/>
          <w:sz w:val="24"/>
          <w:szCs w:val="24"/>
        </w:rPr>
        <w:t xml:space="preserve">logous amino acid sequences were further filtered from results. </w:t>
      </w:r>
      <w:r>
        <w:rPr>
          <w:rFonts w:ascii="Times New Roman" w:hAnsi="Times New Roman" w:cs="Times New Roman"/>
          <w:sz w:val="24"/>
          <w:szCs w:val="24"/>
        </w:rPr>
        <w:t>Maximum ion intensity s</w:t>
      </w:r>
      <w:r w:rsidRPr="008F4DA9">
        <w:rPr>
          <w:rFonts w:ascii="Times New Roman" w:hAnsi="Times New Roman" w:cs="Times New Roman"/>
          <w:sz w:val="24"/>
          <w:szCs w:val="24"/>
        </w:rPr>
        <w:t xml:space="preserve">ignals from all peptides specific to either </w:t>
      </w:r>
      <w:r>
        <w:rPr>
          <w:rFonts w:ascii="Times New Roman" w:hAnsi="Times New Roman" w:cs="Times New Roman"/>
          <w:sz w:val="24"/>
          <w:szCs w:val="24"/>
        </w:rPr>
        <w:t xml:space="preserve">the </w:t>
      </w:r>
      <w:r w:rsidRPr="008F4DA9">
        <w:rPr>
          <w:rFonts w:ascii="Times New Roman" w:hAnsi="Times New Roman" w:cs="Times New Roman"/>
          <w:sz w:val="24"/>
          <w:szCs w:val="24"/>
        </w:rPr>
        <w:t xml:space="preserve">AMELY_HUMAN or AMELX_HUMAN </w:t>
      </w:r>
      <w:r>
        <w:rPr>
          <w:rFonts w:ascii="Times New Roman" w:hAnsi="Times New Roman" w:cs="Times New Roman"/>
          <w:sz w:val="24"/>
          <w:szCs w:val="24"/>
        </w:rPr>
        <w:t xml:space="preserve">gene product </w:t>
      </w:r>
      <w:r w:rsidRPr="008F4DA9">
        <w:rPr>
          <w:rFonts w:ascii="Times New Roman" w:hAnsi="Times New Roman" w:cs="Times New Roman"/>
          <w:sz w:val="24"/>
          <w:szCs w:val="24"/>
        </w:rPr>
        <w:t xml:space="preserve">were then combined into a </w:t>
      </w:r>
      <w:r>
        <w:rPr>
          <w:rFonts w:ascii="Times New Roman" w:hAnsi="Times New Roman" w:cs="Times New Roman"/>
          <w:sz w:val="24"/>
          <w:szCs w:val="24"/>
        </w:rPr>
        <w:t xml:space="preserve">cumulative </w:t>
      </w:r>
      <w:r w:rsidRPr="008F4DA9">
        <w:rPr>
          <w:rFonts w:ascii="Times New Roman" w:hAnsi="Times New Roman" w:cs="Times New Roman"/>
          <w:sz w:val="24"/>
          <w:szCs w:val="24"/>
        </w:rPr>
        <w:t>single metric (combined intensities</w:t>
      </w:r>
      <w:r>
        <w:rPr>
          <w:rFonts w:ascii="Times New Roman" w:hAnsi="Times New Roman" w:cs="Times New Roman"/>
          <w:sz w:val="24"/>
          <w:szCs w:val="24"/>
        </w:rPr>
        <w:t xml:space="preserve">, </w:t>
      </w:r>
      <w:r w:rsidRPr="008F4DA9">
        <w:rPr>
          <w:rFonts w:ascii="Times New Roman" w:hAnsi="Times New Roman" w:cs="Times New Roman"/>
          <w:sz w:val="24"/>
          <w:szCs w:val="24"/>
        </w:rPr>
        <w:t>CI)</w:t>
      </w:r>
      <w:r>
        <w:rPr>
          <w:rFonts w:ascii="Times New Roman" w:hAnsi="Times New Roman" w:cs="Times New Roman"/>
          <w:sz w:val="24"/>
          <w:szCs w:val="24"/>
        </w:rPr>
        <w:t>, normalized for total enamel sampled (mg), and corrected for the proportion of the sample applied to the instrument (CI</w:t>
      </w:r>
      <w:r w:rsidRPr="008F4DA9">
        <w:rPr>
          <w:rFonts w:ascii="Times New Roman" w:hAnsi="Times New Roman" w:cs="Times New Roman"/>
          <w:sz w:val="24"/>
          <w:szCs w:val="24"/>
        </w:rPr>
        <w:t xml:space="preserve"> per mg enamel). </w:t>
      </w:r>
      <w:r>
        <w:rPr>
          <w:rFonts w:ascii="Times New Roman" w:hAnsi="Times New Roman" w:cs="Times New Roman"/>
          <w:sz w:val="24"/>
          <w:szCs w:val="24"/>
        </w:rPr>
        <w:t xml:space="preserve">Detection of peptides specific to the </w:t>
      </w:r>
      <w:r w:rsidRPr="008F4DA9">
        <w:rPr>
          <w:rFonts w:ascii="Times New Roman" w:hAnsi="Times New Roman" w:cs="Times New Roman"/>
          <w:sz w:val="24"/>
          <w:szCs w:val="24"/>
        </w:rPr>
        <w:t>AMELY</w:t>
      </w:r>
      <w:r>
        <w:rPr>
          <w:rFonts w:ascii="Times New Roman" w:hAnsi="Times New Roman" w:cs="Times New Roman"/>
          <w:sz w:val="24"/>
          <w:szCs w:val="24"/>
        </w:rPr>
        <w:t>_HUMAN</w:t>
      </w:r>
      <w:r w:rsidRPr="008F4DA9">
        <w:rPr>
          <w:rFonts w:ascii="Times New Roman" w:hAnsi="Times New Roman" w:cs="Times New Roman"/>
          <w:sz w:val="24"/>
          <w:szCs w:val="24"/>
        </w:rPr>
        <w:t xml:space="preserve"> </w:t>
      </w:r>
      <w:r>
        <w:rPr>
          <w:rFonts w:ascii="Times New Roman" w:hAnsi="Times New Roman" w:cs="Times New Roman"/>
          <w:sz w:val="24"/>
          <w:szCs w:val="24"/>
        </w:rPr>
        <w:t>gene product</w:t>
      </w:r>
      <w:r w:rsidRPr="008F4DA9">
        <w:rPr>
          <w:rFonts w:ascii="Times New Roman" w:hAnsi="Times New Roman" w:cs="Times New Roman"/>
          <w:sz w:val="24"/>
          <w:szCs w:val="24"/>
        </w:rPr>
        <w:t xml:space="preserve"> </w:t>
      </w:r>
      <w:r>
        <w:rPr>
          <w:rFonts w:ascii="Times New Roman" w:hAnsi="Times New Roman" w:cs="Times New Roman"/>
          <w:sz w:val="24"/>
          <w:szCs w:val="24"/>
        </w:rPr>
        <w:t xml:space="preserve">was considered unambiguous </w:t>
      </w:r>
      <w:r w:rsidRPr="008F4DA9">
        <w:rPr>
          <w:rFonts w:ascii="Times New Roman" w:hAnsi="Times New Roman" w:cs="Times New Roman"/>
          <w:sz w:val="24"/>
          <w:szCs w:val="24"/>
        </w:rPr>
        <w:t xml:space="preserve">evidence of male </w:t>
      </w:r>
      <w:r>
        <w:rPr>
          <w:rFonts w:ascii="Times New Roman" w:hAnsi="Times New Roman" w:cs="Times New Roman"/>
          <w:sz w:val="24"/>
          <w:szCs w:val="24"/>
        </w:rPr>
        <w:t>sex</w:t>
      </w:r>
      <w:r w:rsidRPr="008F4DA9">
        <w:rPr>
          <w:rFonts w:ascii="Times New Roman" w:hAnsi="Times New Roman" w:cs="Times New Roman"/>
          <w:sz w:val="24"/>
          <w:szCs w:val="24"/>
        </w:rPr>
        <w:t xml:space="preserve">. </w:t>
      </w:r>
      <w:r w:rsidRPr="003C5BD3">
        <w:rPr>
          <w:rFonts w:ascii="Times New Roman" w:hAnsi="Times New Roman" w:cs="Times New Roman"/>
          <w:sz w:val="24"/>
          <w:szCs w:val="24"/>
        </w:rPr>
        <w:t xml:space="preserve">In the absence of AMELY_HUMAN peptides, female probability, </w:t>
      </w:r>
      <w:proofErr w:type="spellStart"/>
      <w:r w:rsidRPr="003C5BD3">
        <w:rPr>
          <w:rFonts w:ascii="Times New Roman" w:hAnsi="Times New Roman" w:cs="Times New Roman"/>
          <w:sz w:val="24"/>
          <w:szCs w:val="24"/>
        </w:rPr>
        <w:t>Pr</w:t>
      </w:r>
      <w:proofErr w:type="spellEnd"/>
      <w:r w:rsidRPr="003C5BD3">
        <w:rPr>
          <w:rFonts w:ascii="Times New Roman" w:hAnsi="Times New Roman" w:cs="Times New Roman"/>
          <w:sz w:val="24"/>
          <w:szCs w:val="24"/>
        </w:rPr>
        <w:t>(F), was calculated as a function of the combined intensity of AMELX peptides, based on logistic regression of known standards where increased AMELX signal increased the probability of female sex (Parker et al. 2019).</w:t>
      </w:r>
      <w:r>
        <w:rPr>
          <w:rFonts w:ascii="Times New Roman" w:hAnsi="Times New Roman" w:cs="Times New Roman"/>
          <w:sz w:val="24"/>
          <w:szCs w:val="24"/>
        </w:rPr>
        <w:t xml:space="preserve"> Specifically, </w:t>
      </w:r>
      <w:r w:rsidRPr="008F4DA9">
        <w:rPr>
          <w:rFonts w:ascii="Times New Roman" w:hAnsi="Times New Roman" w:cs="Times New Roman"/>
          <w:sz w:val="24"/>
          <w:szCs w:val="24"/>
        </w:rPr>
        <w:t>AMELX</w:t>
      </w:r>
      <w:r>
        <w:rPr>
          <w:rFonts w:ascii="Times New Roman" w:hAnsi="Times New Roman" w:cs="Times New Roman"/>
          <w:sz w:val="24"/>
          <w:szCs w:val="24"/>
        </w:rPr>
        <w:t>_HUMAN</w:t>
      </w:r>
      <w:r w:rsidRPr="008F4DA9">
        <w:rPr>
          <w:rFonts w:ascii="Times New Roman" w:hAnsi="Times New Roman" w:cs="Times New Roman"/>
          <w:sz w:val="24"/>
          <w:szCs w:val="24"/>
        </w:rPr>
        <w:t xml:space="preserve"> </w:t>
      </w:r>
      <w:r>
        <w:rPr>
          <w:rFonts w:ascii="Times New Roman" w:hAnsi="Times New Roman" w:cs="Times New Roman"/>
          <w:sz w:val="24"/>
          <w:szCs w:val="24"/>
        </w:rPr>
        <w:t>signals</w:t>
      </w:r>
      <w:r w:rsidRPr="008F4DA9">
        <w:rPr>
          <w:rFonts w:ascii="Times New Roman" w:hAnsi="Times New Roman" w:cs="Times New Roman"/>
          <w:sz w:val="24"/>
          <w:szCs w:val="24"/>
        </w:rPr>
        <w:t xml:space="preserve"> </w:t>
      </w:r>
      <w:r>
        <w:rPr>
          <w:rFonts w:ascii="Times New Roman" w:hAnsi="Times New Roman" w:cs="Times New Roman"/>
          <w:sz w:val="24"/>
          <w:szCs w:val="24"/>
        </w:rPr>
        <w:t xml:space="preserve">(CI/mg) </w:t>
      </w:r>
      <w:r w:rsidRPr="008F4DA9">
        <w:rPr>
          <w:rFonts w:ascii="Times New Roman" w:hAnsi="Times New Roman" w:cs="Times New Roman"/>
          <w:sz w:val="24"/>
          <w:szCs w:val="24"/>
        </w:rPr>
        <w:t xml:space="preserve">were log transformed </w:t>
      </w:r>
      <w:r>
        <w:rPr>
          <w:rFonts w:ascii="Times New Roman" w:hAnsi="Times New Roman" w:cs="Times New Roman"/>
          <w:sz w:val="24"/>
          <w:szCs w:val="24"/>
        </w:rPr>
        <w:t xml:space="preserve">and then solved for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xml:space="preserve">(F) using the equation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xml:space="preserve">(F) </w:t>
      </w:r>
      <w:r w:rsidRPr="005223DA">
        <w:rPr>
          <w:rFonts w:ascii="Times New Roman" w:hAnsi="Times New Roman" w:cs="Times New Roman"/>
          <w:sz w:val="24"/>
        </w:rPr>
        <w:t>= 1.0 + (0.059-1.0)/(1+(x/7.54)</w:t>
      </w:r>
      <w:r w:rsidRPr="005223DA">
        <w:rPr>
          <w:rFonts w:ascii="Times New Roman" w:hAnsi="Times New Roman" w:cs="Times New Roman"/>
          <w:sz w:val="24"/>
          <w:vertAlign w:val="superscript"/>
        </w:rPr>
        <w:t>13.99</w:t>
      </w:r>
      <w:r>
        <w:rPr>
          <w:rFonts w:ascii="Times New Roman" w:hAnsi="Times New Roman" w:cs="Times New Roman"/>
          <w:sz w:val="24"/>
        </w:rPr>
        <w:t xml:space="preserve"> where “x” is the logarithm (base 10) of the AMELX_HUMAN (Parker et al. 2019)</w:t>
      </w:r>
      <w:r w:rsidRPr="008F4DA9">
        <w:rPr>
          <w:rFonts w:ascii="Times New Roman" w:hAnsi="Times New Roman" w:cs="Times New Roman"/>
          <w:sz w:val="24"/>
          <w:szCs w:val="24"/>
        </w:rPr>
        <w:t xml:space="preserve">. </w:t>
      </w:r>
      <w:r>
        <w:rPr>
          <w:rFonts w:ascii="Times New Roman" w:hAnsi="Times New Roman" w:cs="Times New Roman"/>
          <w:sz w:val="24"/>
          <w:szCs w:val="24"/>
        </w:rPr>
        <w:t xml:space="preserve">Samples with a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xml:space="preserve">(F) &lt; 0.5 were considered indeterminate for proteomic sex estimation.  </w:t>
      </w:r>
      <w:r w:rsidRPr="003260F5">
        <w:rPr>
          <w:rFonts w:ascii="Times New Roman" w:hAnsi="Times New Roman" w:cs="Times New Roman"/>
          <w:sz w:val="24"/>
        </w:rPr>
        <w:t>The mass spectrometry proteomics data</w:t>
      </w:r>
      <w:r>
        <w:rPr>
          <w:rFonts w:ascii="Times New Roman" w:hAnsi="Times New Roman" w:cs="Times New Roman"/>
          <w:sz w:val="24"/>
        </w:rPr>
        <w:t>, along with customized protein reference library,</w:t>
      </w:r>
      <w:r w:rsidRPr="003260F5">
        <w:rPr>
          <w:rFonts w:ascii="Times New Roman" w:hAnsi="Times New Roman" w:cs="Times New Roman"/>
          <w:sz w:val="24"/>
        </w:rPr>
        <w:t xml:space="preserve"> have </w:t>
      </w:r>
      <w:r w:rsidRPr="002444F3">
        <w:rPr>
          <w:rFonts w:ascii="Times New Roman" w:hAnsi="Times New Roman" w:cs="Times New Roman"/>
          <w:sz w:val="24"/>
        </w:rPr>
        <w:t xml:space="preserve">been deposited to the </w:t>
      </w:r>
      <w:proofErr w:type="spellStart"/>
      <w:r w:rsidRPr="002444F3">
        <w:rPr>
          <w:rFonts w:ascii="Times New Roman" w:hAnsi="Times New Roman" w:cs="Times New Roman"/>
          <w:sz w:val="24"/>
        </w:rPr>
        <w:t>ProteomeXchange</w:t>
      </w:r>
      <w:proofErr w:type="spellEnd"/>
      <w:r w:rsidRPr="002444F3">
        <w:rPr>
          <w:rFonts w:ascii="Times New Roman" w:hAnsi="Times New Roman" w:cs="Times New Roman"/>
          <w:sz w:val="24"/>
        </w:rPr>
        <w:t xml:space="preserve"> Consortium via the PRIDE partner repository with the accession number </w:t>
      </w:r>
      <w:r w:rsidRPr="002444F3">
        <w:rPr>
          <w:rFonts w:ascii="Times New Roman" w:eastAsia="Times New Roman" w:hAnsi="Times New Roman" w:cs="Times New Roman"/>
        </w:rPr>
        <w:t>PXD016076</w:t>
      </w:r>
      <w:r w:rsidRPr="00E144B2">
        <w:rPr>
          <w:rFonts w:ascii="Times New Roman" w:hAnsi="Times New Roman" w:cs="Times New Roman"/>
          <w:sz w:val="24"/>
        </w:rPr>
        <w:t xml:space="preserve"> </w:t>
      </w:r>
      <w:r w:rsidRPr="003260F5">
        <w:rPr>
          <w:rFonts w:ascii="Times New Roman" w:hAnsi="Times New Roman" w:cs="Times New Roman"/>
          <w:sz w:val="24"/>
        </w:rPr>
        <w:t>(http://www.proteomexchange.org)</w:t>
      </w:r>
      <w:r w:rsidRPr="003260F5">
        <w:rPr>
          <w:rFonts w:ascii="Times New Roman" w:hAnsi="Times New Roman" w:cs="Times New Roman"/>
          <w:sz w:val="24"/>
        </w:rPr>
        <w:fldChar w:fldCharType="begin">
          <w:fldData xml:space="preserve">PEVuZE5vdGU+PENpdGU+PEF1dGhvcj5EZXV0c2NoPC9BdXRob3I+PFllYXI+MjAxNzwvWWVhcj48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</w:fldData>
        </w:fldChar>
      </w:r>
      <w:r w:rsidRPr="003260F5">
        <w:rPr>
          <w:rFonts w:ascii="Times New Roman" w:hAnsi="Times New Roman" w:cs="Times New Roman"/>
          <w:sz w:val="24"/>
        </w:rPr>
        <w:instrText xml:space="preserve"> ADDIN EN.CITE </w:instrText>
      </w:r>
      <w:r w:rsidRPr="003260F5">
        <w:rPr>
          <w:rFonts w:ascii="Times New Roman" w:hAnsi="Times New Roman" w:cs="Times New Roman"/>
          <w:sz w:val="24"/>
        </w:rPr>
        <w:fldChar w:fldCharType="begin">
          <w:fldData xml:space="preserve">PEVuZE5vdGU+PENpdGU+PEF1dGhvcj5EZXV0c2NoPC9BdXRob3I+PFllYXI+MjAxNzwvWWVhcj48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</w:fldData>
        </w:fldChar>
      </w:r>
      <w:r w:rsidRPr="003260F5">
        <w:rPr>
          <w:rFonts w:ascii="Times New Roman" w:hAnsi="Times New Roman" w:cs="Times New Roman"/>
          <w:sz w:val="24"/>
        </w:rPr>
        <w:instrText xml:space="preserve"> ADDIN EN.CITE.DATA </w:instrText>
      </w:r>
      <w:r w:rsidRPr="003260F5">
        <w:rPr>
          <w:rFonts w:ascii="Times New Roman" w:hAnsi="Times New Roman" w:cs="Times New Roman"/>
          <w:sz w:val="24"/>
        </w:rPr>
      </w:r>
      <w:r w:rsidRPr="003260F5">
        <w:rPr>
          <w:rFonts w:ascii="Times New Roman" w:hAnsi="Times New Roman" w:cs="Times New Roman"/>
          <w:sz w:val="24"/>
        </w:rPr>
        <w:fldChar w:fldCharType="end"/>
      </w:r>
      <w:r w:rsidRPr="003260F5">
        <w:rPr>
          <w:rFonts w:ascii="Times New Roman" w:hAnsi="Times New Roman" w:cs="Times New Roman"/>
          <w:sz w:val="24"/>
        </w:rPr>
      </w:r>
      <w:r w:rsidRPr="003260F5">
        <w:rPr>
          <w:rFonts w:ascii="Times New Roman" w:hAnsi="Times New Roman" w:cs="Times New Roman"/>
          <w:sz w:val="24"/>
        </w:rPr>
        <w:fldChar w:fldCharType="separate"/>
      </w:r>
      <w:r w:rsidRPr="003260F5">
        <w:rPr>
          <w:rFonts w:ascii="Times New Roman" w:hAnsi="Times New Roman" w:cs="Times New Roman"/>
          <w:noProof/>
          <w:sz w:val="24"/>
        </w:rPr>
        <w:t>(Deutsch, et al., 2017)</w:t>
      </w:r>
      <w:r w:rsidRPr="003260F5">
        <w:rPr>
          <w:rFonts w:ascii="Times New Roman" w:hAnsi="Times New Roman" w:cs="Times New Roman"/>
          <w:sz w:val="24"/>
        </w:rPr>
        <w:fldChar w:fldCharType="end"/>
      </w:r>
      <w:bookmarkEnd w:id="3"/>
      <w:r>
        <w:rPr>
          <w:rFonts w:ascii="Times New Roman" w:hAnsi="Times New Roman" w:cs="Times New Roman"/>
          <w:sz w:val="24"/>
        </w:rPr>
        <w:t>.</w:t>
      </w:r>
    </w:p>
    <w:p w14:paraId="250A2E73" w14:textId="77777777" w:rsidR="00B639AD" w:rsidRDefault="00B639AD" w:rsidP="00B639AD">
      <w:pPr>
        <w:contextualSpacing/>
        <w:rPr>
          <w:rFonts w:ascii="Times New Roman" w:hAnsi="Times New Roman" w:cs="Times New Roman"/>
          <w:b/>
          <w:sz w:val="24"/>
          <w:szCs w:val="24"/>
        </w:rPr>
      </w:pPr>
    </w:p>
    <w:p w14:paraId="12A4BF08" w14:textId="77777777" w:rsidR="00B639AD" w:rsidRDefault="00B639AD" w:rsidP="00B639AD">
      <w:pPr>
        <w:contextualSpacing/>
        <w:rPr>
          <w:rFonts w:ascii="Times New Roman" w:hAnsi="Times New Roman" w:cs="Times New Roman"/>
          <w:b/>
          <w:sz w:val="24"/>
          <w:szCs w:val="24"/>
        </w:rPr>
      </w:pPr>
    </w:p>
    <w:p w14:paraId="554153CC" w14:textId="77777777" w:rsidR="00B639AD" w:rsidRDefault="00B639AD" w:rsidP="00B639AD">
      <w:pPr>
        <w:contextualSpacing/>
        <w:rPr>
          <w:rFonts w:ascii="Times New Roman" w:hAnsi="Times New Roman" w:cs="Times New Roman"/>
          <w:b/>
          <w:sz w:val="24"/>
          <w:szCs w:val="24"/>
        </w:rPr>
      </w:pPr>
    </w:p>
    <w:p w14:paraId="4638944C" w14:textId="77777777" w:rsidR="00B639AD" w:rsidRDefault="00B639AD" w:rsidP="00B639AD">
      <w:pPr>
        <w:contextualSpacing/>
        <w:rPr>
          <w:rFonts w:ascii="Times New Roman" w:hAnsi="Times New Roman" w:cs="Times New Roman"/>
          <w:b/>
          <w:sz w:val="24"/>
          <w:szCs w:val="24"/>
        </w:rPr>
      </w:pPr>
    </w:p>
    <w:p w14:paraId="039E03A0" w14:textId="77777777" w:rsidR="00B639AD" w:rsidRDefault="00B639AD" w:rsidP="00B639AD">
      <w:pPr>
        <w:contextualSpacing/>
        <w:rPr>
          <w:rFonts w:ascii="Times New Roman" w:hAnsi="Times New Roman" w:cs="Times New Roman"/>
          <w:b/>
          <w:sz w:val="24"/>
          <w:szCs w:val="24"/>
        </w:rPr>
      </w:pPr>
    </w:p>
    <w:p w14:paraId="5FFDC6B2" w14:textId="77777777" w:rsidR="00B639AD" w:rsidRDefault="00B639AD" w:rsidP="00B639AD">
      <w:pPr>
        <w:contextualSpacing/>
        <w:rPr>
          <w:rFonts w:ascii="Times New Roman" w:hAnsi="Times New Roman" w:cs="Times New Roman"/>
          <w:b/>
          <w:sz w:val="24"/>
          <w:szCs w:val="24"/>
        </w:rPr>
      </w:pPr>
    </w:p>
    <w:p w14:paraId="25BC95FF" w14:textId="77777777" w:rsidR="00B639AD" w:rsidRDefault="00B639AD" w:rsidP="00B639AD">
      <w:pPr>
        <w:contextualSpacing/>
        <w:rPr>
          <w:rFonts w:ascii="Times New Roman" w:hAnsi="Times New Roman" w:cs="Times New Roman"/>
          <w:b/>
          <w:sz w:val="24"/>
          <w:szCs w:val="24"/>
        </w:rPr>
      </w:pPr>
    </w:p>
    <w:p w14:paraId="4ED330BA" w14:textId="77777777" w:rsidR="00B639AD" w:rsidRDefault="00B639AD" w:rsidP="00B639AD">
      <w:pPr>
        <w:contextualSpacing/>
        <w:rPr>
          <w:rFonts w:ascii="Times New Roman" w:hAnsi="Times New Roman" w:cs="Times New Roman"/>
          <w:b/>
          <w:sz w:val="24"/>
          <w:szCs w:val="24"/>
        </w:rPr>
      </w:pPr>
    </w:p>
    <w:p w14:paraId="1701284A" w14:textId="77777777" w:rsidR="00B639AD" w:rsidRDefault="00B639AD" w:rsidP="00B639AD">
      <w:pPr>
        <w:contextualSpacing/>
        <w:rPr>
          <w:rFonts w:ascii="Times New Roman" w:hAnsi="Times New Roman" w:cs="Times New Roman"/>
          <w:b/>
          <w:sz w:val="24"/>
          <w:szCs w:val="24"/>
        </w:rPr>
      </w:pPr>
    </w:p>
    <w:p w14:paraId="227354C2" w14:textId="77777777" w:rsidR="00B639AD" w:rsidRDefault="00B639AD" w:rsidP="00B639AD">
      <w:pPr>
        <w:contextualSpacing/>
        <w:rPr>
          <w:rFonts w:ascii="Times New Roman" w:hAnsi="Times New Roman" w:cs="Times New Roman"/>
          <w:b/>
          <w:sz w:val="24"/>
          <w:szCs w:val="24"/>
        </w:rPr>
      </w:pPr>
    </w:p>
    <w:p w14:paraId="3D8760F5" w14:textId="107C67C1" w:rsidR="00B639AD" w:rsidRDefault="00490F55" w:rsidP="00B639AD">
      <w:pPr>
        <w:contextualSpacing/>
        <w:rPr>
          <w:rFonts w:ascii="Times New Roman" w:hAnsi="Times New Roman" w:cs="Times New Roman"/>
          <w:b/>
          <w:sz w:val="24"/>
          <w:szCs w:val="24"/>
        </w:rPr>
      </w:pPr>
      <w:r>
        <w:rPr>
          <w:rFonts w:ascii="Times New Roman" w:hAnsi="Times New Roman" w:cs="Times New Roman"/>
          <w:b/>
          <w:sz w:val="24"/>
          <w:szCs w:val="24"/>
        </w:rPr>
        <w:lastRenderedPageBreak/>
        <w:t>C</w:t>
      </w:r>
      <w:r w:rsidR="00B639AD" w:rsidRPr="005223DA">
        <w:rPr>
          <w:rFonts w:ascii="Times New Roman" w:hAnsi="Times New Roman" w:cs="Times New Roman"/>
          <w:b/>
          <w:sz w:val="24"/>
          <w:szCs w:val="24"/>
        </w:rPr>
        <w:t>onsistency of Amelogenin Quanti</w:t>
      </w:r>
      <w:r w:rsidR="00B639AD">
        <w:rPr>
          <w:rFonts w:ascii="Times New Roman" w:hAnsi="Times New Roman" w:cs="Times New Roman"/>
          <w:b/>
          <w:sz w:val="24"/>
          <w:szCs w:val="24"/>
        </w:rPr>
        <w:t>fication</w:t>
      </w:r>
    </w:p>
    <w:p w14:paraId="0D9F5F9D" w14:textId="77777777" w:rsidR="00B639AD" w:rsidRPr="005223DA" w:rsidRDefault="00B639AD" w:rsidP="00B639AD">
      <w:pPr>
        <w:contextualSpacing/>
        <w:rPr>
          <w:rFonts w:ascii="Times New Roman" w:hAnsi="Times New Roman" w:cs="Times New Roman"/>
          <w:b/>
          <w:sz w:val="24"/>
          <w:szCs w:val="24"/>
        </w:rPr>
      </w:pPr>
    </w:p>
    <w:p w14:paraId="3623BDE3" w14:textId="77777777" w:rsidR="00B639AD" w:rsidRPr="00731AB2" w:rsidRDefault="00B639AD" w:rsidP="00B639AD">
      <w:pPr>
        <w:ind w:firstLine="720"/>
        <w:contextualSpacing/>
        <w:rPr>
          <w:rFonts w:ascii="Times New Roman" w:hAnsi="Times New Roman" w:cs="Times New Roman"/>
          <w:color w:val="000000" w:themeColor="text1"/>
          <w:sz w:val="24"/>
          <w:szCs w:val="24"/>
        </w:rPr>
      </w:pPr>
      <w:r w:rsidRPr="00731AB2">
        <w:rPr>
          <w:rFonts w:ascii="Times New Roman" w:hAnsi="Times New Roman" w:cs="Times New Roman"/>
          <w:color w:val="000000" w:themeColor="text1"/>
          <w:sz w:val="24"/>
          <w:szCs w:val="24"/>
        </w:rPr>
        <w:t xml:space="preserve">Given the relative novelty of the proteomic technique, several duplicate samples from the same individual were prepared and analyzed to check consistency. Duplicate proteomic samples were also extracted from the teeth of individuals including two cases where there was a disagreement with DNA (ALA-565/H, B47 and B62), and another case where DNA failed for reconstruction (ALA-565/H, B30, a cremation). All proteomic duplicates agreed with original proteomic sex assignments except for one, </w:t>
      </w:r>
      <w:r>
        <w:rPr>
          <w:rFonts w:ascii="Times New Roman" w:hAnsi="Times New Roman" w:cs="Times New Roman"/>
          <w:color w:val="000000" w:themeColor="text1"/>
          <w:sz w:val="24"/>
          <w:szCs w:val="24"/>
        </w:rPr>
        <w:t>ALA-565/H-</w:t>
      </w:r>
      <w:r w:rsidRPr="00731AB2">
        <w:rPr>
          <w:rFonts w:ascii="Times New Roman" w:hAnsi="Times New Roman" w:cs="Times New Roman"/>
          <w:color w:val="000000" w:themeColor="text1"/>
          <w:sz w:val="24"/>
          <w:szCs w:val="24"/>
        </w:rPr>
        <w:t>B62. Burial 62 originally had a</w:t>
      </w:r>
      <w:r>
        <w:rPr>
          <w:rFonts w:ascii="Times New Roman" w:hAnsi="Times New Roman" w:cs="Times New Roman"/>
          <w:color w:val="000000" w:themeColor="text1"/>
          <w:sz w:val="24"/>
          <w:szCs w:val="24"/>
        </w:rPr>
        <w:t>n</w:t>
      </w:r>
      <w:r w:rsidRPr="00731AB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indeterminate sex assignment</w:t>
      </w:r>
      <w:r w:rsidRPr="00731AB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based </w:t>
      </w:r>
      <w:r w:rsidRPr="00731AB2">
        <w:rPr>
          <w:rFonts w:ascii="Times New Roman" w:hAnsi="Times New Roman" w:cs="Times New Roman"/>
          <w:color w:val="000000" w:themeColor="text1"/>
          <w:sz w:val="24"/>
          <w:szCs w:val="24"/>
        </w:rPr>
        <w:t>no AMELY peptides</w:t>
      </w:r>
      <w:r>
        <w:rPr>
          <w:rFonts w:ascii="Times New Roman" w:hAnsi="Times New Roman" w:cs="Times New Roman"/>
          <w:color w:val="000000" w:themeColor="text1"/>
          <w:sz w:val="24"/>
          <w:szCs w:val="24"/>
        </w:rPr>
        <w:t xml:space="preserve"> but a </w:t>
      </w:r>
      <w:proofErr w:type="spellStart"/>
      <w:r>
        <w:rPr>
          <w:rFonts w:ascii="Times New Roman" w:hAnsi="Times New Roman" w:cs="Times New Roman"/>
          <w:color w:val="000000" w:themeColor="text1"/>
          <w:sz w:val="24"/>
          <w:szCs w:val="24"/>
        </w:rPr>
        <w:t>Pr</w:t>
      </w:r>
      <w:proofErr w:type="spellEnd"/>
      <w:r>
        <w:rPr>
          <w:rFonts w:ascii="Times New Roman" w:hAnsi="Times New Roman" w:cs="Times New Roman"/>
          <w:color w:val="000000" w:themeColor="text1"/>
          <w:sz w:val="24"/>
          <w:szCs w:val="24"/>
        </w:rPr>
        <w:t>(F)= 0.29.</w:t>
      </w:r>
      <w:r w:rsidRPr="00731AB2">
        <w:rPr>
          <w:rFonts w:ascii="Times New Roman" w:hAnsi="Times New Roman" w:cs="Times New Roman"/>
          <w:color w:val="000000" w:themeColor="text1"/>
          <w:sz w:val="24"/>
          <w:szCs w:val="24"/>
        </w:rPr>
        <w:t xml:space="preserve"> A second analysis had a higher amount of AMELX peptides, but still no AMELY peptides, giving it a </w:t>
      </w:r>
      <w:proofErr w:type="spellStart"/>
      <w:r w:rsidRPr="00731AB2">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r</w:t>
      </w:r>
      <w:proofErr w:type="spellEnd"/>
      <w:r w:rsidRPr="00731AB2">
        <w:rPr>
          <w:rFonts w:ascii="Times New Roman" w:hAnsi="Times New Roman" w:cs="Times New Roman"/>
          <w:color w:val="000000" w:themeColor="text1"/>
          <w:sz w:val="24"/>
          <w:szCs w:val="24"/>
        </w:rPr>
        <w:t>(F) of 0.68 and changing this assignment to female</w:t>
      </w:r>
      <w:r>
        <w:rPr>
          <w:rFonts w:ascii="Times New Roman" w:hAnsi="Times New Roman" w:cs="Times New Roman"/>
          <w:color w:val="000000" w:themeColor="text1"/>
          <w:sz w:val="24"/>
          <w:szCs w:val="24"/>
        </w:rPr>
        <w:t xml:space="preserve">. This is </w:t>
      </w:r>
      <w:r w:rsidRPr="00731AB2">
        <w:rPr>
          <w:rFonts w:ascii="Times New Roman" w:hAnsi="Times New Roman" w:cs="Times New Roman"/>
          <w:color w:val="000000" w:themeColor="text1"/>
          <w:sz w:val="24"/>
          <w:szCs w:val="24"/>
        </w:rPr>
        <w:t>consistent with definitive DNA-based female sex estimates</w:t>
      </w:r>
      <w:r>
        <w:rPr>
          <w:rFonts w:ascii="Times New Roman" w:hAnsi="Times New Roman" w:cs="Times New Roman"/>
          <w:color w:val="000000" w:themeColor="text1"/>
          <w:sz w:val="24"/>
          <w:szCs w:val="24"/>
        </w:rPr>
        <w:t xml:space="preserve"> for the same sample</w:t>
      </w:r>
      <w:r w:rsidRPr="00731AB2">
        <w:rPr>
          <w:rFonts w:ascii="Times New Roman" w:hAnsi="Times New Roman" w:cs="Times New Roman"/>
          <w:color w:val="000000" w:themeColor="text1"/>
          <w:sz w:val="24"/>
          <w:szCs w:val="24"/>
        </w:rPr>
        <w:t xml:space="preserve">. Data for </w:t>
      </w:r>
      <w:r>
        <w:rPr>
          <w:rFonts w:ascii="Times New Roman" w:hAnsi="Times New Roman" w:cs="Times New Roman"/>
          <w:color w:val="000000" w:themeColor="text1"/>
          <w:sz w:val="24"/>
          <w:szCs w:val="24"/>
        </w:rPr>
        <w:t xml:space="preserve">all </w:t>
      </w:r>
      <w:r w:rsidRPr="00731AB2">
        <w:rPr>
          <w:rFonts w:ascii="Times New Roman" w:hAnsi="Times New Roman" w:cs="Times New Roman"/>
          <w:color w:val="000000" w:themeColor="text1"/>
          <w:sz w:val="24"/>
          <w:szCs w:val="24"/>
        </w:rPr>
        <w:t xml:space="preserve">duplicate samples, along with reagent blank runs, are provided in supplemental material </w:t>
      </w:r>
      <w:r w:rsidRPr="00654DF5">
        <w:rPr>
          <w:rFonts w:ascii="Times New Roman" w:hAnsi="Times New Roman" w:cs="Times New Roman"/>
          <w:color w:val="000000" w:themeColor="text1"/>
          <w:sz w:val="24"/>
          <w:szCs w:val="24"/>
        </w:rPr>
        <w:t>(Table</w:t>
      </w:r>
      <w:r>
        <w:rPr>
          <w:rFonts w:ascii="Times New Roman" w:hAnsi="Times New Roman" w:cs="Times New Roman"/>
          <w:color w:val="000000" w:themeColor="text1"/>
          <w:sz w:val="24"/>
          <w:szCs w:val="24"/>
        </w:rPr>
        <w:t>s</w:t>
      </w:r>
      <w:r w:rsidRPr="00654DF5">
        <w:rPr>
          <w:rFonts w:ascii="Times New Roman" w:hAnsi="Times New Roman" w:cs="Times New Roman"/>
          <w:color w:val="000000" w:themeColor="text1"/>
          <w:sz w:val="24"/>
          <w:szCs w:val="24"/>
        </w:rPr>
        <w:t xml:space="preserve"> S2</w:t>
      </w:r>
      <w:r>
        <w:rPr>
          <w:rFonts w:ascii="Times New Roman" w:hAnsi="Times New Roman" w:cs="Times New Roman"/>
          <w:color w:val="000000" w:themeColor="text1"/>
          <w:sz w:val="24"/>
          <w:szCs w:val="24"/>
        </w:rPr>
        <w:t xml:space="preserve"> and S3</w:t>
      </w:r>
      <w:r w:rsidRPr="00654DF5">
        <w:rPr>
          <w:rFonts w:ascii="Times New Roman" w:hAnsi="Times New Roman" w:cs="Times New Roman"/>
          <w:color w:val="000000" w:themeColor="text1"/>
          <w:sz w:val="24"/>
          <w:szCs w:val="24"/>
        </w:rPr>
        <w:t>).</w:t>
      </w:r>
    </w:p>
    <w:p w14:paraId="14387B9E" w14:textId="77777777" w:rsidR="00B639AD" w:rsidRDefault="00B639AD" w:rsidP="00B639AD">
      <w:pPr>
        <w:ind w:firstLine="720"/>
        <w:contextualSpacing/>
        <w:rPr>
          <w:rFonts w:ascii="Times New Roman" w:hAnsi="Times New Roman" w:cs="Times New Roman"/>
          <w:color w:val="000000" w:themeColor="text1"/>
          <w:sz w:val="24"/>
          <w:szCs w:val="24"/>
        </w:rPr>
      </w:pPr>
      <w:r w:rsidRPr="00731AB2">
        <w:rPr>
          <w:rFonts w:ascii="Times New Roman" w:hAnsi="Times New Roman" w:cs="Times New Roman"/>
          <w:color w:val="000000" w:themeColor="text1"/>
          <w:sz w:val="24"/>
          <w:szCs w:val="24"/>
        </w:rPr>
        <w:t xml:space="preserve">Burial 62 illustrates </w:t>
      </w:r>
      <w:r>
        <w:rPr>
          <w:rFonts w:ascii="Times New Roman" w:hAnsi="Times New Roman" w:cs="Times New Roman"/>
          <w:color w:val="000000" w:themeColor="text1"/>
          <w:sz w:val="24"/>
          <w:szCs w:val="24"/>
        </w:rPr>
        <w:t>a</w:t>
      </w:r>
      <w:r w:rsidRPr="00731AB2">
        <w:rPr>
          <w:rFonts w:ascii="Times New Roman" w:hAnsi="Times New Roman" w:cs="Times New Roman"/>
          <w:color w:val="000000" w:themeColor="text1"/>
          <w:sz w:val="24"/>
          <w:szCs w:val="24"/>
        </w:rPr>
        <w:t xml:space="preserve"> potential problem with assigning male sex in the absence of male peptides</w:t>
      </w:r>
      <w:r>
        <w:rPr>
          <w:rFonts w:ascii="Times New Roman" w:hAnsi="Times New Roman" w:cs="Times New Roman"/>
          <w:color w:val="000000" w:themeColor="text1"/>
          <w:sz w:val="24"/>
          <w:szCs w:val="24"/>
        </w:rPr>
        <w:t xml:space="preserve"> as originally described in Parker et al. (2019).</w:t>
      </w:r>
      <w:r w:rsidRPr="00731AB2">
        <w:rPr>
          <w:rFonts w:ascii="Times New Roman" w:hAnsi="Times New Roman" w:cs="Times New Roman"/>
          <w:color w:val="000000" w:themeColor="text1"/>
          <w:sz w:val="24"/>
          <w:szCs w:val="24"/>
        </w:rPr>
        <w:t xml:space="preserve"> Given the </w:t>
      </w:r>
      <w:r>
        <w:rPr>
          <w:rFonts w:ascii="Times New Roman" w:hAnsi="Times New Roman" w:cs="Times New Roman"/>
          <w:color w:val="000000" w:themeColor="text1"/>
          <w:sz w:val="24"/>
          <w:szCs w:val="24"/>
        </w:rPr>
        <w:t>possibility of very poor conditions for preservation in some</w:t>
      </w:r>
      <w:r w:rsidRPr="00731AB2">
        <w:rPr>
          <w:rFonts w:ascii="Times New Roman" w:hAnsi="Times New Roman" w:cs="Times New Roman"/>
          <w:color w:val="000000" w:themeColor="text1"/>
          <w:sz w:val="24"/>
          <w:szCs w:val="24"/>
        </w:rPr>
        <w:t xml:space="preserve"> archaeological contexts, we cannot rule out the possibility of a female sample with very low amounts of AMELX. In light of this, we recommend </w:t>
      </w:r>
      <w:r>
        <w:rPr>
          <w:rFonts w:ascii="Times New Roman" w:hAnsi="Times New Roman" w:cs="Times New Roman"/>
          <w:color w:val="000000" w:themeColor="text1"/>
          <w:sz w:val="24"/>
          <w:szCs w:val="24"/>
        </w:rPr>
        <w:t xml:space="preserve">a slight refinement by </w:t>
      </w:r>
      <w:r w:rsidRPr="00731AB2">
        <w:rPr>
          <w:rFonts w:ascii="Times New Roman" w:hAnsi="Times New Roman" w:cs="Times New Roman"/>
          <w:color w:val="000000" w:themeColor="text1"/>
          <w:sz w:val="24"/>
          <w:szCs w:val="24"/>
        </w:rPr>
        <w:t xml:space="preserve">designating samples with </w:t>
      </w:r>
      <w:proofErr w:type="spellStart"/>
      <w:r w:rsidRPr="00731AB2">
        <w:rPr>
          <w:rFonts w:ascii="Times New Roman" w:hAnsi="Times New Roman" w:cs="Times New Roman"/>
          <w:color w:val="000000" w:themeColor="text1"/>
          <w:sz w:val="24"/>
          <w:szCs w:val="24"/>
        </w:rPr>
        <w:t>Pr</w:t>
      </w:r>
      <w:proofErr w:type="spellEnd"/>
      <w:r w:rsidRPr="00731AB2">
        <w:rPr>
          <w:rFonts w:ascii="Times New Roman" w:hAnsi="Times New Roman" w:cs="Times New Roman"/>
          <w:color w:val="000000" w:themeColor="text1"/>
          <w:sz w:val="24"/>
          <w:szCs w:val="24"/>
        </w:rPr>
        <w:t xml:space="preserve">(F) values below 0.50 as indeterminate, while samples above 0.50 are assigned female at their respective probabilities. </w:t>
      </w:r>
    </w:p>
    <w:p w14:paraId="6C2521CA" w14:textId="30C4C28D" w:rsidR="00B639AD" w:rsidRDefault="00B639AD" w:rsidP="007B7E9A"/>
    <w:p w14:paraId="4D0C5C3C" w14:textId="77777777" w:rsidR="00C537A7" w:rsidRPr="001F2E9A" w:rsidRDefault="00C537A7" w:rsidP="00C537A7">
      <w:pPr>
        <w:rPr>
          <w:rFonts w:cstheme="minorHAnsi"/>
          <w:b/>
          <w:bCs/>
        </w:rPr>
      </w:pPr>
      <w:r w:rsidRPr="001F2E9A">
        <w:rPr>
          <w:rFonts w:cstheme="minorHAnsi"/>
          <w:b/>
          <w:bCs/>
        </w:rPr>
        <w:t xml:space="preserve">Regression analysis of AMELX signal (log transformed) versus number of DNA reads (log transformed) for all matched samples from </w:t>
      </w:r>
      <w:r w:rsidRPr="001F2E9A">
        <w:rPr>
          <w:rFonts w:cstheme="minorHAnsi"/>
          <w:b/>
          <w:bCs/>
          <w:i/>
          <w:iCs/>
        </w:rPr>
        <w:t>Síi Túupentak</w:t>
      </w:r>
      <w:r w:rsidRPr="001F2E9A">
        <w:rPr>
          <w:rFonts w:cstheme="minorHAnsi"/>
          <w:b/>
          <w:bCs/>
        </w:rPr>
        <w:t xml:space="preserve"> (CA-ALA-565/H) and </w:t>
      </w:r>
      <w:r w:rsidRPr="001F2E9A">
        <w:rPr>
          <w:rFonts w:cstheme="minorHAnsi"/>
          <w:b/>
          <w:bCs/>
          <w:i/>
          <w:iCs/>
          <w:color w:val="000000"/>
          <w:sz w:val="24"/>
          <w:szCs w:val="24"/>
        </w:rPr>
        <w:t>Rummey Ta Kuččuwiš Tiprectak (</w:t>
      </w:r>
      <w:r w:rsidRPr="001F2E9A">
        <w:rPr>
          <w:rFonts w:cstheme="minorHAnsi"/>
          <w:b/>
          <w:bCs/>
        </w:rPr>
        <w:t>CA-ALA-704/H)</w:t>
      </w:r>
    </w:p>
    <w:p w14:paraId="6E3B479B" w14:textId="77777777" w:rsidR="00C537A7" w:rsidRDefault="00C537A7" w:rsidP="00C537A7"/>
    <w:p w14:paraId="7336EF08" w14:textId="77777777" w:rsidR="00C537A7" w:rsidRDefault="00C537A7" w:rsidP="00C537A7">
      <w:r>
        <w:t>Summary statistics:</w:t>
      </w:r>
    </w:p>
    <w:tbl>
      <w:tblPr>
        <w:tblW w:w="8076" w:type="dxa"/>
        <w:tblLook w:val="04A0" w:firstRow="1" w:lastRow="0" w:firstColumn="1" w:lastColumn="0" w:noHBand="0" w:noVBand="1"/>
      </w:tblPr>
      <w:tblGrid>
        <w:gridCol w:w="1039"/>
        <w:gridCol w:w="1397"/>
        <w:gridCol w:w="976"/>
        <w:gridCol w:w="976"/>
        <w:gridCol w:w="1088"/>
        <w:gridCol w:w="1123"/>
        <w:gridCol w:w="976"/>
        <w:gridCol w:w="1053"/>
      </w:tblGrid>
      <w:tr w:rsidR="00C537A7" w14:paraId="0301817C" w14:textId="77777777" w:rsidTr="00DA3056">
        <w:trPr>
          <w:trHeight w:val="288"/>
        </w:trPr>
        <w:tc>
          <w:tcPr>
            <w:tcW w:w="1039" w:type="dxa"/>
            <w:tcBorders>
              <w:top w:val="single" w:sz="8" w:space="0" w:color="auto"/>
              <w:left w:val="nil"/>
              <w:bottom w:val="nil"/>
              <w:right w:val="nil"/>
            </w:tcBorders>
            <w:shd w:val="clear" w:color="auto" w:fill="auto"/>
            <w:noWrap/>
            <w:vAlign w:val="bottom"/>
            <w:hideMark/>
          </w:tcPr>
          <w:p w14:paraId="1D7CEB23" w14:textId="77777777" w:rsidR="00C537A7" w:rsidRDefault="00C537A7" w:rsidP="00DA3056">
            <w:pPr>
              <w:jc w:val="center"/>
              <w:rPr>
                <w:rFonts w:ascii="Calibri" w:hAnsi="Calibri" w:cs="Calibri"/>
                <w:color w:val="000000"/>
              </w:rPr>
            </w:pPr>
            <w:r>
              <w:rPr>
                <w:rFonts w:ascii="Calibri" w:hAnsi="Calibri" w:cs="Calibri"/>
                <w:color w:val="000000"/>
              </w:rPr>
              <w:t>Variable</w:t>
            </w:r>
          </w:p>
        </w:tc>
        <w:tc>
          <w:tcPr>
            <w:tcW w:w="1181" w:type="dxa"/>
            <w:tcBorders>
              <w:top w:val="single" w:sz="8" w:space="0" w:color="auto"/>
              <w:left w:val="nil"/>
              <w:bottom w:val="nil"/>
              <w:right w:val="nil"/>
            </w:tcBorders>
            <w:shd w:val="clear" w:color="auto" w:fill="auto"/>
            <w:noWrap/>
            <w:vAlign w:val="bottom"/>
            <w:hideMark/>
          </w:tcPr>
          <w:p w14:paraId="5C556079" w14:textId="77777777" w:rsidR="00C537A7" w:rsidRDefault="00C537A7" w:rsidP="00DA3056">
            <w:pPr>
              <w:jc w:val="center"/>
              <w:rPr>
                <w:rFonts w:ascii="Calibri" w:hAnsi="Calibri" w:cs="Calibri"/>
                <w:color w:val="000000"/>
              </w:rPr>
            </w:pPr>
            <w:r>
              <w:rPr>
                <w:rFonts w:ascii="Calibri" w:hAnsi="Calibri" w:cs="Calibri"/>
                <w:color w:val="000000"/>
              </w:rPr>
              <w:t>Observations</w:t>
            </w:r>
          </w:p>
        </w:tc>
        <w:tc>
          <w:tcPr>
            <w:tcW w:w="976" w:type="dxa"/>
            <w:tcBorders>
              <w:top w:val="single" w:sz="8" w:space="0" w:color="auto"/>
              <w:left w:val="nil"/>
              <w:bottom w:val="nil"/>
              <w:right w:val="nil"/>
            </w:tcBorders>
            <w:shd w:val="clear" w:color="auto" w:fill="auto"/>
            <w:noWrap/>
            <w:vAlign w:val="bottom"/>
            <w:hideMark/>
          </w:tcPr>
          <w:p w14:paraId="5262FC17" w14:textId="77777777" w:rsidR="00C537A7" w:rsidRDefault="00C537A7" w:rsidP="00DA3056">
            <w:pPr>
              <w:jc w:val="center"/>
              <w:rPr>
                <w:rFonts w:ascii="Calibri" w:hAnsi="Calibri" w:cs="Calibri"/>
                <w:color w:val="000000"/>
              </w:rPr>
            </w:pPr>
            <w:r>
              <w:rPr>
                <w:rFonts w:ascii="Calibri" w:hAnsi="Calibri" w:cs="Calibri"/>
                <w:color w:val="000000"/>
              </w:rPr>
              <w:t>Obs. with missing data</w:t>
            </w:r>
          </w:p>
        </w:tc>
        <w:tc>
          <w:tcPr>
            <w:tcW w:w="976" w:type="dxa"/>
            <w:tcBorders>
              <w:top w:val="single" w:sz="8" w:space="0" w:color="auto"/>
              <w:left w:val="nil"/>
              <w:bottom w:val="nil"/>
              <w:right w:val="nil"/>
            </w:tcBorders>
            <w:shd w:val="clear" w:color="auto" w:fill="auto"/>
            <w:noWrap/>
            <w:vAlign w:val="bottom"/>
            <w:hideMark/>
          </w:tcPr>
          <w:p w14:paraId="3A6DDB0B" w14:textId="77777777" w:rsidR="00C537A7" w:rsidRDefault="00C537A7" w:rsidP="00DA3056">
            <w:pPr>
              <w:jc w:val="center"/>
              <w:rPr>
                <w:rFonts w:ascii="Calibri" w:hAnsi="Calibri" w:cs="Calibri"/>
                <w:color w:val="000000"/>
              </w:rPr>
            </w:pPr>
            <w:r>
              <w:rPr>
                <w:rFonts w:ascii="Calibri" w:hAnsi="Calibri" w:cs="Calibri"/>
                <w:color w:val="000000"/>
              </w:rPr>
              <w:t>Obs. without missing data</w:t>
            </w:r>
          </w:p>
        </w:tc>
        <w:tc>
          <w:tcPr>
            <w:tcW w:w="976" w:type="dxa"/>
            <w:tcBorders>
              <w:top w:val="single" w:sz="8" w:space="0" w:color="auto"/>
              <w:left w:val="nil"/>
              <w:bottom w:val="nil"/>
              <w:right w:val="nil"/>
            </w:tcBorders>
            <w:shd w:val="clear" w:color="auto" w:fill="auto"/>
            <w:noWrap/>
            <w:vAlign w:val="bottom"/>
            <w:hideMark/>
          </w:tcPr>
          <w:p w14:paraId="237902EC" w14:textId="77777777" w:rsidR="00C537A7" w:rsidRDefault="00C537A7" w:rsidP="00DA3056">
            <w:pPr>
              <w:jc w:val="center"/>
              <w:rPr>
                <w:rFonts w:ascii="Calibri" w:hAnsi="Calibri" w:cs="Calibri"/>
                <w:color w:val="000000"/>
              </w:rPr>
            </w:pPr>
            <w:r>
              <w:rPr>
                <w:rFonts w:ascii="Calibri" w:hAnsi="Calibri" w:cs="Calibri"/>
                <w:color w:val="000000"/>
              </w:rPr>
              <w:t>Minimum</w:t>
            </w:r>
          </w:p>
        </w:tc>
        <w:tc>
          <w:tcPr>
            <w:tcW w:w="976" w:type="dxa"/>
            <w:tcBorders>
              <w:top w:val="single" w:sz="8" w:space="0" w:color="auto"/>
              <w:left w:val="nil"/>
              <w:bottom w:val="nil"/>
              <w:right w:val="nil"/>
            </w:tcBorders>
            <w:shd w:val="clear" w:color="auto" w:fill="auto"/>
            <w:noWrap/>
            <w:vAlign w:val="bottom"/>
            <w:hideMark/>
          </w:tcPr>
          <w:p w14:paraId="7471EDF9" w14:textId="77777777" w:rsidR="00C537A7" w:rsidRDefault="00C537A7" w:rsidP="00DA3056">
            <w:pPr>
              <w:jc w:val="center"/>
              <w:rPr>
                <w:rFonts w:ascii="Calibri" w:hAnsi="Calibri" w:cs="Calibri"/>
                <w:color w:val="000000"/>
              </w:rPr>
            </w:pPr>
            <w:r>
              <w:rPr>
                <w:rFonts w:ascii="Calibri" w:hAnsi="Calibri" w:cs="Calibri"/>
                <w:color w:val="000000"/>
              </w:rPr>
              <w:t>Maximum</w:t>
            </w:r>
          </w:p>
        </w:tc>
        <w:tc>
          <w:tcPr>
            <w:tcW w:w="976" w:type="dxa"/>
            <w:tcBorders>
              <w:top w:val="single" w:sz="8" w:space="0" w:color="auto"/>
              <w:left w:val="nil"/>
              <w:bottom w:val="nil"/>
              <w:right w:val="nil"/>
            </w:tcBorders>
            <w:shd w:val="clear" w:color="auto" w:fill="auto"/>
            <w:noWrap/>
            <w:vAlign w:val="bottom"/>
            <w:hideMark/>
          </w:tcPr>
          <w:p w14:paraId="51C36C48" w14:textId="77777777" w:rsidR="00C537A7" w:rsidRDefault="00C537A7" w:rsidP="00DA3056">
            <w:pPr>
              <w:jc w:val="center"/>
              <w:rPr>
                <w:rFonts w:ascii="Calibri" w:hAnsi="Calibri" w:cs="Calibri"/>
                <w:color w:val="000000"/>
              </w:rPr>
            </w:pPr>
            <w:r>
              <w:rPr>
                <w:rFonts w:ascii="Calibri" w:hAnsi="Calibri" w:cs="Calibri"/>
                <w:color w:val="000000"/>
              </w:rPr>
              <w:t>Mean</w:t>
            </w:r>
          </w:p>
        </w:tc>
        <w:tc>
          <w:tcPr>
            <w:tcW w:w="976" w:type="dxa"/>
            <w:tcBorders>
              <w:top w:val="single" w:sz="8" w:space="0" w:color="auto"/>
              <w:left w:val="nil"/>
              <w:bottom w:val="nil"/>
              <w:right w:val="nil"/>
            </w:tcBorders>
            <w:shd w:val="clear" w:color="auto" w:fill="auto"/>
            <w:noWrap/>
            <w:vAlign w:val="bottom"/>
            <w:hideMark/>
          </w:tcPr>
          <w:p w14:paraId="511DE5B0" w14:textId="77777777" w:rsidR="00C537A7" w:rsidRDefault="00C537A7" w:rsidP="00DA3056">
            <w:pPr>
              <w:jc w:val="center"/>
              <w:rPr>
                <w:rFonts w:ascii="Calibri" w:hAnsi="Calibri" w:cs="Calibri"/>
                <w:color w:val="000000"/>
              </w:rPr>
            </w:pPr>
            <w:r>
              <w:rPr>
                <w:rFonts w:ascii="Calibri" w:hAnsi="Calibri" w:cs="Calibri"/>
                <w:color w:val="000000"/>
              </w:rPr>
              <w:t>Std. deviation</w:t>
            </w:r>
          </w:p>
        </w:tc>
      </w:tr>
      <w:tr w:rsidR="00C537A7" w14:paraId="7E20D376" w14:textId="77777777" w:rsidTr="00DA3056">
        <w:trPr>
          <w:trHeight w:val="288"/>
        </w:trPr>
        <w:tc>
          <w:tcPr>
            <w:tcW w:w="1039" w:type="dxa"/>
            <w:tcBorders>
              <w:top w:val="single" w:sz="4" w:space="0" w:color="auto"/>
              <w:left w:val="nil"/>
              <w:bottom w:val="nil"/>
              <w:right w:val="nil"/>
            </w:tcBorders>
            <w:shd w:val="clear" w:color="auto" w:fill="auto"/>
            <w:noWrap/>
            <w:vAlign w:val="bottom"/>
            <w:hideMark/>
          </w:tcPr>
          <w:p w14:paraId="6BD11EC7" w14:textId="77777777" w:rsidR="00C537A7" w:rsidRDefault="00C537A7" w:rsidP="00DA3056">
            <w:pPr>
              <w:rPr>
                <w:rFonts w:ascii="Calibri" w:hAnsi="Calibri" w:cs="Calibri"/>
                <w:color w:val="007800"/>
              </w:rPr>
            </w:pPr>
            <w:r>
              <w:rPr>
                <w:rFonts w:ascii="Calibri" w:hAnsi="Calibri" w:cs="Calibri"/>
                <w:color w:val="007800"/>
              </w:rPr>
              <w:t>AMELX (CI)</w:t>
            </w:r>
          </w:p>
        </w:tc>
        <w:tc>
          <w:tcPr>
            <w:tcW w:w="1181" w:type="dxa"/>
            <w:tcBorders>
              <w:top w:val="single" w:sz="4" w:space="0" w:color="auto"/>
              <w:left w:val="nil"/>
              <w:bottom w:val="nil"/>
              <w:right w:val="nil"/>
            </w:tcBorders>
            <w:shd w:val="clear" w:color="auto" w:fill="auto"/>
            <w:noWrap/>
            <w:vAlign w:val="bottom"/>
            <w:hideMark/>
          </w:tcPr>
          <w:p w14:paraId="5096A2FE" w14:textId="77777777" w:rsidR="00C537A7" w:rsidRDefault="00C537A7" w:rsidP="00DA3056">
            <w:pPr>
              <w:jc w:val="right"/>
              <w:rPr>
                <w:rFonts w:ascii="Calibri" w:hAnsi="Calibri" w:cs="Calibri"/>
                <w:color w:val="007800"/>
              </w:rPr>
            </w:pPr>
            <w:r>
              <w:rPr>
                <w:rFonts w:ascii="Calibri" w:hAnsi="Calibri" w:cs="Calibri"/>
                <w:color w:val="007800"/>
              </w:rPr>
              <w:t>53</w:t>
            </w:r>
          </w:p>
        </w:tc>
        <w:tc>
          <w:tcPr>
            <w:tcW w:w="976" w:type="dxa"/>
            <w:tcBorders>
              <w:top w:val="single" w:sz="4" w:space="0" w:color="auto"/>
              <w:left w:val="nil"/>
              <w:bottom w:val="nil"/>
              <w:right w:val="nil"/>
            </w:tcBorders>
            <w:shd w:val="clear" w:color="auto" w:fill="auto"/>
            <w:noWrap/>
            <w:vAlign w:val="bottom"/>
            <w:hideMark/>
          </w:tcPr>
          <w:p w14:paraId="3DF7CE01" w14:textId="77777777" w:rsidR="00C537A7" w:rsidRDefault="00C537A7" w:rsidP="00DA3056">
            <w:pPr>
              <w:jc w:val="right"/>
              <w:rPr>
                <w:rFonts w:ascii="Calibri" w:hAnsi="Calibri" w:cs="Calibri"/>
                <w:color w:val="007800"/>
              </w:rPr>
            </w:pPr>
            <w:r>
              <w:rPr>
                <w:rFonts w:ascii="Calibri" w:hAnsi="Calibri" w:cs="Calibri"/>
                <w:color w:val="007800"/>
              </w:rPr>
              <w:t>0</w:t>
            </w:r>
          </w:p>
        </w:tc>
        <w:tc>
          <w:tcPr>
            <w:tcW w:w="976" w:type="dxa"/>
            <w:tcBorders>
              <w:top w:val="single" w:sz="4" w:space="0" w:color="auto"/>
              <w:left w:val="nil"/>
              <w:bottom w:val="nil"/>
              <w:right w:val="nil"/>
            </w:tcBorders>
            <w:shd w:val="clear" w:color="auto" w:fill="auto"/>
            <w:noWrap/>
            <w:vAlign w:val="bottom"/>
            <w:hideMark/>
          </w:tcPr>
          <w:p w14:paraId="66A6CD22" w14:textId="77777777" w:rsidR="00C537A7" w:rsidRDefault="00C537A7" w:rsidP="00DA3056">
            <w:pPr>
              <w:jc w:val="right"/>
              <w:rPr>
                <w:rFonts w:ascii="Calibri" w:hAnsi="Calibri" w:cs="Calibri"/>
                <w:color w:val="007800"/>
              </w:rPr>
            </w:pPr>
            <w:r>
              <w:rPr>
                <w:rFonts w:ascii="Calibri" w:hAnsi="Calibri" w:cs="Calibri"/>
                <w:color w:val="007800"/>
              </w:rPr>
              <w:t>53</w:t>
            </w:r>
          </w:p>
        </w:tc>
        <w:tc>
          <w:tcPr>
            <w:tcW w:w="976" w:type="dxa"/>
            <w:tcBorders>
              <w:top w:val="single" w:sz="4" w:space="0" w:color="auto"/>
              <w:left w:val="nil"/>
              <w:bottom w:val="nil"/>
              <w:right w:val="nil"/>
            </w:tcBorders>
            <w:shd w:val="clear" w:color="auto" w:fill="auto"/>
            <w:noWrap/>
            <w:vAlign w:val="bottom"/>
            <w:hideMark/>
          </w:tcPr>
          <w:p w14:paraId="28188A36" w14:textId="77777777" w:rsidR="00C537A7" w:rsidRDefault="00C537A7" w:rsidP="00DA3056">
            <w:pPr>
              <w:jc w:val="right"/>
              <w:rPr>
                <w:rFonts w:ascii="Calibri" w:hAnsi="Calibri" w:cs="Calibri"/>
                <w:color w:val="007800"/>
              </w:rPr>
            </w:pPr>
            <w:r>
              <w:rPr>
                <w:rFonts w:ascii="Calibri" w:hAnsi="Calibri" w:cs="Calibri"/>
                <w:color w:val="007800"/>
              </w:rPr>
              <w:t>7.780</w:t>
            </w:r>
          </w:p>
        </w:tc>
        <w:tc>
          <w:tcPr>
            <w:tcW w:w="976" w:type="dxa"/>
            <w:tcBorders>
              <w:top w:val="single" w:sz="4" w:space="0" w:color="auto"/>
              <w:left w:val="nil"/>
              <w:bottom w:val="nil"/>
              <w:right w:val="nil"/>
            </w:tcBorders>
            <w:shd w:val="clear" w:color="auto" w:fill="auto"/>
            <w:noWrap/>
            <w:vAlign w:val="bottom"/>
            <w:hideMark/>
          </w:tcPr>
          <w:p w14:paraId="507B12EE" w14:textId="77777777" w:rsidR="00C537A7" w:rsidRDefault="00C537A7" w:rsidP="00DA3056">
            <w:pPr>
              <w:jc w:val="right"/>
              <w:rPr>
                <w:rFonts w:ascii="Calibri" w:hAnsi="Calibri" w:cs="Calibri"/>
                <w:color w:val="007800"/>
              </w:rPr>
            </w:pPr>
            <w:r>
              <w:rPr>
                <w:rFonts w:ascii="Calibri" w:hAnsi="Calibri" w:cs="Calibri"/>
                <w:color w:val="007800"/>
              </w:rPr>
              <w:t>10.028</w:t>
            </w:r>
          </w:p>
        </w:tc>
        <w:tc>
          <w:tcPr>
            <w:tcW w:w="976" w:type="dxa"/>
            <w:tcBorders>
              <w:top w:val="single" w:sz="4" w:space="0" w:color="auto"/>
              <w:left w:val="nil"/>
              <w:bottom w:val="nil"/>
              <w:right w:val="nil"/>
            </w:tcBorders>
            <w:shd w:val="clear" w:color="auto" w:fill="auto"/>
            <w:noWrap/>
            <w:vAlign w:val="bottom"/>
            <w:hideMark/>
          </w:tcPr>
          <w:p w14:paraId="1C922215" w14:textId="77777777" w:rsidR="00C537A7" w:rsidRDefault="00C537A7" w:rsidP="00DA3056">
            <w:pPr>
              <w:jc w:val="right"/>
              <w:rPr>
                <w:rFonts w:ascii="Calibri" w:hAnsi="Calibri" w:cs="Calibri"/>
                <w:color w:val="007800"/>
              </w:rPr>
            </w:pPr>
            <w:r>
              <w:rPr>
                <w:rFonts w:ascii="Calibri" w:hAnsi="Calibri" w:cs="Calibri"/>
                <w:color w:val="007800"/>
              </w:rPr>
              <w:t>9.060</w:t>
            </w:r>
          </w:p>
        </w:tc>
        <w:tc>
          <w:tcPr>
            <w:tcW w:w="976" w:type="dxa"/>
            <w:tcBorders>
              <w:top w:val="single" w:sz="4" w:space="0" w:color="auto"/>
              <w:left w:val="nil"/>
              <w:bottom w:val="nil"/>
              <w:right w:val="nil"/>
            </w:tcBorders>
            <w:shd w:val="clear" w:color="auto" w:fill="auto"/>
            <w:noWrap/>
            <w:vAlign w:val="bottom"/>
            <w:hideMark/>
          </w:tcPr>
          <w:p w14:paraId="2D324F81" w14:textId="77777777" w:rsidR="00C537A7" w:rsidRDefault="00C537A7" w:rsidP="00DA3056">
            <w:pPr>
              <w:jc w:val="right"/>
              <w:rPr>
                <w:rFonts w:ascii="Calibri" w:hAnsi="Calibri" w:cs="Calibri"/>
                <w:color w:val="007800"/>
              </w:rPr>
            </w:pPr>
            <w:r>
              <w:rPr>
                <w:rFonts w:ascii="Calibri" w:hAnsi="Calibri" w:cs="Calibri"/>
                <w:color w:val="007800"/>
              </w:rPr>
              <w:t>0.581</w:t>
            </w:r>
          </w:p>
        </w:tc>
      </w:tr>
      <w:tr w:rsidR="00C537A7" w14:paraId="2F4DD57D" w14:textId="77777777" w:rsidTr="00DA3056">
        <w:trPr>
          <w:trHeight w:val="300"/>
        </w:trPr>
        <w:tc>
          <w:tcPr>
            <w:tcW w:w="1039" w:type="dxa"/>
            <w:tcBorders>
              <w:top w:val="nil"/>
              <w:left w:val="nil"/>
              <w:bottom w:val="single" w:sz="8" w:space="0" w:color="auto"/>
              <w:right w:val="nil"/>
            </w:tcBorders>
            <w:shd w:val="clear" w:color="auto" w:fill="auto"/>
            <w:noWrap/>
            <w:vAlign w:val="bottom"/>
            <w:hideMark/>
          </w:tcPr>
          <w:p w14:paraId="4C5D60A2" w14:textId="77777777" w:rsidR="00C537A7" w:rsidRDefault="00C537A7" w:rsidP="00DA3056">
            <w:pPr>
              <w:rPr>
                <w:rFonts w:ascii="Calibri" w:hAnsi="Calibri" w:cs="Calibri"/>
                <w:color w:val="000000"/>
              </w:rPr>
            </w:pPr>
            <w:r>
              <w:rPr>
                <w:rFonts w:ascii="Calibri" w:hAnsi="Calibri" w:cs="Calibri"/>
                <w:color w:val="000000"/>
              </w:rPr>
              <w:t>Total Reads</w:t>
            </w:r>
          </w:p>
        </w:tc>
        <w:tc>
          <w:tcPr>
            <w:tcW w:w="1181" w:type="dxa"/>
            <w:tcBorders>
              <w:top w:val="nil"/>
              <w:left w:val="nil"/>
              <w:bottom w:val="single" w:sz="8" w:space="0" w:color="auto"/>
              <w:right w:val="nil"/>
            </w:tcBorders>
            <w:shd w:val="clear" w:color="auto" w:fill="auto"/>
            <w:noWrap/>
            <w:vAlign w:val="bottom"/>
            <w:hideMark/>
          </w:tcPr>
          <w:p w14:paraId="35510FFA" w14:textId="77777777" w:rsidR="00C537A7" w:rsidRDefault="00C537A7" w:rsidP="00DA3056">
            <w:pPr>
              <w:jc w:val="right"/>
              <w:rPr>
                <w:rFonts w:ascii="Calibri" w:hAnsi="Calibri" w:cs="Calibri"/>
                <w:color w:val="000000"/>
              </w:rPr>
            </w:pPr>
            <w:r>
              <w:rPr>
                <w:rFonts w:ascii="Calibri" w:hAnsi="Calibri" w:cs="Calibri"/>
                <w:color w:val="000000"/>
              </w:rPr>
              <w:t>53</w:t>
            </w:r>
          </w:p>
        </w:tc>
        <w:tc>
          <w:tcPr>
            <w:tcW w:w="976" w:type="dxa"/>
            <w:tcBorders>
              <w:top w:val="nil"/>
              <w:left w:val="nil"/>
              <w:bottom w:val="single" w:sz="8" w:space="0" w:color="auto"/>
              <w:right w:val="nil"/>
            </w:tcBorders>
            <w:shd w:val="clear" w:color="auto" w:fill="auto"/>
            <w:noWrap/>
            <w:vAlign w:val="bottom"/>
            <w:hideMark/>
          </w:tcPr>
          <w:p w14:paraId="01DEBD98" w14:textId="77777777" w:rsidR="00C537A7" w:rsidRDefault="00C537A7" w:rsidP="00DA3056">
            <w:pPr>
              <w:jc w:val="right"/>
              <w:rPr>
                <w:rFonts w:ascii="Calibri" w:hAnsi="Calibri" w:cs="Calibri"/>
                <w:color w:val="000000"/>
              </w:rPr>
            </w:pPr>
            <w:r>
              <w:rPr>
                <w:rFonts w:ascii="Calibri" w:hAnsi="Calibri" w:cs="Calibri"/>
                <w:color w:val="000000"/>
              </w:rPr>
              <w:t>0</w:t>
            </w:r>
          </w:p>
        </w:tc>
        <w:tc>
          <w:tcPr>
            <w:tcW w:w="976" w:type="dxa"/>
            <w:tcBorders>
              <w:top w:val="nil"/>
              <w:left w:val="nil"/>
              <w:bottom w:val="single" w:sz="8" w:space="0" w:color="auto"/>
              <w:right w:val="nil"/>
            </w:tcBorders>
            <w:shd w:val="clear" w:color="auto" w:fill="auto"/>
            <w:noWrap/>
            <w:vAlign w:val="bottom"/>
            <w:hideMark/>
          </w:tcPr>
          <w:p w14:paraId="591C268A" w14:textId="77777777" w:rsidR="00C537A7" w:rsidRDefault="00C537A7" w:rsidP="00DA3056">
            <w:pPr>
              <w:jc w:val="right"/>
              <w:rPr>
                <w:rFonts w:ascii="Calibri" w:hAnsi="Calibri" w:cs="Calibri"/>
                <w:color w:val="000000"/>
              </w:rPr>
            </w:pPr>
            <w:r>
              <w:rPr>
                <w:rFonts w:ascii="Calibri" w:hAnsi="Calibri" w:cs="Calibri"/>
                <w:color w:val="000000"/>
              </w:rPr>
              <w:t>53</w:t>
            </w:r>
          </w:p>
        </w:tc>
        <w:tc>
          <w:tcPr>
            <w:tcW w:w="976" w:type="dxa"/>
            <w:tcBorders>
              <w:top w:val="nil"/>
              <w:left w:val="nil"/>
              <w:bottom w:val="single" w:sz="8" w:space="0" w:color="auto"/>
              <w:right w:val="nil"/>
            </w:tcBorders>
            <w:shd w:val="clear" w:color="auto" w:fill="auto"/>
            <w:noWrap/>
            <w:vAlign w:val="bottom"/>
            <w:hideMark/>
          </w:tcPr>
          <w:p w14:paraId="27FF706D" w14:textId="77777777" w:rsidR="00C537A7" w:rsidRDefault="00C537A7" w:rsidP="00DA3056">
            <w:pPr>
              <w:jc w:val="right"/>
              <w:rPr>
                <w:rFonts w:ascii="Calibri" w:hAnsi="Calibri" w:cs="Calibri"/>
                <w:color w:val="000000"/>
              </w:rPr>
            </w:pPr>
            <w:r>
              <w:rPr>
                <w:rFonts w:ascii="Calibri" w:hAnsi="Calibri" w:cs="Calibri"/>
                <w:color w:val="000000"/>
              </w:rPr>
              <w:t>2.305</w:t>
            </w:r>
          </w:p>
        </w:tc>
        <w:tc>
          <w:tcPr>
            <w:tcW w:w="976" w:type="dxa"/>
            <w:tcBorders>
              <w:top w:val="nil"/>
              <w:left w:val="nil"/>
              <w:bottom w:val="single" w:sz="8" w:space="0" w:color="auto"/>
              <w:right w:val="nil"/>
            </w:tcBorders>
            <w:shd w:val="clear" w:color="auto" w:fill="auto"/>
            <w:noWrap/>
            <w:vAlign w:val="bottom"/>
            <w:hideMark/>
          </w:tcPr>
          <w:p w14:paraId="0D88CC7C" w14:textId="77777777" w:rsidR="00C537A7" w:rsidRDefault="00C537A7" w:rsidP="00DA3056">
            <w:pPr>
              <w:jc w:val="right"/>
              <w:rPr>
                <w:rFonts w:ascii="Calibri" w:hAnsi="Calibri" w:cs="Calibri"/>
                <w:color w:val="000000"/>
              </w:rPr>
            </w:pPr>
            <w:r>
              <w:rPr>
                <w:rFonts w:ascii="Calibri" w:hAnsi="Calibri" w:cs="Calibri"/>
                <w:color w:val="000000"/>
              </w:rPr>
              <w:t>7.593</w:t>
            </w:r>
          </w:p>
        </w:tc>
        <w:tc>
          <w:tcPr>
            <w:tcW w:w="976" w:type="dxa"/>
            <w:tcBorders>
              <w:top w:val="nil"/>
              <w:left w:val="nil"/>
              <w:bottom w:val="single" w:sz="8" w:space="0" w:color="auto"/>
              <w:right w:val="nil"/>
            </w:tcBorders>
            <w:shd w:val="clear" w:color="auto" w:fill="auto"/>
            <w:noWrap/>
            <w:vAlign w:val="bottom"/>
            <w:hideMark/>
          </w:tcPr>
          <w:p w14:paraId="54195E14" w14:textId="77777777" w:rsidR="00C537A7" w:rsidRDefault="00C537A7" w:rsidP="00DA3056">
            <w:pPr>
              <w:jc w:val="right"/>
              <w:rPr>
                <w:rFonts w:ascii="Calibri" w:hAnsi="Calibri" w:cs="Calibri"/>
                <w:color w:val="000000"/>
              </w:rPr>
            </w:pPr>
            <w:r>
              <w:rPr>
                <w:rFonts w:ascii="Calibri" w:hAnsi="Calibri" w:cs="Calibri"/>
                <w:color w:val="000000"/>
              </w:rPr>
              <w:t>4.796</w:t>
            </w:r>
          </w:p>
        </w:tc>
        <w:tc>
          <w:tcPr>
            <w:tcW w:w="976" w:type="dxa"/>
            <w:tcBorders>
              <w:top w:val="nil"/>
              <w:left w:val="nil"/>
              <w:bottom w:val="single" w:sz="8" w:space="0" w:color="auto"/>
              <w:right w:val="nil"/>
            </w:tcBorders>
            <w:shd w:val="clear" w:color="auto" w:fill="auto"/>
            <w:noWrap/>
            <w:vAlign w:val="bottom"/>
            <w:hideMark/>
          </w:tcPr>
          <w:p w14:paraId="6C3B0579" w14:textId="77777777" w:rsidR="00C537A7" w:rsidRDefault="00C537A7" w:rsidP="00DA3056">
            <w:pPr>
              <w:jc w:val="right"/>
              <w:rPr>
                <w:rFonts w:ascii="Calibri" w:hAnsi="Calibri" w:cs="Calibri"/>
                <w:color w:val="000000"/>
              </w:rPr>
            </w:pPr>
            <w:r>
              <w:rPr>
                <w:rFonts w:ascii="Calibri" w:hAnsi="Calibri" w:cs="Calibri"/>
                <w:color w:val="000000"/>
              </w:rPr>
              <w:t>1.250</w:t>
            </w:r>
          </w:p>
        </w:tc>
      </w:tr>
    </w:tbl>
    <w:p w14:paraId="5803F0DA" w14:textId="77777777" w:rsidR="00C537A7" w:rsidRDefault="00C537A7" w:rsidP="00C537A7"/>
    <w:p w14:paraId="2A3BD03C" w14:textId="77777777" w:rsidR="00C537A7" w:rsidRDefault="00C537A7" w:rsidP="00C537A7">
      <w:r>
        <w:t>Regression of variable AMELX (CI):</w:t>
      </w:r>
    </w:p>
    <w:p w14:paraId="53B05CFF" w14:textId="77777777" w:rsidR="00C537A7" w:rsidRDefault="00C537A7" w:rsidP="00C537A7">
      <w:r>
        <w:t>Goodness of fit statistics (AMELX (CI)):</w:t>
      </w:r>
    </w:p>
    <w:tbl>
      <w:tblPr>
        <w:tblW w:w="2348" w:type="dxa"/>
        <w:tblLook w:val="04A0" w:firstRow="1" w:lastRow="0" w:firstColumn="1" w:lastColumn="0" w:noHBand="0" w:noVBand="1"/>
      </w:tblPr>
      <w:tblGrid>
        <w:gridCol w:w="1397"/>
        <w:gridCol w:w="976"/>
      </w:tblGrid>
      <w:tr w:rsidR="00C537A7" w14:paraId="049B1CFF" w14:textId="77777777" w:rsidTr="00DA3056">
        <w:trPr>
          <w:trHeight w:val="288"/>
        </w:trPr>
        <w:tc>
          <w:tcPr>
            <w:tcW w:w="1372" w:type="dxa"/>
            <w:tcBorders>
              <w:top w:val="single" w:sz="8" w:space="0" w:color="auto"/>
              <w:left w:val="nil"/>
              <w:bottom w:val="nil"/>
              <w:right w:val="nil"/>
            </w:tcBorders>
            <w:shd w:val="clear" w:color="auto" w:fill="auto"/>
            <w:noWrap/>
            <w:vAlign w:val="bottom"/>
            <w:hideMark/>
          </w:tcPr>
          <w:p w14:paraId="2FEC7C41" w14:textId="77777777" w:rsidR="00C537A7" w:rsidRDefault="00C537A7" w:rsidP="00DA3056">
            <w:pPr>
              <w:rPr>
                <w:rFonts w:ascii="Calibri" w:hAnsi="Calibri" w:cs="Calibri"/>
                <w:color w:val="000000"/>
              </w:rPr>
            </w:pPr>
            <w:r>
              <w:rPr>
                <w:rFonts w:ascii="Calibri" w:hAnsi="Calibri" w:cs="Calibri"/>
                <w:color w:val="000000"/>
              </w:rPr>
              <w:t>Observations</w:t>
            </w:r>
          </w:p>
        </w:tc>
        <w:tc>
          <w:tcPr>
            <w:tcW w:w="976" w:type="dxa"/>
            <w:tcBorders>
              <w:top w:val="single" w:sz="8" w:space="0" w:color="auto"/>
              <w:left w:val="nil"/>
              <w:bottom w:val="nil"/>
              <w:right w:val="nil"/>
            </w:tcBorders>
            <w:shd w:val="clear" w:color="auto" w:fill="auto"/>
            <w:noWrap/>
            <w:vAlign w:val="bottom"/>
            <w:hideMark/>
          </w:tcPr>
          <w:p w14:paraId="1E678662" w14:textId="77777777" w:rsidR="00C537A7" w:rsidRDefault="00C537A7" w:rsidP="00DA3056">
            <w:pPr>
              <w:jc w:val="right"/>
              <w:rPr>
                <w:rFonts w:ascii="Calibri" w:hAnsi="Calibri" w:cs="Calibri"/>
                <w:color w:val="000000"/>
              </w:rPr>
            </w:pPr>
            <w:r>
              <w:rPr>
                <w:rFonts w:ascii="Calibri" w:hAnsi="Calibri" w:cs="Calibri"/>
                <w:color w:val="000000"/>
              </w:rPr>
              <w:t>53.000</w:t>
            </w:r>
          </w:p>
        </w:tc>
      </w:tr>
      <w:tr w:rsidR="00C537A7" w14:paraId="226E013C" w14:textId="77777777" w:rsidTr="00DA3056">
        <w:trPr>
          <w:trHeight w:val="288"/>
        </w:trPr>
        <w:tc>
          <w:tcPr>
            <w:tcW w:w="1372" w:type="dxa"/>
            <w:tcBorders>
              <w:top w:val="nil"/>
              <w:left w:val="nil"/>
              <w:bottom w:val="nil"/>
              <w:right w:val="nil"/>
            </w:tcBorders>
            <w:shd w:val="clear" w:color="auto" w:fill="auto"/>
            <w:noWrap/>
            <w:vAlign w:val="bottom"/>
            <w:hideMark/>
          </w:tcPr>
          <w:p w14:paraId="4DB40960" w14:textId="77777777" w:rsidR="00C537A7" w:rsidRDefault="00C537A7" w:rsidP="00DA3056">
            <w:pPr>
              <w:rPr>
                <w:rFonts w:ascii="Calibri" w:hAnsi="Calibri" w:cs="Calibri"/>
                <w:color w:val="000000"/>
              </w:rPr>
            </w:pPr>
            <w:r>
              <w:rPr>
                <w:rFonts w:ascii="Calibri" w:hAnsi="Calibri" w:cs="Calibri"/>
                <w:color w:val="000000"/>
              </w:rPr>
              <w:lastRenderedPageBreak/>
              <w:t>Sum of weights</w:t>
            </w:r>
          </w:p>
        </w:tc>
        <w:tc>
          <w:tcPr>
            <w:tcW w:w="976" w:type="dxa"/>
            <w:tcBorders>
              <w:top w:val="nil"/>
              <w:left w:val="nil"/>
              <w:bottom w:val="nil"/>
              <w:right w:val="nil"/>
            </w:tcBorders>
            <w:shd w:val="clear" w:color="auto" w:fill="auto"/>
            <w:noWrap/>
            <w:vAlign w:val="bottom"/>
            <w:hideMark/>
          </w:tcPr>
          <w:p w14:paraId="0ED87E32" w14:textId="77777777" w:rsidR="00C537A7" w:rsidRDefault="00C537A7" w:rsidP="00DA3056">
            <w:pPr>
              <w:jc w:val="right"/>
              <w:rPr>
                <w:rFonts w:ascii="Calibri" w:hAnsi="Calibri" w:cs="Calibri"/>
                <w:color w:val="000000"/>
              </w:rPr>
            </w:pPr>
            <w:r>
              <w:rPr>
                <w:rFonts w:ascii="Calibri" w:hAnsi="Calibri" w:cs="Calibri"/>
                <w:color w:val="000000"/>
              </w:rPr>
              <w:t>53.000</w:t>
            </w:r>
          </w:p>
        </w:tc>
      </w:tr>
      <w:tr w:rsidR="00C537A7" w14:paraId="5E1F4BD5" w14:textId="77777777" w:rsidTr="00DA3056">
        <w:trPr>
          <w:trHeight w:val="288"/>
        </w:trPr>
        <w:tc>
          <w:tcPr>
            <w:tcW w:w="1372" w:type="dxa"/>
            <w:tcBorders>
              <w:top w:val="nil"/>
              <w:left w:val="nil"/>
              <w:bottom w:val="nil"/>
              <w:right w:val="nil"/>
            </w:tcBorders>
            <w:shd w:val="clear" w:color="auto" w:fill="auto"/>
            <w:noWrap/>
            <w:vAlign w:val="bottom"/>
            <w:hideMark/>
          </w:tcPr>
          <w:p w14:paraId="71320FB2" w14:textId="77777777" w:rsidR="00C537A7" w:rsidRDefault="00C537A7" w:rsidP="00DA3056">
            <w:pPr>
              <w:rPr>
                <w:rFonts w:ascii="Calibri" w:hAnsi="Calibri" w:cs="Calibri"/>
                <w:color w:val="000000"/>
              </w:rPr>
            </w:pPr>
            <w:r>
              <w:rPr>
                <w:rFonts w:ascii="Calibri" w:hAnsi="Calibri" w:cs="Calibri"/>
                <w:color w:val="000000"/>
              </w:rPr>
              <w:t>DF</w:t>
            </w:r>
          </w:p>
        </w:tc>
        <w:tc>
          <w:tcPr>
            <w:tcW w:w="976" w:type="dxa"/>
            <w:tcBorders>
              <w:top w:val="nil"/>
              <w:left w:val="nil"/>
              <w:bottom w:val="nil"/>
              <w:right w:val="nil"/>
            </w:tcBorders>
            <w:shd w:val="clear" w:color="auto" w:fill="auto"/>
            <w:noWrap/>
            <w:vAlign w:val="bottom"/>
            <w:hideMark/>
          </w:tcPr>
          <w:p w14:paraId="289102A5" w14:textId="77777777" w:rsidR="00C537A7" w:rsidRDefault="00C537A7" w:rsidP="00DA3056">
            <w:pPr>
              <w:jc w:val="right"/>
              <w:rPr>
                <w:rFonts w:ascii="Calibri" w:hAnsi="Calibri" w:cs="Calibri"/>
                <w:color w:val="000000"/>
              </w:rPr>
            </w:pPr>
            <w:r>
              <w:rPr>
                <w:rFonts w:ascii="Calibri" w:hAnsi="Calibri" w:cs="Calibri"/>
                <w:color w:val="000000"/>
              </w:rPr>
              <w:t>51.000</w:t>
            </w:r>
          </w:p>
        </w:tc>
      </w:tr>
      <w:tr w:rsidR="00C537A7" w14:paraId="47A5DB4F" w14:textId="77777777" w:rsidTr="00DA3056">
        <w:trPr>
          <w:trHeight w:val="288"/>
        </w:trPr>
        <w:tc>
          <w:tcPr>
            <w:tcW w:w="1372" w:type="dxa"/>
            <w:tcBorders>
              <w:top w:val="nil"/>
              <w:left w:val="nil"/>
              <w:bottom w:val="nil"/>
              <w:right w:val="nil"/>
            </w:tcBorders>
            <w:shd w:val="clear" w:color="auto" w:fill="auto"/>
            <w:noWrap/>
            <w:vAlign w:val="bottom"/>
            <w:hideMark/>
          </w:tcPr>
          <w:p w14:paraId="71AD06B0" w14:textId="77777777" w:rsidR="00C537A7" w:rsidRDefault="00C537A7" w:rsidP="00DA3056">
            <w:pPr>
              <w:rPr>
                <w:rFonts w:ascii="Calibri" w:hAnsi="Calibri" w:cs="Calibri"/>
                <w:color w:val="000000"/>
              </w:rPr>
            </w:pPr>
            <w:r>
              <w:rPr>
                <w:rFonts w:ascii="Calibri" w:hAnsi="Calibri" w:cs="Calibri"/>
                <w:color w:val="000000"/>
              </w:rPr>
              <w:t>R²</w:t>
            </w:r>
          </w:p>
        </w:tc>
        <w:tc>
          <w:tcPr>
            <w:tcW w:w="976" w:type="dxa"/>
            <w:tcBorders>
              <w:top w:val="nil"/>
              <w:left w:val="nil"/>
              <w:bottom w:val="nil"/>
              <w:right w:val="nil"/>
            </w:tcBorders>
            <w:shd w:val="clear" w:color="auto" w:fill="auto"/>
            <w:noWrap/>
            <w:vAlign w:val="bottom"/>
            <w:hideMark/>
          </w:tcPr>
          <w:p w14:paraId="15E685C0" w14:textId="77777777" w:rsidR="00C537A7" w:rsidRDefault="00C537A7" w:rsidP="00DA3056">
            <w:pPr>
              <w:jc w:val="right"/>
              <w:rPr>
                <w:rFonts w:ascii="Calibri" w:hAnsi="Calibri" w:cs="Calibri"/>
                <w:color w:val="000000"/>
              </w:rPr>
            </w:pPr>
            <w:r>
              <w:rPr>
                <w:rFonts w:ascii="Calibri" w:hAnsi="Calibri" w:cs="Calibri"/>
                <w:color w:val="000000"/>
              </w:rPr>
              <w:t>0.056</w:t>
            </w:r>
          </w:p>
        </w:tc>
      </w:tr>
      <w:tr w:rsidR="00C537A7" w14:paraId="182CECF7" w14:textId="77777777" w:rsidTr="00DA3056">
        <w:trPr>
          <w:trHeight w:val="288"/>
        </w:trPr>
        <w:tc>
          <w:tcPr>
            <w:tcW w:w="1372" w:type="dxa"/>
            <w:tcBorders>
              <w:top w:val="nil"/>
              <w:left w:val="nil"/>
              <w:bottom w:val="nil"/>
              <w:right w:val="nil"/>
            </w:tcBorders>
            <w:shd w:val="clear" w:color="auto" w:fill="auto"/>
            <w:noWrap/>
            <w:vAlign w:val="bottom"/>
            <w:hideMark/>
          </w:tcPr>
          <w:p w14:paraId="40DB4742" w14:textId="77777777" w:rsidR="00C537A7" w:rsidRDefault="00C537A7" w:rsidP="00DA3056">
            <w:pPr>
              <w:rPr>
                <w:rFonts w:ascii="Calibri" w:hAnsi="Calibri" w:cs="Calibri"/>
                <w:color w:val="000000"/>
              </w:rPr>
            </w:pPr>
            <w:r>
              <w:rPr>
                <w:rFonts w:ascii="Calibri" w:hAnsi="Calibri" w:cs="Calibri"/>
                <w:color w:val="000000"/>
              </w:rPr>
              <w:t>Adjusted R²</w:t>
            </w:r>
          </w:p>
        </w:tc>
        <w:tc>
          <w:tcPr>
            <w:tcW w:w="976" w:type="dxa"/>
            <w:tcBorders>
              <w:top w:val="nil"/>
              <w:left w:val="nil"/>
              <w:bottom w:val="nil"/>
              <w:right w:val="nil"/>
            </w:tcBorders>
            <w:shd w:val="clear" w:color="auto" w:fill="auto"/>
            <w:noWrap/>
            <w:vAlign w:val="bottom"/>
            <w:hideMark/>
          </w:tcPr>
          <w:p w14:paraId="3749757C" w14:textId="77777777" w:rsidR="00C537A7" w:rsidRDefault="00C537A7" w:rsidP="00DA3056">
            <w:pPr>
              <w:jc w:val="right"/>
              <w:rPr>
                <w:rFonts w:ascii="Calibri" w:hAnsi="Calibri" w:cs="Calibri"/>
                <w:color w:val="000000"/>
              </w:rPr>
            </w:pPr>
            <w:r>
              <w:rPr>
                <w:rFonts w:ascii="Calibri" w:hAnsi="Calibri" w:cs="Calibri"/>
                <w:color w:val="000000"/>
              </w:rPr>
              <w:t>0.037</w:t>
            </w:r>
          </w:p>
        </w:tc>
      </w:tr>
      <w:tr w:rsidR="00C537A7" w14:paraId="45F00B20" w14:textId="77777777" w:rsidTr="00DA3056">
        <w:trPr>
          <w:trHeight w:val="288"/>
        </w:trPr>
        <w:tc>
          <w:tcPr>
            <w:tcW w:w="1372" w:type="dxa"/>
            <w:tcBorders>
              <w:top w:val="nil"/>
              <w:left w:val="nil"/>
              <w:bottom w:val="nil"/>
              <w:right w:val="nil"/>
            </w:tcBorders>
            <w:shd w:val="clear" w:color="auto" w:fill="auto"/>
            <w:noWrap/>
            <w:vAlign w:val="bottom"/>
            <w:hideMark/>
          </w:tcPr>
          <w:p w14:paraId="0E8B8E2F" w14:textId="77777777" w:rsidR="00C537A7" w:rsidRDefault="00C537A7" w:rsidP="00DA3056">
            <w:pPr>
              <w:rPr>
                <w:rFonts w:ascii="Calibri" w:hAnsi="Calibri" w:cs="Calibri"/>
                <w:color w:val="000000"/>
              </w:rPr>
            </w:pPr>
            <w:r>
              <w:rPr>
                <w:rFonts w:ascii="Calibri" w:hAnsi="Calibri" w:cs="Calibri"/>
                <w:color w:val="000000"/>
              </w:rPr>
              <w:t>MSE</w:t>
            </w:r>
          </w:p>
        </w:tc>
        <w:tc>
          <w:tcPr>
            <w:tcW w:w="976" w:type="dxa"/>
            <w:tcBorders>
              <w:top w:val="nil"/>
              <w:left w:val="nil"/>
              <w:bottom w:val="nil"/>
              <w:right w:val="nil"/>
            </w:tcBorders>
            <w:shd w:val="clear" w:color="auto" w:fill="auto"/>
            <w:noWrap/>
            <w:vAlign w:val="bottom"/>
            <w:hideMark/>
          </w:tcPr>
          <w:p w14:paraId="1ADA5B5F" w14:textId="77777777" w:rsidR="00C537A7" w:rsidRDefault="00C537A7" w:rsidP="00DA3056">
            <w:pPr>
              <w:jc w:val="right"/>
              <w:rPr>
                <w:rFonts w:ascii="Calibri" w:hAnsi="Calibri" w:cs="Calibri"/>
                <w:color w:val="000000"/>
              </w:rPr>
            </w:pPr>
            <w:r>
              <w:rPr>
                <w:rFonts w:ascii="Calibri" w:hAnsi="Calibri" w:cs="Calibri"/>
                <w:color w:val="000000"/>
              </w:rPr>
              <w:t>0.325</w:t>
            </w:r>
          </w:p>
        </w:tc>
      </w:tr>
      <w:tr w:rsidR="00C537A7" w14:paraId="4FE49F64" w14:textId="77777777" w:rsidTr="00DA3056">
        <w:trPr>
          <w:trHeight w:val="288"/>
        </w:trPr>
        <w:tc>
          <w:tcPr>
            <w:tcW w:w="1372" w:type="dxa"/>
            <w:tcBorders>
              <w:top w:val="nil"/>
              <w:left w:val="nil"/>
              <w:bottom w:val="nil"/>
              <w:right w:val="nil"/>
            </w:tcBorders>
            <w:shd w:val="clear" w:color="auto" w:fill="auto"/>
            <w:noWrap/>
            <w:vAlign w:val="bottom"/>
            <w:hideMark/>
          </w:tcPr>
          <w:p w14:paraId="24E7ACA2" w14:textId="77777777" w:rsidR="00C537A7" w:rsidRDefault="00C537A7" w:rsidP="00DA3056">
            <w:pPr>
              <w:rPr>
                <w:rFonts w:ascii="Calibri" w:hAnsi="Calibri" w:cs="Calibri"/>
                <w:color w:val="000000"/>
              </w:rPr>
            </w:pPr>
            <w:r>
              <w:rPr>
                <w:rFonts w:ascii="Calibri" w:hAnsi="Calibri" w:cs="Calibri"/>
                <w:color w:val="000000"/>
              </w:rPr>
              <w:t>RMSE</w:t>
            </w:r>
          </w:p>
        </w:tc>
        <w:tc>
          <w:tcPr>
            <w:tcW w:w="976" w:type="dxa"/>
            <w:tcBorders>
              <w:top w:val="nil"/>
              <w:left w:val="nil"/>
              <w:bottom w:val="nil"/>
              <w:right w:val="nil"/>
            </w:tcBorders>
            <w:shd w:val="clear" w:color="auto" w:fill="auto"/>
            <w:noWrap/>
            <w:vAlign w:val="bottom"/>
            <w:hideMark/>
          </w:tcPr>
          <w:p w14:paraId="66D68CCE" w14:textId="77777777" w:rsidR="00C537A7" w:rsidRDefault="00C537A7" w:rsidP="00DA3056">
            <w:pPr>
              <w:jc w:val="right"/>
              <w:rPr>
                <w:rFonts w:ascii="Calibri" w:hAnsi="Calibri" w:cs="Calibri"/>
                <w:color w:val="000000"/>
              </w:rPr>
            </w:pPr>
            <w:r>
              <w:rPr>
                <w:rFonts w:ascii="Calibri" w:hAnsi="Calibri" w:cs="Calibri"/>
                <w:color w:val="000000"/>
              </w:rPr>
              <w:t>0.570</w:t>
            </w:r>
          </w:p>
        </w:tc>
      </w:tr>
      <w:tr w:rsidR="00C537A7" w14:paraId="780317F9" w14:textId="77777777" w:rsidTr="00DA3056">
        <w:trPr>
          <w:trHeight w:val="288"/>
        </w:trPr>
        <w:tc>
          <w:tcPr>
            <w:tcW w:w="1372" w:type="dxa"/>
            <w:tcBorders>
              <w:top w:val="nil"/>
              <w:left w:val="nil"/>
              <w:bottom w:val="nil"/>
              <w:right w:val="nil"/>
            </w:tcBorders>
            <w:shd w:val="clear" w:color="auto" w:fill="auto"/>
            <w:noWrap/>
            <w:vAlign w:val="bottom"/>
            <w:hideMark/>
          </w:tcPr>
          <w:p w14:paraId="10C39007" w14:textId="77777777" w:rsidR="00C537A7" w:rsidRDefault="00C537A7" w:rsidP="00DA3056">
            <w:pPr>
              <w:rPr>
                <w:rFonts w:ascii="Calibri" w:hAnsi="Calibri" w:cs="Calibri"/>
                <w:color w:val="000000"/>
              </w:rPr>
            </w:pPr>
            <w:r>
              <w:rPr>
                <w:rFonts w:ascii="Calibri" w:hAnsi="Calibri" w:cs="Calibri"/>
                <w:color w:val="000000"/>
              </w:rPr>
              <w:t>MAPE</w:t>
            </w:r>
          </w:p>
        </w:tc>
        <w:tc>
          <w:tcPr>
            <w:tcW w:w="976" w:type="dxa"/>
            <w:tcBorders>
              <w:top w:val="nil"/>
              <w:left w:val="nil"/>
              <w:bottom w:val="nil"/>
              <w:right w:val="nil"/>
            </w:tcBorders>
            <w:shd w:val="clear" w:color="auto" w:fill="auto"/>
            <w:noWrap/>
            <w:vAlign w:val="bottom"/>
            <w:hideMark/>
          </w:tcPr>
          <w:p w14:paraId="39792812" w14:textId="77777777" w:rsidR="00C537A7" w:rsidRDefault="00C537A7" w:rsidP="00DA3056">
            <w:pPr>
              <w:jc w:val="right"/>
              <w:rPr>
                <w:rFonts w:ascii="Calibri" w:hAnsi="Calibri" w:cs="Calibri"/>
                <w:color w:val="000000"/>
              </w:rPr>
            </w:pPr>
            <w:r>
              <w:rPr>
                <w:rFonts w:ascii="Calibri" w:hAnsi="Calibri" w:cs="Calibri"/>
                <w:color w:val="000000"/>
              </w:rPr>
              <w:t>4.920</w:t>
            </w:r>
          </w:p>
        </w:tc>
      </w:tr>
      <w:tr w:rsidR="00C537A7" w14:paraId="0C7032F9" w14:textId="77777777" w:rsidTr="00DA3056">
        <w:trPr>
          <w:trHeight w:val="288"/>
        </w:trPr>
        <w:tc>
          <w:tcPr>
            <w:tcW w:w="1372" w:type="dxa"/>
            <w:tcBorders>
              <w:top w:val="nil"/>
              <w:left w:val="nil"/>
              <w:bottom w:val="nil"/>
              <w:right w:val="nil"/>
            </w:tcBorders>
            <w:shd w:val="clear" w:color="auto" w:fill="auto"/>
            <w:noWrap/>
            <w:vAlign w:val="bottom"/>
            <w:hideMark/>
          </w:tcPr>
          <w:p w14:paraId="29BB98B4" w14:textId="77777777" w:rsidR="00C537A7" w:rsidRDefault="00C537A7" w:rsidP="00DA3056">
            <w:pPr>
              <w:rPr>
                <w:rFonts w:ascii="Calibri" w:hAnsi="Calibri" w:cs="Calibri"/>
                <w:color w:val="000000"/>
              </w:rPr>
            </w:pPr>
            <w:r>
              <w:rPr>
                <w:rFonts w:ascii="Calibri" w:hAnsi="Calibri" w:cs="Calibri"/>
                <w:color w:val="000000"/>
              </w:rPr>
              <w:t>DW</w:t>
            </w:r>
          </w:p>
        </w:tc>
        <w:tc>
          <w:tcPr>
            <w:tcW w:w="976" w:type="dxa"/>
            <w:tcBorders>
              <w:top w:val="nil"/>
              <w:left w:val="nil"/>
              <w:bottom w:val="nil"/>
              <w:right w:val="nil"/>
            </w:tcBorders>
            <w:shd w:val="clear" w:color="auto" w:fill="auto"/>
            <w:noWrap/>
            <w:vAlign w:val="bottom"/>
            <w:hideMark/>
          </w:tcPr>
          <w:p w14:paraId="1CDE04F0" w14:textId="77777777" w:rsidR="00C537A7" w:rsidRDefault="00C537A7" w:rsidP="00DA3056">
            <w:pPr>
              <w:jc w:val="right"/>
              <w:rPr>
                <w:rFonts w:ascii="Calibri" w:hAnsi="Calibri" w:cs="Calibri"/>
                <w:color w:val="000000"/>
              </w:rPr>
            </w:pPr>
            <w:r>
              <w:rPr>
                <w:rFonts w:ascii="Calibri" w:hAnsi="Calibri" w:cs="Calibri"/>
                <w:color w:val="000000"/>
              </w:rPr>
              <w:t>2.256</w:t>
            </w:r>
          </w:p>
        </w:tc>
      </w:tr>
      <w:tr w:rsidR="00C537A7" w14:paraId="68398BDE" w14:textId="77777777" w:rsidTr="00DA3056">
        <w:trPr>
          <w:trHeight w:val="288"/>
        </w:trPr>
        <w:tc>
          <w:tcPr>
            <w:tcW w:w="1372" w:type="dxa"/>
            <w:tcBorders>
              <w:top w:val="nil"/>
              <w:left w:val="nil"/>
              <w:bottom w:val="nil"/>
              <w:right w:val="nil"/>
            </w:tcBorders>
            <w:shd w:val="clear" w:color="auto" w:fill="auto"/>
            <w:noWrap/>
            <w:vAlign w:val="bottom"/>
            <w:hideMark/>
          </w:tcPr>
          <w:p w14:paraId="47602E62" w14:textId="77777777" w:rsidR="00C537A7" w:rsidRDefault="00C537A7" w:rsidP="00DA3056">
            <w:pPr>
              <w:rPr>
                <w:rFonts w:ascii="Calibri" w:hAnsi="Calibri" w:cs="Calibri"/>
                <w:color w:val="000000"/>
              </w:rPr>
            </w:pPr>
            <w:r>
              <w:rPr>
                <w:rFonts w:ascii="Calibri" w:hAnsi="Calibri" w:cs="Calibri"/>
                <w:color w:val="000000"/>
              </w:rPr>
              <w:t>Cp</w:t>
            </w:r>
          </w:p>
        </w:tc>
        <w:tc>
          <w:tcPr>
            <w:tcW w:w="976" w:type="dxa"/>
            <w:tcBorders>
              <w:top w:val="nil"/>
              <w:left w:val="nil"/>
              <w:bottom w:val="nil"/>
              <w:right w:val="nil"/>
            </w:tcBorders>
            <w:shd w:val="clear" w:color="auto" w:fill="auto"/>
            <w:noWrap/>
            <w:vAlign w:val="bottom"/>
            <w:hideMark/>
          </w:tcPr>
          <w:p w14:paraId="4FE03AB8" w14:textId="77777777" w:rsidR="00C537A7" w:rsidRDefault="00C537A7" w:rsidP="00DA3056">
            <w:pPr>
              <w:jc w:val="right"/>
              <w:rPr>
                <w:rFonts w:ascii="Calibri" w:hAnsi="Calibri" w:cs="Calibri"/>
                <w:color w:val="000000"/>
              </w:rPr>
            </w:pPr>
            <w:r>
              <w:rPr>
                <w:rFonts w:ascii="Calibri" w:hAnsi="Calibri" w:cs="Calibri"/>
                <w:color w:val="000000"/>
              </w:rPr>
              <w:t>2.000</w:t>
            </w:r>
          </w:p>
        </w:tc>
      </w:tr>
      <w:tr w:rsidR="00C537A7" w14:paraId="2CF990B5" w14:textId="77777777" w:rsidTr="00DA3056">
        <w:trPr>
          <w:trHeight w:val="288"/>
        </w:trPr>
        <w:tc>
          <w:tcPr>
            <w:tcW w:w="1372" w:type="dxa"/>
            <w:tcBorders>
              <w:top w:val="nil"/>
              <w:left w:val="nil"/>
              <w:bottom w:val="nil"/>
              <w:right w:val="nil"/>
            </w:tcBorders>
            <w:shd w:val="clear" w:color="auto" w:fill="auto"/>
            <w:noWrap/>
            <w:vAlign w:val="bottom"/>
            <w:hideMark/>
          </w:tcPr>
          <w:p w14:paraId="02B7BA7D" w14:textId="77777777" w:rsidR="00C537A7" w:rsidRDefault="00C537A7" w:rsidP="00DA3056">
            <w:pPr>
              <w:rPr>
                <w:rFonts w:ascii="Calibri" w:hAnsi="Calibri" w:cs="Calibri"/>
                <w:color w:val="000000"/>
              </w:rPr>
            </w:pPr>
            <w:r>
              <w:rPr>
                <w:rFonts w:ascii="Calibri" w:hAnsi="Calibri" w:cs="Calibri"/>
                <w:color w:val="000000"/>
              </w:rPr>
              <w:t>AIC</w:t>
            </w:r>
          </w:p>
        </w:tc>
        <w:tc>
          <w:tcPr>
            <w:tcW w:w="976" w:type="dxa"/>
            <w:tcBorders>
              <w:top w:val="nil"/>
              <w:left w:val="nil"/>
              <w:bottom w:val="nil"/>
              <w:right w:val="nil"/>
            </w:tcBorders>
            <w:shd w:val="clear" w:color="auto" w:fill="auto"/>
            <w:noWrap/>
            <w:vAlign w:val="bottom"/>
            <w:hideMark/>
          </w:tcPr>
          <w:p w14:paraId="5D7A0408" w14:textId="77777777" w:rsidR="00C537A7" w:rsidRDefault="00C537A7" w:rsidP="00DA3056">
            <w:pPr>
              <w:jc w:val="right"/>
              <w:rPr>
                <w:rFonts w:ascii="Calibri" w:hAnsi="Calibri" w:cs="Calibri"/>
                <w:color w:val="000000"/>
              </w:rPr>
            </w:pPr>
            <w:r>
              <w:rPr>
                <w:rFonts w:ascii="Calibri" w:hAnsi="Calibri" w:cs="Calibri"/>
                <w:color w:val="000000"/>
              </w:rPr>
              <w:t>-57.588</w:t>
            </w:r>
          </w:p>
        </w:tc>
      </w:tr>
      <w:tr w:rsidR="00C537A7" w14:paraId="31FEAF08" w14:textId="77777777" w:rsidTr="00DA3056">
        <w:trPr>
          <w:trHeight w:val="288"/>
        </w:trPr>
        <w:tc>
          <w:tcPr>
            <w:tcW w:w="1372" w:type="dxa"/>
            <w:tcBorders>
              <w:top w:val="nil"/>
              <w:left w:val="nil"/>
              <w:bottom w:val="nil"/>
              <w:right w:val="nil"/>
            </w:tcBorders>
            <w:shd w:val="clear" w:color="auto" w:fill="auto"/>
            <w:noWrap/>
            <w:vAlign w:val="bottom"/>
            <w:hideMark/>
          </w:tcPr>
          <w:p w14:paraId="7D314C83" w14:textId="77777777" w:rsidR="00C537A7" w:rsidRDefault="00C537A7" w:rsidP="00DA3056">
            <w:pPr>
              <w:rPr>
                <w:rFonts w:ascii="Calibri" w:hAnsi="Calibri" w:cs="Calibri"/>
                <w:color w:val="000000"/>
              </w:rPr>
            </w:pPr>
            <w:r>
              <w:rPr>
                <w:rFonts w:ascii="Calibri" w:hAnsi="Calibri" w:cs="Calibri"/>
                <w:color w:val="000000"/>
              </w:rPr>
              <w:t>SBC</w:t>
            </w:r>
          </w:p>
        </w:tc>
        <w:tc>
          <w:tcPr>
            <w:tcW w:w="976" w:type="dxa"/>
            <w:tcBorders>
              <w:top w:val="nil"/>
              <w:left w:val="nil"/>
              <w:bottom w:val="nil"/>
              <w:right w:val="nil"/>
            </w:tcBorders>
            <w:shd w:val="clear" w:color="auto" w:fill="auto"/>
            <w:noWrap/>
            <w:vAlign w:val="bottom"/>
            <w:hideMark/>
          </w:tcPr>
          <w:p w14:paraId="675138D8" w14:textId="77777777" w:rsidR="00C537A7" w:rsidRDefault="00C537A7" w:rsidP="00DA3056">
            <w:pPr>
              <w:jc w:val="right"/>
              <w:rPr>
                <w:rFonts w:ascii="Calibri" w:hAnsi="Calibri" w:cs="Calibri"/>
                <w:color w:val="000000"/>
              </w:rPr>
            </w:pPr>
            <w:r>
              <w:rPr>
                <w:rFonts w:ascii="Calibri" w:hAnsi="Calibri" w:cs="Calibri"/>
                <w:color w:val="000000"/>
              </w:rPr>
              <w:t>-53.648</w:t>
            </w:r>
          </w:p>
        </w:tc>
      </w:tr>
      <w:tr w:rsidR="00C537A7" w14:paraId="1E393848" w14:textId="77777777" w:rsidTr="00DA3056">
        <w:trPr>
          <w:trHeight w:val="300"/>
        </w:trPr>
        <w:tc>
          <w:tcPr>
            <w:tcW w:w="1372" w:type="dxa"/>
            <w:tcBorders>
              <w:top w:val="nil"/>
              <w:left w:val="nil"/>
              <w:bottom w:val="single" w:sz="8" w:space="0" w:color="auto"/>
              <w:right w:val="nil"/>
            </w:tcBorders>
            <w:shd w:val="clear" w:color="auto" w:fill="auto"/>
            <w:noWrap/>
            <w:vAlign w:val="bottom"/>
            <w:hideMark/>
          </w:tcPr>
          <w:p w14:paraId="128D835A" w14:textId="77777777" w:rsidR="00C537A7" w:rsidRDefault="00C537A7" w:rsidP="00DA3056">
            <w:pPr>
              <w:rPr>
                <w:rFonts w:ascii="Calibri" w:hAnsi="Calibri" w:cs="Calibri"/>
                <w:color w:val="000000"/>
              </w:rPr>
            </w:pPr>
            <w:r>
              <w:rPr>
                <w:rFonts w:ascii="Calibri" w:hAnsi="Calibri" w:cs="Calibri"/>
                <w:color w:val="000000"/>
              </w:rPr>
              <w:t>PC</w:t>
            </w:r>
          </w:p>
        </w:tc>
        <w:tc>
          <w:tcPr>
            <w:tcW w:w="976" w:type="dxa"/>
            <w:tcBorders>
              <w:top w:val="nil"/>
              <w:left w:val="nil"/>
              <w:bottom w:val="single" w:sz="8" w:space="0" w:color="auto"/>
              <w:right w:val="nil"/>
            </w:tcBorders>
            <w:shd w:val="clear" w:color="auto" w:fill="auto"/>
            <w:noWrap/>
            <w:vAlign w:val="bottom"/>
            <w:hideMark/>
          </w:tcPr>
          <w:p w14:paraId="59F4C512" w14:textId="77777777" w:rsidR="00C537A7" w:rsidRDefault="00C537A7" w:rsidP="00DA3056">
            <w:pPr>
              <w:jc w:val="right"/>
              <w:rPr>
                <w:rFonts w:ascii="Calibri" w:hAnsi="Calibri" w:cs="Calibri"/>
                <w:color w:val="000000"/>
              </w:rPr>
            </w:pPr>
            <w:r>
              <w:rPr>
                <w:rFonts w:ascii="Calibri" w:hAnsi="Calibri" w:cs="Calibri"/>
                <w:color w:val="000000"/>
              </w:rPr>
              <w:t>1.018</w:t>
            </w:r>
          </w:p>
        </w:tc>
      </w:tr>
    </w:tbl>
    <w:p w14:paraId="1430D57C" w14:textId="77777777" w:rsidR="00C537A7" w:rsidRDefault="00C537A7" w:rsidP="00C537A7"/>
    <w:p w14:paraId="307AB9C9" w14:textId="77777777" w:rsidR="00C537A7" w:rsidRDefault="00C537A7" w:rsidP="00C537A7"/>
    <w:p w14:paraId="6F360F49" w14:textId="77777777" w:rsidR="00C537A7" w:rsidRDefault="00C537A7" w:rsidP="00C537A7">
      <w:r>
        <w:t xml:space="preserve">Analysis of </w:t>
      </w:r>
      <w:proofErr w:type="gramStart"/>
      <w:r>
        <w:t>variance  (</w:t>
      </w:r>
      <w:proofErr w:type="gramEnd"/>
      <w:r>
        <w:t>AMELX (CI)):</w:t>
      </w:r>
    </w:p>
    <w:tbl>
      <w:tblPr>
        <w:tblW w:w="6271" w:type="dxa"/>
        <w:tblLook w:val="04A0" w:firstRow="1" w:lastRow="0" w:firstColumn="1" w:lastColumn="0" w:noHBand="0" w:noVBand="1"/>
      </w:tblPr>
      <w:tblGrid>
        <w:gridCol w:w="1391"/>
        <w:gridCol w:w="976"/>
        <w:gridCol w:w="976"/>
        <w:gridCol w:w="976"/>
        <w:gridCol w:w="976"/>
        <w:gridCol w:w="976"/>
      </w:tblGrid>
      <w:tr w:rsidR="00C537A7" w14:paraId="4B59C1A4" w14:textId="77777777" w:rsidTr="00DA3056">
        <w:trPr>
          <w:trHeight w:val="288"/>
        </w:trPr>
        <w:tc>
          <w:tcPr>
            <w:tcW w:w="1391" w:type="dxa"/>
            <w:tcBorders>
              <w:top w:val="single" w:sz="8" w:space="0" w:color="auto"/>
              <w:left w:val="nil"/>
              <w:bottom w:val="nil"/>
              <w:right w:val="nil"/>
            </w:tcBorders>
            <w:shd w:val="clear" w:color="auto" w:fill="auto"/>
            <w:noWrap/>
            <w:vAlign w:val="bottom"/>
            <w:hideMark/>
          </w:tcPr>
          <w:p w14:paraId="07F5575D" w14:textId="77777777" w:rsidR="00C537A7" w:rsidRDefault="00C537A7" w:rsidP="00DA3056">
            <w:pPr>
              <w:jc w:val="center"/>
              <w:rPr>
                <w:rFonts w:ascii="Calibri" w:hAnsi="Calibri" w:cs="Calibri"/>
                <w:color w:val="000000"/>
              </w:rPr>
            </w:pPr>
            <w:r>
              <w:rPr>
                <w:rFonts w:ascii="Calibri" w:hAnsi="Calibri" w:cs="Calibri"/>
                <w:color w:val="000000"/>
              </w:rPr>
              <w:t>Source</w:t>
            </w:r>
          </w:p>
        </w:tc>
        <w:tc>
          <w:tcPr>
            <w:tcW w:w="976" w:type="dxa"/>
            <w:tcBorders>
              <w:top w:val="single" w:sz="8" w:space="0" w:color="auto"/>
              <w:left w:val="nil"/>
              <w:bottom w:val="nil"/>
              <w:right w:val="nil"/>
            </w:tcBorders>
            <w:shd w:val="clear" w:color="auto" w:fill="auto"/>
            <w:noWrap/>
            <w:vAlign w:val="bottom"/>
            <w:hideMark/>
          </w:tcPr>
          <w:p w14:paraId="6A25375E" w14:textId="77777777" w:rsidR="00C537A7" w:rsidRDefault="00C537A7" w:rsidP="00DA3056">
            <w:pPr>
              <w:jc w:val="center"/>
              <w:rPr>
                <w:rFonts w:ascii="Calibri" w:hAnsi="Calibri" w:cs="Calibri"/>
                <w:color w:val="000000"/>
              </w:rPr>
            </w:pPr>
            <w:r>
              <w:rPr>
                <w:rFonts w:ascii="Calibri" w:hAnsi="Calibri" w:cs="Calibri"/>
                <w:color w:val="000000"/>
              </w:rPr>
              <w:t>DF</w:t>
            </w:r>
          </w:p>
        </w:tc>
        <w:tc>
          <w:tcPr>
            <w:tcW w:w="976" w:type="dxa"/>
            <w:tcBorders>
              <w:top w:val="single" w:sz="8" w:space="0" w:color="auto"/>
              <w:left w:val="nil"/>
              <w:bottom w:val="nil"/>
              <w:right w:val="nil"/>
            </w:tcBorders>
            <w:shd w:val="clear" w:color="auto" w:fill="auto"/>
            <w:noWrap/>
            <w:vAlign w:val="bottom"/>
            <w:hideMark/>
          </w:tcPr>
          <w:p w14:paraId="30C9EDE9" w14:textId="77777777" w:rsidR="00C537A7" w:rsidRDefault="00C537A7" w:rsidP="00DA3056">
            <w:pPr>
              <w:jc w:val="center"/>
              <w:rPr>
                <w:rFonts w:ascii="Calibri" w:hAnsi="Calibri" w:cs="Calibri"/>
                <w:color w:val="000000"/>
              </w:rPr>
            </w:pPr>
            <w:r>
              <w:rPr>
                <w:rFonts w:ascii="Calibri" w:hAnsi="Calibri" w:cs="Calibri"/>
                <w:color w:val="000000"/>
              </w:rPr>
              <w:t>Sum of squares</w:t>
            </w:r>
          </w:p>
        </w:tc>
        <w:tc>
          <w:tcPr>
            <w:tcW w:w="976" w:type="dxa"/>
            <w:tcBorders>
              <w:top w:val="single" w:sz="8" w:space="0" w:color="auto"/>
              <w:left w:val="nil"/>
              <w:bottom w:val="nil"/>
              <w:right w:val="nil"/>
            </w:tcBorders>
            <w:shd w:val="clear" w:color="auto" w:fill="auto"/>
            <w:noWrap/>
            <w:vAlign w:val="bottom"/>
            <w:hideMark/>
          </w:tcPr>
          <w:p w14:paraId="4DB8D88A" w14:textId="77777777" w:rsidR="00C537A7" w:rsidRDefault="00C537A7" w:rsidP="00DA3056">
            <w:pPr>
              <w:jc w:val="center"/>
              <w:rPr>
                <w:rFonts w:ascii="Calibri" w:hAnsi="Calibri" w:cs="Calibri"/>
                <w:color w:val="000000"/>
              </w:rPr>
            </w:pPr>
            <w:r>
              <w:rPr>
                <w:rFonts w:ascii="Calibri" w:hAnsi="Calibri" w:cs="Calibri"/>
                <w:color w:val="000000"/>
              </w:rPr>
              <w:t>Mean squares</w:t>
            </w:r>
          </w:p>
        </w:tc>
        <w:tc>
          <w:tcPr>
            <w:tcW w:w="976" w:type="dxa"/>
            <w:tcBorders>
              <w:top w:val="single" w:sz="8" w:space="0" w:color="auto"/>
              <w:left w:val="nil"/>
              <w:bottom w:val="nil"/>
              <w:right w:val="nil"/>
            </w:tcBorders>
            <w:shd w:val="clear" w:color="auto" w:fill="auto"/>
            <w:noWrap/>
            <w:vAlign w:val="bottom"/>
            <w:hideMark/>
          </w:tcPr>
          <w:p w14:paraId="4757F841" w14:textId="77777777" w:rsidR="00C537A7" w:rsidRDefault="00C537A7" w:rsidP="00DA3056">
            <w:pPr>
              <w:jc w:val="center"/>
              <w:rPr>
                <w:rFonts w:ascii="Calibri" w:hAnsi="Calibri" w:cs="Calibri"/>
                <w:color w:val="000000"/>
              </w:rPr>
            </w:pPr>
            <w:r>
              <w:rPr>
                <w:rFonts w:ascii="Calibri" w:hAnsi="Calibri" w:cs="Calibri"/>
                <w:color w:val="000000"/>
              </w:rPr>
              <w:t>F</w:t>
            </w:r>
          </w:p>
        </w:tc>
        <w:tc>
          <w:tcPr>
            <w:tcW w:w="976" w:type="dxa"/>
            <w:tcBorders>
              <w:top w:val="single" w:sz="8" w:space="0" w:color="auto"/>
              <w:left w:val="nil"/>
              <w:bottom w:val="nil"/>
              <w:right w:val="nil"/>
            </w:tcBorders>
            <w:shd w:val="clear" w:color="auto" w:fill="auto"/>
            <w:noWrap/>
            <w:vAlign w:val="bottom"/>
            <w:hideMark/>
          </w:tcPr>
          <w:p w14:paraId="14DBB274" w14:textId="77777777" w:rsidR="00C537A7" w:rsidRDefault="00C537A7" w:rsidP="00DA3056">
            <w:pPr>
              <w:jc w:val="center"/>
              <w:rPr>
                <w:rFonts w:ascii="Calibri" w:hAnsi="Calibri" w:cs="Calibri"/>
                <w:color w:val="000000"/>
              </w:rPr>
            </w:pPr>
            <w:proofErr w:type="spellStart"/>
            <w:r>
              <w:rPr>
                <w:rFonts w:ascii="Calibri" w:hAnsi="Calibri" w:cs="Calibri"/>
                <w:color w:val="000000"/>
              </w:rPr>
              <w:t>Pr</w:t>
            </w:r>
            <w:proofErr w:type="spellEnd"/>
            <w:r>
              <w:rPr>
                <w:rFonts w:ascii="Calibri" w:hAnsi="Calibri" w:cs="Calibri"/>
                <w:color w:val="000000"/>
              </w:rPr>
              <w:t xml:space="preserve"> &gt; F</w:t>
            </w:r>
          </w:p>
        </w:tc>
      </w:tr>
      <w:tr w:rsidR="00C537A7" w14:paraId="4562347E" w14:textId="77777777" w:rsidTr="00DA3056">
        <w:trPr>
          <w:trHeight w:val="288"/>
        </w:trPr>
        <w:tc>
          <w:tcPr>
            <w:tcW w:w="1391" w:type="dxa"/>
            <w:tcBorders>
              <w:top w:val="single" w:sz="4" w:space="0" w:color="auto"/>
              <w:left w:val="nil"/>
              <w:bottom w:val="nil"/>
              <w:right w:val="nil"/>
            </w:tcBorders>
            <w:shd w:val="clear" w:color="auto" w:fill="auto"/>
            <w:noWrap/>
            <w:vAlign w:val="bottom"/>
            <w:hideMark/>
          </w:tcPr>
          <w:p w14:paraId="4D667E94" w14:textId="77777777" w:rsidR="00C537A7" w:rsidRDefault="00C537A7" w:rsidP="00DA3056">
            <w:pPr>
              <w:rPr>
                <w:rFonts w:ascii="Calibri" w:hAnsi="Calibri" w:cs="Calibri"/>
                <w:color w:val="000000"/>
              </w:rPr>
            </w:pPr>
            <w:r>
              <w:rPr>
                <w:rFonts w:ascii="Calibri" w:hAnsi="Calibri" w:cs="Calibri"/>
                <w:color w:val="000000"/>
              </w:rPr>
              <w:t>Model</w:t>
            </w:r>
          </w:p>
        </w:tc>
        <w:tc>
          <w:tcPr>
            <w:tcW w:w="976" w:type="dxa"/>
            <w:tcBorders>
              <w:top w:val="single" w:sz="4" w:space="0" w:color="auto"/>
              <w:left w:val="nil"/>
              <w:bottom w:val="nil"/>
              <w:right w:val="nil"/>
            </w:tcBorders>
            <w:shd w:val="clear" w:color="auto" w:fill="auto"/>
            <w:noWrap/>
            <w:vAlign w:val="bottom"/>
            <w:hideMark/>
          </w:tcPr>
          <w:p w14:paraId="7012D0F9" w14:textId="77777777" w:rsidR="00C537A7" w:rsidRDefault="00C537A7" w:rsidP="00DA3056">
            <w:pPr>
              <w:jc w:val="right"/>
              <w:rPr>
                <w:rFonts w:ascii="Calibri" w:hAnsi="Calibri" w:cs="Calibri"/>
                <w:color w:val="000000"/>
              </w:rPr>
            </w:pPr>
            <w:r>
              <w:rPr>
                <w:rFonts w:ascii="Calibri" w:hAnsi="Calibri" w:cs="Calibri"/>
                <w:color w:val="000000"/>
              </w:rPr>
              <w:t>1</w:t>
            </w:r>
          </w:p>
        </w:tc>
        <w:tc>
          <w:tcPr>
            <w:tcW w:w="976" w:type="dxa"/>
            <w:tcBorders>
              <w:top w:val="single" w:sz="4" w:space="0" w:color="auto"/>
              <w:left w:val="nil"/>
              <w:bottom w:val="nil"/>
              <w:right w:val="nil"/>
            </w:tcBorders>
            <w:shd w:val="clear" w:color="auto" w:fill="auto"/>
            <w:noWrap/>
            <w:vAlign w:val="bottom"/>
            <w:hideMark/>
          </w:tcPr>
          <w:p w14:paraId="1CE7DF2A" w14:textId="77777777" w:rsidR="00C537A7" w:rsidRDefault="00C537A7" w:rsidP="00DA3056">
            <w:pPr>
              <w:jc w:val="right"/>
              <w:rPr>
                <w:rFonts w:ascii="Calibri" w:hAnsi="Calibri" w:cs="Calibri"/>
                <w:color w:val="000000"/>
              </w:rPr>
            </w:pPr>
            <w:r>
              <w:rPr>
                <w:rFonts w:ascii="Calibri" w:hAnsi="Calibri" w:cs="Calibri"/>
                <w:color w:val="000000"/>
              </w:rPr>
              <w:t>0.982</w:t>
            </w:r>
          </w:p>
        </w:tc>
        <w:tc>
          <w:tcPr>
            <w:tcW w:w="976" w:type="dxa"/>
            <w:tcBorders>
              <w:top w:val="single" w:sz="4" w:space="0" w:color="auto"/>
              <w:left w:val="nil"/>
              <w:bottom w:val="nil"/>
              <w:right w:val="nil"/>
            </w:tcBorders>
            <w:shd w:val="clear" w:color="auto" w:fill="auto"/>
            <w:noWrap/>
            <w:vAlign w:val="bottom"/>
            <w:hideMark/>
          </w:tcPr>
          <w:p w14:paraId="066907BB" w14:textId="77777777" w:rsidR="00C537A7" w:rsidRDefault="00C537A7" w:rsidP="00DA3056">
            <w:pPr>
              <w:jc w:val="right"/>
              <w:rPr>
                <w:rFonts w:ascii="Calibri" w:hAnsi="Calibri" w:cs="Calibri"/>
                <w:color w:val="000000"/>
              </w:rPr>
            </w:pPr>
            <w:r>
              <w:rPr>
                <w:rFonts w:ascii="Calibri" w:hAnsi="Calibri" w:cs="Calibri"/>
                <w:color w:val="000000"/>
              </w:rPr>
              <w:t>0.982</w:t>
            </w:r>
          </w:p>
        </w:tc>
        <w:tc>
          <w:tcPr>
            <w:tcW w:w="976" w:type="dxa"/>
            <w:tcBorders>
              <w:top w:val="single" w:sz="4" w:space="0" w:color="auto"/>
              <w:left w:val="nil"/>
              <w:bottom w:val="nil"/>
              <w:right w:val="nil"/>
            </w:tcBorders>
            <w:shd w:val="clear" w:color="auto" w:fill="auto"/>
            <w:noWrap/>
            <w:vAlign w:val="bottom"/>
            <w:hideMark/>
          </w:tcPr>
          <w:p w14:paraId="065A50A0" w14:textId="77777777" w:rsidR="00C537A7" w:rsidRDefault="00C537A7" w:rsidP="00DA3056">
            <w:pPr>
              <w:jc w:val="right"/>
              <w:rPr>
                <w:rFonts w:ascii="Calibri" w:hAnsi="Calibri" w:cs="Calibri"/>
                <w:color w:val="000000"/>
              </w:rPr>
            </w:pPr>
            <w:r>
              <w:rPr>
                <w:rFonts w:ascii="Calibri" w:hAnsi="Calibri" w:cs="Calibri"/>
                <w:color w:val="000000"/>
              </w:rPr>
              <w:t>3.021</w:t>
            </w:r>
          </w:p>
        </w:tc>
        <w:tc>
          <w:tcPr>
            <w:tcW w:w="976" w:type="dxa"/>
            <w:tcBorders>
              <w:top w:val="single" w:sz="4" w:space="0" w:color="auto"/>
              <w:left w:val="nil"/>
              <w:bottom w:val="nil"/>
              <w:right w:val="nil"/>
            </w:tcBorders>
            <w:shd w:val="clear" w:color="auto" w:fill="auto"/>
            <w:noWrap/>
            <w:vAlign w:val="bottom"/>
            <w:hideMark/>
          </w:tcPr>
          <w:p w14:paraId="51D3CCBC" w14:textId="77777777" w:rsidR="00C537A7" w:rsidRDefault="00C537A7" w:rsidP="00DA3056">
            <w:pPr>
              <w:jc w:val="right"/>
              <w:rPr>
                <w:rFonts w:ascii="Calibri" w:hAnsi="Calibri" w:cs="Calibri"/>
                <w:color w:val="000000"/>
              </w:rPr>
            </w:pPr>
            <w:r>
              <w:rPr>
                <w:rFonts w:ascii="Calibri" w:hAnsi="Calibri" w:cs="Calibri"/>
                <w:color w:val="000000"/>
              </w:rPr>
              <w:t>0.088</w:t>
            </w:r>
          </w:p>
        </w:tc>
      </w:tr>
      <w:tr w:rsidR="00C537A7" w14:paraId="595295A4" w14:textId="77777777" w:rsidTr="00DA3056">
        <w:trPr>
          <w:trHeight w:val="288"/>
        </w:trPr>
        <w:tc>
          <w:tcPr>
            <w:tcW w:w="1391" w:type="dxa"/>
            <w:tcBorders>
              <w:top w:val="nil"/>
              <w:left w:val="nil"/>
              <w:bottom w:val="nil"/>
              <w:right w:val="nil"/>
            </w:tcBorders>
            <w:shd w:val="clear" w:color="auto" w:fill="auto"/>
            <w:noWrap/>
            <w:vAlign w:val="bottom"/>
            <w:hideMark/>
          </w:tcPr>
          <w:p w14:paraId="6384AAB3" w14:textId="77777777" w:rsidR="00C537A7" w:rsidRDefault="00C537A7" w:rsidP="00DA3056">
            <w:pPr>
              <w:rPr>
                <w:rFonts w:ascii="Calibri" w:hAnsi="Calibri" w:cs="Calibri"/>
                <w:color w:val="000000"/>
              </w:rPr>
            </w:pPr>
            <w:r>
              <w:rPr>
                <w:rFonts w:ascii="Calibri" w:hAnsi="Calibri" w:cs="Calibri"/>
                <w:color w:val="000000"/>
              </w:rPr>
              <w:t>Error</w:t>
            </w:r>
          </w:p>
        </w:tc>
        <w:tc>
          <w:tcPr>
            <w:tcW w:w="976" w:type="dxa"/>
            <w:tcBorders>
              <w:top w:val="nil"/>
              <w:left w:val="nil"/>
              <w:bottom w:val="nil"/>
              <w:right w:val="nil"/>
            </w:tcBorders>
            <w:shd w:val="clear" w:color="auto" w:fill="auto"/>
            <w:noWrap/>
            <w:vAlign w:val="bottom"/>
            <w:hideMark/>
          </w:tcPr>
          <w:p w14:paraId="73958890" w14:textId="77777777" w:rsidR="00C537A7" w:rsidRDefault="00C537A7" w:rsidP="00DA3056">
            <w:pPr>
              <w:jc w:val="right"/>
              <w:rPr>
                <w:rFonts w:ascii="Calibri" w:hAnsi="Calibri" w:cs="Calibri"/>
                <w:color w:val="000000"/>
              </w:rPr>
            </w:pPr>
            <w:r>
              <w:rPr>
                <w:rFonts w:ascii="Calibri" w:hAnsi="Calibri" w:cs="Calibri"/>
                <w:color w:val="000000"/>
              </w:rPr>
              <w:t>51</w:t>
            </w:r>
          </w:p>
        </w:tc>
        <w:tc>
          <w:tcPr>
            <w:tcW w:w="976" w:type="dxa"/>
            <w:tcBorders>
              <w:top w:val="nil"/>
              <w:left w:val="nil"/>
              <w:bottom w:val="nil"/>
              <w:right w:val="nil"/>
            </w:tcBorders>
            <w:shd w:val="clear" w:color="auto" w:fill="auto"/>
            <w:noWrap/>
            <w:vAlign w:val="bottom"/>
            <w:hideMark/>
          </w:tcPr>
          <w:p w14:paraId="4AA4FFF6" w14:textId="77777777" w:rsidR="00C537A7" w:rsidRDefault="00C537A7" w:rsidP="00DA3056">
            <w:pPr>
              <w:jc w:val="right"/>
              <w:rPr>
                <w:rFonts w:ascii="Calibri" w:hAnsi="Calibri" w:cs="Calibri"/>
                <w:color w:val="000000"/>
              </w:rPr>
            </w:pPr>
            <w:r>
              <w:rPr>
                <w:rFonts w:ascii="Calibri" w:hAnsi="Calibri" w:cs="Calibri"/>
                <w:color w:val="000000"/>
              </w:rPr>
              <w:t>16.581</w:t>
            </w:r>
          </w:p>
        </w:tc>
        <w:tc>
          <w:tcPr>
            <w:tcW w:w="976" w:type="dxa"/>
            <w:tcBorders>
              <w:top w:val="nil"/>
              <w:left w:val="nil"/>
              <w:bottom w:val="nil"/>
              <w:right w:val="nil"/>
            </w:tcBorders>
            <w:shd w:val="clear" w:color="auto" w:fill="auto"/>
            <w:noWrap/>
            <w:vAlign w:val="bottom"/>
            <w:hideMark/>
          </w:tcPr>
          <w:p w14:paraId="36FC5FC0" w14:textId="77777777" w:rsidR="00C537A7" w:rsidRDefault="00C537A7" w:rsidP="00DA3056">
            <w:pPr>
              <w:jc w:val="right"/>
              <w:rPr>
                <w:rFonts w:ascii="Calibri" w:hAnsi="Calibri" w:cs="Calibri"/>
                <w:color w:val="000000"/>
              </w:rPr>
            </w:pPr>
            <w:r>
              <w:rPr>
                <w:rFonts w:ascii="Calibri" w:hAnsi="Calibri" w:cs="Calibri"/>
                <w:color w:val="000000"/>
              </w:rPr>
              <w:t>0.325</w:t>
            </w:r>
          </w:p>
        </w:tc>
        <w:tc>
          <w:tcPr>
            <w:tcW w:w="976" w:type="dxa"/>
            <w:tcBorders>
              <w:top w:val="nil"/>
              <w:left w:val="nil"/>
              <w:bottom w:val="nil"/>
              <w:right w:val="nil"/>
            </w:tcBorders>
            <w:shd w:val="clear" w:color="auto" w:fill="auto"/>
            <w:noWrap/>
            <w:vAlign w:val="bottom"/>
            <w:hideMark/>
          </w:tcPr>
          <w:p w14:paraId="0AF22B5C" w14:textId="77777777" w:rsidR="00C537A7" w:rsidRDefault="00C537A7" w:rsidP="00DA3056">
            <w:pPr>
              <w:jc w:val="right"/>
              <w:rPr>
                <w:rFonts w:ascii="Calibri" w:hAnsi="Calibri" w:cs="Calibri"/>
                <w:color w:val="000000"/>
              </w:rPr>
            </w:pPr>
          </w:p>
        </w:tc>
        <w:tc>
          <w:tcPr>
            <w:tcW w:w="976" w:type="dxa"/>
            <w:tcBorders>
              <w:top w:val="nil"/>
              <w:left w:val="nil"/>
              <w:bottom w:val="nil"/>
              <w:right w:val="nil"/>
            </w:tcBorders>
            <w:shd w:val="clear" w:color="auto" w:fill="auto"/>
            <w:noWrap/>
            <w:vAlign w:val="bottom"/>
            <w:hideMark/>
          </w:tcPr>
          <w:p w14:paraId="07761D66" w14:textId="77777777" w:rsidR="00C537A7" w:rsidRDefault="00C537A7" w:rsidP="00DA3056">
            <w:pPr>
              <w:rPr>
                <w:sz w:val="20"/>
                <w:szCs w:val="20"/>
              </w:rPr>
            </w:pPr>
          </w:p>
        </w:tc>
      </w:tr>
      <w:tr w:rsidR="00C537A7" w14:paraId="3B145408" w14:textId="77777777" w:rsidTr="00DA3056">
        <w:trPr>
          <w:trHeight w:val="300"/>
        </w:trPr>
        <w:tc>
          <w:tcPr>
            <w:tcW w:w="1391" w:type="dxa"/>
            <w:tcBorders>
              <w:top w:val="nil"/>
              <w:left w:val="nil"/>
              <w:bottom w:val="single" w:sz="8" w:space="0" w:color="auto"/>
              <w:right w:val="nil"/>
            </w:tcBorders>
            <w:shd w:val="clear" w:color="auto" w:fill="auto"/>
            <w:noWrap/>
            <w:vAlign w:val="bottom"/>
            <w:hideMark/>
          </w:tcPr>
          <w:p w14:paraId="50438846" w14:textId="77777777" w:rsidR="00C537A7" w:rsidRDefault="00C537A7" w:rsidP="00DA3056">
            <w:pPr>
              <w:rPr>
                <w:rFonts w:ascii="Calibri" w:hAnsi="Calibri" w:cs="Calibri"/>
                <w:color w:val="000000"/>
              </w:rPr>
            </w:pPr>
            <w:r>
              <w:rPr>
                <w:rFonts w:ascii="Calibri" w:hAnsi="Calibri" w:cs="Calibri"/>
                <w:color w:val="000000"/>
              </w:rPr>
              <w:t>Corrected Total</w:t>
            </w:r>
          </w:p>
        </w:tc>
        <w:tc>
          <w:tcPr>
            <w:tcW w:w="976" w:type="dxa"/>
            <w:tcBorders>
              <w:top w:val="nil"/>
              <w:left w:val="nil"/>
              <w:bottom w:val="single" w:sz="8" w:space="0" w:color="auto"/>
              <w:right w:val="nil"/>
            </w:tcBorders>
            <w:shd w:val="clear" w:color="auto" w:fill="auto"/>
            <w:noWrap/>
            <w:vAlign w:val="bottom"/>
            <w:hideMark/>
          </w:tcPr>
          <w:p w14:paraId="49CFBB26" w14:textId="77777777" w:rsidR="00C537A7" w:rsidRDefault="00C537A7" w:rsidP="00DA3056">
            <w:pPr>
              <w:jc w:val="right"/>
              <w:rPr>
                <w:rFonts w:ascii="Calibri" w:hAnsi="Calibri" w:cs="Calibri"/>
                <w:color w:val="000000"/>
              </w:rPr>
            </w:pPr>
            <w:r>
              <w:rPr>
                <w:rFonts w:ascii="Calibri" w:hAnsi="Calibri" w:cs="Calibri"/>
                <w:color w:val="000000"/>
              </w:rPr>
              <w:t>52</w:t>
            </w:r>
          </w:p>
        </w:tc>
        <w:tc>
          <w:tcPr>
            <w:tcW w:w="976" w:type="dxa"/>
            <w:tcBorders>
              <w:top w:val="nil"/>
              <w:left w:val="nil"/>
              <w:bottom w:val="single" w:sz="8" w:space="0" w:color="auto"/>
              <w:right w:val="nil"/>
            </w:tcBorders>
            <w:shd w:val="clear" w:color="auto" w:fill="auto"/>
            <w:noWrap/>
            <w:vAlign w:val="bottom"/>
            <w:hideMark/>
          </w:tcPr>
          <w:p w14:paraId="414B72DA" w14:textId="77777777" w:rsidR="00C537A7" w:rsidRDefault="00C537A7" w:rsidP="00DA3056">
            <w:pPr>
              <w:jc w:val="right"/>
              <w:rPr>
                <w:rFonts w:ascii="Calibri" w:hAnsi="Calibri" w:cs="Calibri"/>
                <w:color w:val="000000"/>
              </w:rPr>
            </w:pPr>
            <w:r>
              <w:rPr>
                <w:rFonts w:ascii="Calibri" w:hAnsi="Calibri" w:cs="Calibri"/>
                <w:color w:val="000000"/>
              </w:rPr>
              <w:t>17.563</w:t>
            </w:r>
          </w:p>
        </w:tc>
        <w:tc>
          <w:tcPr>
            <w:tcW w:w="976" w:type="dxa"/>
            <w:tcBorders>
              <w:top w:val="nil"/>
              <w:left w:val="nil"/>
              <w:bottom w:val="single" w:sz="8" w:space="0" w:color="auto"/>
              <w:right w:val="nil"/>
            </w:tcBorders>
            <w:shd w:val="clear" w:color="auto" w:fill="auto"/>
            <w:noWrap/>
            <w:vAlign w:val="bottom"/>
            <w:hideMark/>
          </w:tcPr>
          <w:p w14:paraId="0681EB11" w14:textId="77777777" w:rsidR="00C537A7" w:rsidRDefault="00C537A7" w:rsidP="00DA3056">
            <w:pPr>
              <w:rPr>
                <w:rFonts w:ascii="Calibri" w:hAnsi="Calibri" w:cs="Calibri"/>
                <w:color w:val="000000"/>
              </w:rPr>
            </w:pPr>
            <w:r>
              <w:rPr>
                <w:rFonts w:ascii="Calibri" w:hAnsi="Calibri" w:cs="Calibri"/>
                <w:color w:val="000000"/>
              </w:rPr>
              <w:t> </w:t>
            </w:r>
          </w:p>
        </w:tc>
        <w:tc>
          <w:tcPr>
            <w:tcW w:w="976" w:type="dxa"/>
            <w:tcBorders>
              <w:top w:val="nil"/>
              <w:left w:val="nil"/>
              <w:bottom w:val="single" w:sz="8" w:space="0" w:color="auto"/>
              <w:right w:val="nil"/>
            </w:tcBorders>
            <w:shd w:val="clear" w:color="auto" w:fill="auto"/>
            <w:noWrap/>
            <w:vAlign w:val="bottom"/>
            <w:hideMark/>
          </w:tcPr>
          <w:p w14:paraId="4123A4CC" w14:textId="77777777" w:rsidR="00C537A7" w:rsidRDefault="00C537A7" w:rsidP="00DA3056">
            <w:pPr>
              <w:rPr>
                <w:rFonts w:ascii="Calibri" w:hAnsi="Calibri" w:cs="Calibri"/>
                <w:color w:val="000000"/>
              </w:rPr>
            </w:pPr>
            <w:r>
              <w:rPr>
                <w:rFonts w:ascii="Calibri" w:hAnsi="Calibri" w:cs="Calibri"/>
                <w:color w:val="000000"/>
              </w:rPr>
              <w:t> </w:t>
            </w:r>
          </w:p>
        </w:tc>
        <w:tc>
          <w:tcPr>
            <w:tcW w:w="976" w:type="dxa"/>
            <w:tcBorders>
              <w:top w:val="nil"/>
              <w:left w:val="nil"/>
              <w:bottom w:val="single" w:sz="8" w:space="0" w:color="auto"/>
              <w:right w:val="nil"/>
            </w:tcBorders>
            <w:shd w:val="clear" w:color="auto" w:fill="auto"/>
            <w:noWrap/>
            <w:vAlign w:val="bottom"/>
            <w:hideMark/>
          </w:tcPr>
          <w:p w14:paraId="0F75F3BD" w14:textId="77777777" w:rsidR="00C537A7" w:rsidRDefault="00C537A7" w:rsidP="00DA3056">
            <w:pPr>
              <w:rPr>
                <w:rFonts w:ascii="Calibri" w:hAnsi="Calibri" w:cs="Calibri"/>
                <w:color w:val="000000"/>
              </w:rPr>
            </w:pPr>
            <w:r>
              <w:rPr>
                <w:rFonts w:ascii="Calibri" w:hAnsi="Calibri" w:cs="Calibri"/>
                <w:color w:val="000000"/>
              </w:rPr>
              <w:t> </w:t>
            </w:r>
          </w:p>
        </w:tc>
      </w:tr>
      <w:tr w:rsidR="00C537A7" w14:paraId="669DC338" w14:textId="77777777" w:rsidTr="00DA3056">
        <w:trPr>
          <w:trHeight w:val="288"/>
        </w:trPr>
        <w:tc>
          <w:tcPr>
            <w:tcW w:w="4319" w:type="dxa"/>
            <w:gridSpan w:val="4"/>
            <w:tcBorders>
              <w:top w:val="nil"/>
              <w:left w:val="nil"/>
              <w:bottom w:val="nil"/>
              <w:right w:val="nil"/>
            </w:tcBorders>
            <w:shd w:val="clear" w:color="auto" w:fill="auto"/>
            <w:noWrap/>
            <w:vAlign w:val="bottom"/>
            <w:hideMark/>
          </w:tcPr>
          <w:p w14:paraId="15E87D7E" w14:textId="77777777" w:rsidR="00C537A7" w:rsidRDefault="00C537A7" w:rsidP="00DA3056">
            <w:pPr>
              <w:rPr>
                <w:rFonts w:ascii="Calibri" w:hAnsi="Calibri" w:cs="Calibri"/>
                <w:i/>
                <w:iCs/>
                <w:color w:val="000000"/>
              </w:rPr>
            </w:pPr>
            <w:r>
              <w:rPr>
                <w:rFonts w:ascii="Calibri" w:hAnsi="Calibri" w:cs="Calibri"/>
                <w:i/>
                <w:iCs/>
                <w:color w:val="000000"/>
              </w:rPr>
              <w:t>Computed against model Y=Mean(Y)</w:t>
            </w:r>
          </w:p>
        </w:tc>
        <w:tc>
          <w:tcPr>
            <w:tcW w:w="976" w:type="dxa"/>
            <w:tcBorders>
              <w:top w:val="nil"/>
              <w:left w:val="nil"/>
              <w:bottom w:val="nil"/>
              <w:right w:val="nil"/>
            </w:tcBorders>
            <w:shd w:val="clear" w:color="auto" w:fill="auto"/>
            <w:noWrap/>
            <w:vAlign w:val="bottom"/>
            <w:hideMark/>
          </w:tcPr>
          <w:p w14:paraId="1323024C" w14:textId="77777777" w:rsidR="00C537A7" w:rsidRDefault="00C537A7" w:rsidP="00DA3056">
            <w:pPr>
              <w:rPr>
                <w:rFonts w:ascii="Calibri" w:hAnsi="Calibri" w:cs="Calibri"/>
                <w:i/>
                <w:iCs/>
                <w:color w:val="000000"/>
              </w:rPr>
            </w:pPr>
          </w:p>
        </w:tc>
        <w:tc>
          <w:tcPr>
            <w:tcW w:w="976" w:type="dxa"/>
            <w:tcBorders>
              <w:top w:val="nil"/>
              <w:left w:val="nil"/>
              <w:bottom w:val="nil"/>
              <w:right w:val="nil"/>
            </w:tcBorders>
            <w:shd w:val="clear" w:color="auto" w:fill="auto"/>
            <w:noWrap/>
            <w:vAlign w:val="bottom"/>
            <w:hideMark/>
          </w:tcPr>
          <w:p w14:paraId="411BE7F0" w14:textId="77777777" w:rsidR="00C537A7" w:rsidRDefault="00C537A7" w:rsidP="00DA3056">
            <w:pPr>
              <w:rPr>
                <w:sz w:val="20"/>
                <w:szCs w:val="20"/>
              </w:rPr>
            </w:pPr>
          </w:p>
        </w:tc>
      </w:tr>
    </w:tbl>
    <w:p w14:paraId="4D571DCD" w14:textId="77777777" w:rsidR="00C537A7" w:rsidRDefault="00C537A7" w:rsidP="00C537A7"/>
    <w:p w14:paraId="221F0EE0" w14:textId="77777777" w:rsidR="00C537A7" w:rsidRDefault="00C537A7" w:rsidP="00C537A7">
      <w:r>
        <w:t>Model parameters (AMELX (CI)):</w:t>
      </w:r>
    </w:p>
    <w:tbl>
      <w:tblPr>
        <w:tblW w:w="6895" w:type="dxa"/>
        <w:tblLook w:val="04A0" w:firstRow="1" w:lastRow="0" w:firstColumn="1" w:lastColumn="0" w:noHBand="0" w:noVBand="1"/>
      </w:tblPr>
      <w:tblGrid>
        <w:gridCol w:w="1039"/>
        <w:gridCol w:w="976"/>
        <w:gridCol w:w="1025"/>
        <w:gridCol w:w="976"/>
        <w:gridCol w:w="976"/>
        <w:gridCol w:w="976"/>
        <w:gridCol w:w="976"/>
      </w:tblGrid>
      <w:tr w:rsidR="00C537A7" w14:paraId="0885BF81" w14:textId="77777777" w:rsidTr="00DA3056">
        <w:trPr>
          <w:trHeight w:val="288"/>
        </w:trPr>
        <w:tc>
          <w:tcPr>
            <w:tcW w:w="1039" w:type="dxa"/>
            <w:tcBorders>
              <w:top w:val="single" w:sz="8" w:space="0" w:color="auto"/>
              <w:left w:val="nil"/>
              <w:bottom w:val="nil"/>
              <w:right w:val="nil"/>
            </w:tcBorders>
            <w:shd w:val="clear" w:color="auto" w:fill="auto"/>
            <w:noWrap/>
            <w:vAlign w:val="bottom"/>
            <w:hideMark/>
          </w:tcPr>
          <w:p w14:paraId="1C8A7334" w14:textId="77777777" w:rsidR="00C537A7" w:rsidRDefault="00C537A7" w:rsidP="00DA3056">
            <w:pPr>
              <w:jc w:val="center"/>
              <w:rPr>
                <w:rFonts w:ascii="Calibri" w:hAnsi="Calibri" w:cs="Calibri"/>
                <w:color w:val="000000"/>
              </w:rPr>
            </w:pPr>
            <w:r>
              <w:rPr>
                <w:rFonts w:ascii="Calibri" w:hAnsi="Calibri" w:cs="Calibri"/>
                <w:color w:val="000000"/>
              </w:rPr>
              <w:t>Source</w:t>
            </w:r>
          </w:p>
        </w:tc>
        <w:tc>
          <w:tcPr>
            <w:tcW w:w="976" w:type="dxa"/>
            <w:tcBorders>
              <w:top w:val="single" w:sz="8" w:space="0" w:color="auto"/>
              <w:left w:val="nil"/>
              <w:bottom w:val="nil"/>
              <w:right w:val="nil"/>
            </w:tcBorders>
            <w:shd w:val="clear" w:color="auto" w:fill="auto"/>
            <w:noWrap/>
            <w:vAlign w:val="bottom"/>
            <w:hideMark/>
          </w:tcPr>
          <w:p w14:paraId="067264D7" w14:textId="77777777" w:rsidR="00C537A7" w:rsidRDefault="00C537A7" w:rsidP="00DA3056">
            <w:pPr>
              <w:jc w:val="center"/>
              <w:rPr>
                <w:rFonts w:ascii="Calibri" w:hAnsi="Calibri" w:cs="Calibri"/>
                <w:color w:val="000000"/>
              </w:rPr>
            </w:pPr>
            <w:r>
              <w:rPr>
                <w:rFonts w:ascii="Calibri" w:hAnsi="Calibri" w:cs="Calibri"/>
                <w:color w:val="000000"/>
              </w:rPr>
              <w:t>Value</w:t>
            </w:r>
          </w:p>
        </w:tc>
        <w:tc>
          <w:tcPr>
            <w:tcW w:w="976" w:type="dxa"/>
            <w:tcBorders>
              <w:top w:val="single" w:sz="8" w:space="0" w:color="auto"/>
              <w:left w:val="nil"/>
              <w:bottom w:val="nil"/>
              <w:right w:val="nil"/>
            </w:tcBorders>
            <w:shd w:val="clear" w:color="auto" w:fill="auto"/>
            <w:noWrap/>
            <w:vAlign w:val="bottom"/>
            <w:hideMark/>
          </w:tcPr>
          <w:p w14:paraId="6D934280" w14:textId="77777777" w:rsidR="00C537A7" w:rsidRDefault="00C537A7" w:rsidP="00DA3056">
            <w:pPr>
              <w:jc w:val="center"/>
              <w:rPr>
                <w:rFonts w:ascii="Calibri" w:hAnsi="Calibri" w:cs="Calibri"/>
                <w:color w:val="000000"/>
              </w:rPr>
            </w:pPr>
            <w:r>
              <w:rPr>
                <w:rFonts w:ascii="Calibri" w:hAnsi="Calibri" w:cs="Calibri"/>
                <w:color w:val="000000"/>
              </w:rPr>
              <w:t>Standard error</w:t>
            </w:r>
          </w:p>
        </w:tc>
        <w:tc>
          <w:tcPr>
            <w:tcW w:w="976" w:type="dxa"/>
            <w:tcBorders>
              <w:top w:val="single" w:sz="8" w:space="0" w:color="auto"/>
              <w:left w:val="nil"/>
              <w:bottom w:val="nil"/>
              <w:right w:val="nil"/>
            </w:tcBorders>
            <w:shd w:val="clear" w:color="auto" w:fill="auto"/>
            <w:noWrap/>
            <w:vAlign w:val="bottom"/>
            <w:hideMark/>
          </w:tcPr>
          <w:p w14:paraId="456B23C2" w14:textId="77777777" w:rsidR="00C537A7" w:rsidRDefault="00C537A7" w:rsidP="00DA3056">
            <w:pPr>
              <w:jc w:val="center"/>
              <w:rPr>
                <w:rFonts w:ascii="Calibri" w:hAnsi="Calibri" w:cs="Calibri"/>
                <w:color w:val="000000"/>
              </w:rPr>
            </w:pPr>
            <w:r>
              <w:rPr>
                <w:rFonts w:ascii="Calibri" w:hAnsi="Calibri" w:cs="Calibri"/>
                <w:color w:val="000000"/>
              </w:rPr>
              <w:t>t</w:t>
            </w:r>
          </w:p>
        </w:tc>
        <w:tc>
          <w:tcPr>
            <w:tcW w:w="976" w:type="dxa"/>
            <w:tcBorders>
              <w:top w:val="single" w:sz="8" w:space="0" w:color="auto"/>
              <w:left w:val="nil"/>
              <w:bottom w:val="nil"/>
              <w:right w:val="nil"/>
            </w:tcBorders>
            <w:shd w:val="clear" w:color="auto" w:fill="auto"/>
            <w:noWrap/>
            <w:vAlign w:val="bottom"/>
            <w:hideMark/>
          </w:tcPr>
          <w:p w14:paraId="3A479BAC" w14:textId="77777777" w:rsidR="00C537A7" w:rsidRDefault="00C537A7" w:rsidP="00DA3056">
            <w:pPr>
              <w:jc w:val="center"/>
              <w:rPr>
                <w:rFonts w:ascii="Calibri" w:hAnsi="Calibri" w:cs="Calibri"/>
                <w:color w:val="000000"/>
              </w:rPr>
            </w:pPr>
            <w:proofErr w:type="spellStart"/>
            <w:r>
              <w:rPr>
                <w:rFonts w:ascii="Calibri" w:hAnsi="Calibri" w:cs="Calibri"/>
                <w:color w:val="000000"/>
              </w:rPr>
              <w:t>Pr</w:t>
            </w:r>
            <w:proofErr w:type="spellEnd"/>
            <w:r>
              <w:rPr>
                <w:rFonts w:ascii="Calibri" w:hAnsi="Calibri" w:cs="Calibri"/>
                <w:color w:val="000000"/>
              </w:rPr>
              <w:t xml:space="preserve"> &gt; |t|</w:t>
            </w:r>
          </w:p>
        </w:tc>
        <w:tc>
          <w:tcPr>
            <w:tcW w:w="976" w:type="dxa"/>
            <w:tcBorders>
              <w:top w:val="single" w:sz="8" w:space="0" w:color="auto"/>
              <w:left w:val="nil"/>
              <w:bottom w:val="nil"/>
              <w:right w:val="nil"/>
            </w:tcBorders>
            <w:shd w:val="clear" w:color="auto" w:fill="auto"/>
            <w:noWrap/>
            <w:vAlign w:val="bottom"/>
            <w:hideMark/>
          </w:tcPr>
          <w:p w14:paraId="682BF949" w14:textId="77777777" w:rsidR="00C537A7" w:rsidRDefault="00C537A7" w:rsidP="00DA3056">
            <w:pPr>
              <w:jc w:val="center"/>
              <w:rPr>
                <w:rFonts w:ascii="Calibri" w:hAnsi="Calibri" w:cs="Calibri"/>
                <w:color w:val="000000"/>
              </w:rPr>
            </w:pPr>
            <w:r>
              <w:rPr>
                <w:rFonts w:ascii="Calibri" w:hAnsi="Calibri" w:cs="Calibri"/>
                <w:color w:val="000000"/>
              </w:rPr>
              <w:t>Lower bound (95%)</w:t>
            </w:r>
          </w:p>
        </w:tc>
        <w:tc>
          <w:tcPr>
            <w:tcW w:w="976" w:type="dxa"/>
            <w:tcBorders>
              <w:top w:val="single" w:sz="8" w:space="0" w:color="auto"/>
              <w:left w:val="nil"/>
              <w:bottom w:val="nil"/>
              <w:right w:val="nil"/>
            </w:tcBorders>
            <w:shd w:val="clear" w:color="auto" w:fill="auto"/>
            <w:noWrap/>
            <w:vAlign w:val="bottom"/>
            <w:hideMark/>
          </w:tcPr>
          <w:p w14:paraId="7A07639F" w14:textId="77777777" w:rsidR="00C537A7" w:rsidRDefault="00C537A7" w:rsidP="00DA3056">
            <w:pPr>
              <w:jc w:val="center"/>
              <w:rPr>
                <w:rFonts w:ascii="Calibri" w:hAnsi="Calibri" w:cs="Calibri"/>
                <w:color w:val="000000"/>
              </w:rPr>
            </w:pPr>
            <w:r>
              <w:rPr>
                <w:rFonts w:ascii="Calibri" w:hAnsi="Calibri" w:cs="Calibri"/>
                <w:color w:val="000000"/>
              </w:rPr>
              <w:t>Upper bound (95%)</w:t>
            </w:r>
          </w:p>
        </w:tc>
      </w:tr>
      <w:tr w:rsidR="00C537A7" w14:paraId="1B321E62" w14:textId="77777777" w:rsidTr="00DA3056">
        <w:trPr>
          <w:trHeight w:val="288"/>
        </w:trPr>
        <w:tc>
          <w:tcPr>
            <w:tcW w:w="1039" w:type="dxa"/>
            <w:tcBorders>
              <w:top w:val="single" w:sz="4" w:space="0" w:color="auto"/>
              <w:left w:val="nil"/>
              <w:bottom w:val="nil"/>
              <w:right w:val="nil"/>
            </w:tcBorders>
            <w:shd w:val="clear" w:color="auto" w:fill="auto"/>
            <w:noWrap/>
            <w:vAlign w:val="bottom"/>
            <w:hideMark/>
          </w:tcPr>
          <w:p w14:paraId="0E106B58" w14:textId="77777777" w:rsidR="00C537A7" w:rsidRDefault="00C537A7" w:rsidP="00DA3056">
            <w:pPr>
              <w:rPr>
                <w:rFonts w:ascii="Calibri" w:hAnsi="Calibri" w:cs="Calibri"/>
                <w:color w:val="000000"/>
              </w:rPr>
            </w:pPr>
            <w:r>
              <w:rPr>
                <w:rFonts w:ascii="Calibri" w:hAnsi="Calibri" w:cs="Calibri"/>
                <w:color w:val="000000"/>
              </w:rPr>
              <w:t>Intercept</w:t>
            </w:r>
          </w:p>
        </w:tc>
        <w:tc>
          <w:tcPr>
            <w:tcW w:w="976" w:type="dxa"/>
            <w:tcBorders>
              <w:top w:val="single" w:sz="4" w:space="0" w:color="auto"/>
              <w:left w:val="nil"/>
              <w:bottom w:val="nil"/>
              <w:right w:val="nil"/>
            </w:tcBorders>
            <w:shd w:val="clear" w:color="auto" w:fill="auto"/>
            <w:noWrap/>
            <w:vAlign w:val="bottom"/>
            <w:hideMark/>
          </w:tcPr>
          <w:p w14:paraId="26F2BA47" w14:textId="77777777" w:rsidR="00C537A7" w:rsidRDefault="00C537A7" w:rsidP="00DA3056">
            <w:pPr>
              <w:jc w:val="right"/>
              <w:rPr>
                <w:rFonts w:ascii="Calibri" w:hAnsi="Calibri" w:cs="Calibri"/>
                <w:color w:val="000000"/>
              </w:rPr>
            </w:pPr>
            <w:r>
              <w:rPr>
                <w:rFonts w:ascii="Calibri" w:hAnsi="Calibri" w:cs="Calibri"/>
                <w:color w:val="000000"/>
              </w:rPr>
              <w:t>9.587</w:t>
            </w:r>
          </w:p>
        </w:tc>
        <w:tc>
          <w:tcPr>
            <w:tcW w:w="976" w:type="dxa"/>
            <w:tcBorders>
              <w:top w:val="single" w:sz="4" w:space="0" w:color="auto"/>
              <w:left w:val="nil"/>
              <w:bottom w:val="nil"/>
              <w:right w:val="nil"/>
            </w:tcBorders>
            <w:shd w:val="clear" w:color="auto" w:fill="auto"/>
            <w:noWrap/>
            <w:vAlign w:val="bottom"/>
            <w:hideMark/>
          </w:tcPr>
          <w:p w14:paraId="48E10F2F" w14:textId="77777777" w:rsidR="00C537A7" w:rsidRDefault="00C537A7" w:rsidP="00DA3056">
            <w:pPr>
              <w:jc w:val="right"/>
              <w:rPr>
                <w:rFonts w:ascii="Calibri" w:hAnsi="Calibri" w:cs="Calibri"/>
                <w:color w:val="000000"/>
              </w:rPr>
            </w:pPr>
            <w:r>
              <w:rPr>
                <w:rFonts w:ascii="Calibri" w:hAnsi="Calibri" w:cs="Calibri"/>
                <w:color w:val="000000"/>
              </w:rPr>
              <w:t>0.313</w:t>
            </w:r>
          </w:p>
        </w:tc>
        <w:tc>
          <w:tcPr>
            <w:tcW w:w="976" w:type="dxa"/>
            <w:tcBorders>
              <w:top w:val="single" w:sz="4" w:space="0" w:color="auto"/>
              <w:left w:val="nil"/>
              <w:bottom w:val="nil"/>
              <w:right w:val="nil"/>
            </w:tcBorders>
            <w:shd w:val="clear" w:color="auto" w:fill="auto"/>
            <w:noWrap/>
            <w:vAlign w:val="bottom"/>
            <w:hideMark/>
          </w:tcPr>
          <w:p w14:paraId="7D104C4C" w14:textId="77777777" w:rsidR="00C537A7" w:rsidRDefault="00C537A7" w:rsidP="00DA3056">
            <w:pPr>
              <w:jc w:val="right"/>
              <w:rPr>
                <w:rFonts w:ascii="Calibri" w:hAnsi="Calibri" w:cs="Calibri"/>
                <w:color w:val="000000"/>
              </w:rPr>
            </w:pPr>
            <w:r>
              <w:rPr>
                <w:rFonts w:ascii="Calibri" w:hAnsi="Calibri" w:cs="Calibri"/>
                <w:color w:val="000000"/>
              </w:rPr>
              <w:t>30.605</w:t>
            </w:r>
          </w:p>
        </w:tc>
        <w:tc>
          <w:tcPr>
            <w:tcW w:w="976" w:type="dxa"/>
            <w:tcBorders>
              <w:top w:val="single" w:sz="4" w:space="0" w:color="auto"/>
              <w:left w:val="nil"/>
              <w:bottom w:val="nil"/>
              <w:right w:val="nil"/>
            </w:tcBorders>
            <w:shd w:val="clear" w:color="auto" w:fill="auto"/>
            <w:noWrap/>
            <w:vAlign w:val="bottom"/>
            <w:hideMark/>
          </w:tcPr>
          <w:p w14:paraId="754BF1B9" w14:textId="77777777" w:rsidR="00C537A7" w:rsidRDefault="00C537A7" w:rsidP="00DA3056">
            <w:pPr>
              <w:jc w:val="right"/>
              <w:rPr>
                <w:rFonts w:ascii="Calibri" w:hAnsi="Calibri" w:cs="Calibri"/>
                <w:b/>
                <w:bCs/>
                <w:color w:val="000000"/>
              </w:rPr>
            </w:pPr>
            <w:r>
              <w:rPr>
                <w:rFonts w:ascii="Calibri" w:hAnsi="Calibri" w:cs="Calibri"/>
                <w:b/>
                <w:bCs/>
                <w:color w:val="000000"/>
              </w:rPr>
              <w:t>&lt; 0.0001</w:t>
            </w:r>
          </w:p>
        </w:tc>
        <w:tc>
          <w:tcPr>
            <w:tcW w:w="976" w:type="dxa"/>
            <w:tcBorders>
              <w:top w:val="single" w:sz="4" w:space="0" w:color="auto"/>
              <w:left w:val="nil"/>
              <w:bottom w:val="nil"/>
              <w:right w:val="nil"/>
            </w:tcBorders>
            <w:shd w:val="clear" w:color="auto" w:fill="auto"/>
            <w:noWrap/>
            <w:vAlign w:val="bottom"/>
            <w:hideMark/>
          </w:tcPr>
          <w:p w14:paraId="7D85389E" w14:textId="77777777" w:rsidR="00C537A7" w:rsidRDefault="00C537A7" w:rsidP="00DA3056">
            <w:pPr>
              <w:jc w:val="right"/>
              <w:rPr>
                <w:rFonts w:ascii="Calibri" w:hAnsi="Calibri" w:cs="Calibri"/>
                <w:color w:val="000000"/>
              </w:rPr>
            </w:pPr>
            <w:r>
              <w:rPr>
                <w:rFonts w:ascii="Calibri" w:hAnsi="Calibri" w:cs="Calibri"/>
                <w:color w:val="000000"/>
              </w:rPr>
              <w:t>8.958</w:t>
            </w:r>
          </w:p>
        </w:tc>
        <w:tc>
          <w:tcPr>
            <w:tcW w:w="976" w:type="dxa"/>
            <w:tcBorders>
              <w:top w:val="single" w:sz="4" w:space="0" w:color="auto"/>
              <w:left w:val="nil"/>
              <w:bottom w:val="nil"/>
              <w:right w:val="nil"/>
            </w:tcBorders>
            <w:shd w:val="clear" w:color="auto" w:fill="auto"/>
            <w:noWrap/>
            <w:vAlign w:val="bottom"/>
            <w:hideMark/>
          </w:tcPr>
          <w:p w14:paraId="7ADA13AF" w14:textId="77777777" w:rsidR="00C537A7" w:rsidRDefault="00C537A7" w:rsidP="00DA3056">
            <w:pPr>
              <w:jc w:val="right"/>
              <w:rPr>
                <w:rFonts w:ascii="Calibri" w:hAnsi="Calibri" w:cs="Calibri"/>
                <w:color w:val="000000"/>
              </w:rPr>
            </w:pPr>
            <w:r>
              <w:rPr>
                <w:rFonts w:ascii="Calibri" w:hAnsi="Calibri" w:cs="Calibri"/>
                <w:color w:val="000000"/>
              </w:rPr>
              <w:t>10.216</w:t>
            </w:r>
          </w:p>
        </w:tc>
      </w:tr>
      <w:tr w:rsidR="00C537A7" w14:paraId="22A7C2C9" w14:textId="77777777" w:rsidTr="00DA3056">
        <w:trPr>
          <w:trHeight w:val="300"/>
        </w:trPr>
        <w:tc>
          <w:tcPr>
            <w:tcW w:w="1039" w:type="dxa"/>
            <w:tcBorders>
              <w:top w:val="nil"/>
              <w:left w:val="nil"/>
              <w:bottom w:val="single" w:sz="8" w:space="0" w:color="auto"/>
              <w:right w:val="nil"/>
            </w:tcBorders>
            <w:shd w:val="clear" w:color="auto" w:fill="auto"/>
            <w:noWrap/>
            <w:vAlign w:val="bottom"/>
            <w:hideMark/>
          </w:tcPr>
          <w:p w14:paraId="6CC4482D" w14:textId="77777777" w:rsidR="00C537A7" w:rsidRDefault="00C537A7" w:rsidP="00DA3056">
            <w:pPr>
              <w:rPr>
                <w:rFonts w:ascii="Calibri" w:hAnsi="Calibri" w:cs="Calibri"/>
                <w:color w:val="000000"/>
              </w:rPr>
            </w:pPr>
            <w:r>
              <w:rPr>
                <w:rFonts w:ascii="Calibri" w:hAnsi="Calibri" w:cs="Calibri"/>
                <w:color w:val="000000"/>
              </w:rPr>
              <w:lastRenderedPageBreak/>
              <w:t>Total Reads</w:t>
            </w:r>
          </w:p>
        </w:tc>
        <w:tc>
          <w:tcPr>
            <w:tcW w:w="976" w:type="dxa"/>
            <w:tcBorders>
              <w:top w:val="nil"/>
              <w:left w:val="nil"/>
              <w:bottom w:val="single" w:sz="8" w:space="0" w:color="auto"/>
              <w:right w:val="nil"/>
            </w:tcBorders>
            <w:shd w:val="clear" w:color="auto" w:fill="auto"/>
            <w:noWrap/>
            <w:vAlign w:val="bottom"/>
            <w:hideMark/>
          </w:tcPr>
          <w:p w14:paraId="4111D77D" w14:textId="77777777" w:rsidR="00C537A7" w:rsidRDefault="00C537A7" w:rsidP="00DA3056">
            <w:pPr>
              <w:jc w:val="right"/>
              <w:rPr>
                <w:rFonts w:ascii="Calibri" w:hAnsi="Calibri" w:cs="Calibri"/>
                <w:color w:val="000000"/>
              </w:rPr>
            </w:pPr>
            <w:r>
              <w:rPr>
                <w:rFonts w:ascii="Calibri" w:hAnsi="Calibri" w:cs="Calibri"/>
                <w:color w:val="000000"/>
              </w:rPr>
              <w:t>-0.110</w:t>
            </w:r>
          </w:p>
        </w:tc>
        <w:tc>
          <w:tcPr>
            <w:tcW w:w="976" w:type="dxa"/>
            <w:tcBorders>
              <w:top w:val="nil"/>
              <w:left w:val="nil"/>
              <w:bottom w:val="single" w:sz="8" w:space="0" w:color="auto"/>
              <w:right w:val="nil"/>
            </w:tcBorders>
            <w:shd w:val="clear" w:color="auto" w:fill="auto"/>
            <w:noWrap/>
            <w:vAlign w:val="bottom"/>
            <w:hideMark/>
          </w:tcPr>
          <w:p w14:paraId="6484BB09" w14:textId="77777777" w:rsidR="00C537A7" w:rsidRDefault="00C537A7" w:rsidP="00DA3056">
            <w:pPr>
              <w:jc w:val="right"/>
              <w:rPr>
                <w:rFonts w:ascii="Calibri" w:hAnsi="Calibri" w:cs="Calibri"/>
                <w:color w:val="000000"/>
              </w:rPr>
            </w:pPr>
            <w:r>
              <w:rPr>
                <w:rFonts w:ascii="Calibri" w:hAnsi="Calibri" w:cs="Calibri"/>
                <w:color w:val="000000"/>
              </w:rPr>
              <w:t>0.063</w:t>
            </w:r>
          </w:p>
        </w:tc>
        <w:tc>
          <w:tcPr>
            <w:tcW w:w="976" w:type="dxa"/>
            <w:tcBorders>
              <w:top w:val="nil"/>
              <w:left w:val="nil"/>
              <w:bottom w:val="single" w:sz="8" w:space="0" w:color="auto"/>
              <w:right w:val="nil"/>
            </w:tcBorders>
            <w:shd w:val="clear" w:color="auto" w:fill="auto"/>
            <w:noWrap/>
            <w:vAlign w:val="bottom"/>
            <w:hideMark/>
          </w:tcPr>
          <w:p w14:paraId="5308464C" w14:textId="77777777" w:rsidR="00C537A7" w:rsidRDefault="00C537A7" w:rsidP="00DA3056">
            <w:pPr>
              <w:jc w:val="right"/>
              <w:rPr>
                <w:rFonts w:ascii="Calibri" w:hAnsi="Calibri" w:cs="Calibri"/>
                <w:color w:val="000000"/>
              </w:rPr>
            </w:pPr>
            <w:r>
              <w:rPr>
                <w:rFonts w:ascii="Calibri" w:hAnsi="Calibri" w:cs="Calibri"/>
                <w:color w:val="000000"/>
              </w:rPr>
              <w:t>-1.738</w:t>
            </w:r>
          </w:p>
        </w:tc>
        <w:tc>
          <w:tcPr>
            <w:tcW w:w="976" w:type="dxa"/>
            <w:tcBorders>
              <w:top w:val="nil"/>
              <w:left w:val="nil"/>
              <w:bottom w:val="single" w:sz="8" w:space="0" w:color="auto"/>
              <w:right w:val="nil"/>
            </w:tcBorders>
            <w:shd w:val="clear" w:color="auto" w:fill="auto"/>
            <w:noWrap/>
            <w:vAlign w:val="bottom"/>
            <w:hideMark/>
          </w:tcPr>
          <w:p w14:paraId="7F7DBF60" w14:textId="77777777" w:rsidR="00C537A7" w:rsidRDefault="00C537A7" w:rsidP="00DA3056">
            <w:pPr>
              <w:jc w:val="right"/>
              <w:rPr>
                <w:rFonts w:ascii="Calibri" w:hAnsi="Calibri" w:cs="Calibri"/>
                <w:color w:val="000000"/>
              </w:rPr>
            </w:pPr>
            <w:r>
              <w:rPr>
                <w:rFonts w:ascii="Calibri" w:hAnsi="Calibri" w:cs="Calibri"/>
                <w:color w:val="000000"/>
              </w:rPr>
              <w:t>0.088</w:t>
            </w:r>
          </w:p>
        </w:tc>
        <w:tc>
          <w:tcPr>
            <w:tcW w:w="976" w:type="dxa"/>
            <w:tcBorders>
              <w:top w:val="nil"/>
              <w:left w:val="nil"/>
              <w:bottom w:val="single" w:sz="8" w:space="0" w:color="auto"/>
              <w:right w:val="nil"/>
            </w:tcBorders>
            <w:shd w:val="clear" w:color="auto" w:fill="auto"/>
            <w:noWrap/>
            <w:vAlign w:val="bottom"/>
            <w:hideMark/>
          </w:tcPr>
          <w:p w14:paraId="1623CA0D" w14:textId="77777777" w:rsidR="00C537A7" w:rsidRDefault="00C537A7" w:rsidP="00DA3056">
            <w:pPr>
              <w:jc w:val="right"/>
              <w:rPr>
                <w:rFonts w:ascii="Calibri" w:hAnsi="Calibri" w:cs="Calibri"/>
                <w:color w:val="000000"/>
              </w:rPr>
            </w:pPr>
            <w:r>
              <w:rPr>
                <w:rFonts w:ascii="Calibri" w:hAnsi="Calibri" w:cs="Calibri"/>
                <w:color w:val="000000"/>
              </w:rPr>
              <w:t>-0.237</w:t>
            </w:r>
          </w:p>
        </w:tc>
        <w:tc>
          <w:tcPr>
            <w:tcW w:w="976" w:type="dxa"/>
            <w:tcBorders>
              <w:top w:val="nil"/>
              <w:left w:val="nil"/>
              <w:bottom w:val="single" w:sz="8" w:space="0" w:color="auto"/>
              <w:right w:val="nil"/>
            </w:tcBorders>
            <w:shd w:val="clear" w:color="auto" w:fill="auto"/>
            <w:noWrap/>
            <w:vAlign w:val="bottom"/>
            <w:hideMark/>
          </w:tcPr>
          <w:p w14:paraId="760B1815" w14:textId="77777777" w:rsidR="00C537A7" w:rsidRDefault="00C537A7" w:rsidP="00DA3056">
            <w:pPr>
              <w:jc w:val="right"/>
              <w:rPr>
                <w:rFonts w:ascii="Calibri" w:hAnsi="Calibri" w:cs="Calibri"/>
                <w:color w:val="000000"/>
              </w:rPr>
            </w:pPr>
            <w:r>
              <w:rPr>
                <w:rFonts w:ascii="Calibri" w:hAnsi="Calibri" w:cs="Calibri"/>
                <w:color w:val="000000"/>
              </w:rPr>
              <w:t>0.017</w:t>
            </w:r>
          </w:p>
        </w:tc>
      </w:tr>
    </w:tbl>
    <w:p w14:paraId="18E854E4" w14:textId="77777777" w:rsidR="00C537A7" w:rsidRDefault="00C537A7" w:rsidP="00C537A7"/>
    <w:p w14:paraId="240D6753" w14:textId="77777777" w:rsidR="00C537A7" w:rsidRDefault="00C537A7" w:rsidP="00C537A7">
      <w:r>
        <w:t>Equation of the model (AMELX (CI)):</w:t>
      </w:r>
    </w:p>
    <w:p w14:paraId="3141B358" w14:textId="77777777" w:rsidR="00C537A7" w:rsidRDefault="00C537A7" w:rsidP="00C537A7">
      <w:r>
        <w:t>AMELX (CI) = 9.58725211280958-0.109929304082137*Total Reads</w:t>
      </w:r>
    </w:p>
    <w:p w14:paraId="408A08CA" w14:textId="77777777" w:rsidR="00C537A7" w:rsidRDefault="00C537A7" w:rsidP="00C537A7">
      <w:r>
        <w:t>Figure: Regression of AMELX (CI) by Total Reads (R²=0.056)</w:t>
      </w:r>
    </w:p>
    <w:p w14:paraId="0A8014B6" w14:textId="77777777" w:rsidR="00C537A7" w:rsidRDefault="00C537A7" w:rsidP="00C537A7">
      <w:r>
        <w:rPr>
          <w:noProof/>
        </w:rPr>
        <w:drawing>
          <wp:inline distT="0" distB="0" distL="0" distR="0" wp14:anchorId="0177609D" wp14:editId="5BC22839">
            <wp:extent cx="3657600" cy="3291840"/>
            <wp:effectExtent l="0" t="0" r="0" b="3810"/>
            <wp:docPr id="15" name="Chart 15">
              <a:extLst xmlns:a="http://schemas.openxmlformats.org/drawingml/2006/main">
                <a:ext uri="{FF2B5EF4-FFF2-40B4-BE49-F238E27FC236}">
                  <a16:creationId xmlns:a16="http://schemas.microsoft.com/office/drawing/2014/main" id="{00000000-0008-0000-09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A75019" w14:textId="77777777" w:rsidR="00C537A7" w:rsidRDefault="00C537A7" w:rsidP="00C537A7"/>
    <w:p w14:paraId="23B8C1F3" w14:textId="77777777" w:rsidR="00C537A7" w:rsidRPr="00133635" w:rsidRDefault="00C537A7" w:rsidP="00C537A7">
      <w:pPr>
        <w:rPr>
          <w:b/>
          <w:bCs/>
        </w:rPr>
      </w:pPr>
    </w:p>
    <w:p w14:paraId="01F54C4A" w14:textId="77777777" w:rsidR="00C537A7" w:rsidRPr="001F2E9A" w:rsidRDefault="00C537A7" w:rsidP="00C537A7">
      <w:pPr>
        <w:rPr>
          <w:rFonts w:cstheme="minorHAnsi"/>
          <w:b/>
          <w:bCs/>
        </w:rPr>
      </w:pPr>
      <w:r w:rsidRPr="00133635">
        <w:rPr>
          <w:b/>
          <w:bCs/>
        </w:rPr>
        <w:t xml:space="preserve">Independent t-test for average AMELX CI/mg signal (log transformed) recovered from samples at </w:t>
      </w:r>
      <w:r w:rsidRPr="001F2E9A">
        <w:rPr>
          <w:rFonts w:cstheme="minorHAnsi"/>
          <w:b/>
          <w:bCs/>
          <w:i/>
          <w:iCs/>
        </w:rPr>
        <w:t>Síi Túupentak</w:t>
      </w:r>
      <w:r w:rsidRPr="001F2E9A">
        <w:rPr>
          <w:rFonts w:cstheme="minorHAnsi"/>
          <w:b/>
          <w:bCs/>
        </w:rPr>
        <w:t xml:space="preserve"> (CA-ALA-565/H) and </w:t>
      </w:r>
      <w:r w:rsidRPr="001F2E9A">
        <w:rPr>
          <w:rFonts w:cstheme="minorHAnsi"/>
          <w:b/>
          <w:bCs/>
          <w:i/>
          <w:iCs/>
          <w:color w:val="000000"/>
          <w:sz w:val="24"/>
          <w:szCs w:val="24"/>
        </w:rPr>
        <w:t>Rummey Ta Kuččuwiš Tiprectak (</w:t>
      </w:r>
      <w:r w:rsidRPr="001F2E9A">
        <w:rPr>
          <w:rFonts w:cstheme="minorHAnsi"/>
          <w:b/>
          <w:bCs/>
        </w:rPr>
        <w:t>CA-ALA-704/H)</w:t>
      </w:r>
    </w:p>
    <w:p w14:paraId="3A7C7186" w14:textId="77777777" w:rsidR="00C537A7" w:rsidRDefault="00C537A7" w:rsidP="00C537A7">
      <w:r>
        <w:t>Summary statistics:</w:t>
      </w:r>
    </w:p>
    <w:tbl>
      <w:tblPr>
        <w:tblW w:w="8013" w:type="dxa"/>
        <w:tblLook w:val="04A0" w:firstRow="1" w:lastRow="0" w:firstColumn="1" w:lastColumn="0" w:noHBand="0" w:noVBand="1"/>
      </w:tblPr>
      <w:tblGrid>
        <w:gridCol w:w="976"/>
        <w:gridCol w:w="1397"/>
        <w:gridCol w:w="976"/>
        <w:gridCol w:w="976"/>
        <w:gridCol w:w="1088"/>
        <w:gridCol w:w="1123"/>
        <w:gridCol w:w="976"/>
        <w:gridCol w:w="1053"/>
      </w:tblGrid>
      <w:tr w:rsidR="00C537A7" w14:paraId="235151E7" w14:textId="77777777" w:rsidTr="00DA3056">
        <w:trPr>
          <w:trHeight w:val="288"/>
        </w:trPr>
        <w:tc>
          <w:tcPr>
            <w:tcW w:w="976" w:type="dxa"/>
            <w:tcBorders>
              <w:top w:val="single" w:sz="8" w:space="0" w:color="auto"/>
              <w:left w:val="nil"/>
              <w:bottom w:val="nil"/>
              <w:right w:val="nil"/>
            </w:tcBorders>
            <w:shd w:val="clear" w:color="auto" w:fill="auto"/>
            <w:noWrap/>
            <w:vAlign w:val="bottom"/>
            <w:hideMark/>
          </w:tcPr>
          <w:p w14:paraId="531BF5D3" w14:textId="77777777" w:rsidR="00C537A7" w:rsidRDefault="00C537A7" w:rsidP="00DA3056">
            <w:pPr>
              <w:jc w:val="center"/>
              <w:rPr>
                <w:rFonts w:ascii="Calibri" w:hAnsi="Calibri" w:cs="Calibri"/>
                <w:color w:val="000000"/>
              </w:rPr>
            </w:pPr>
            <w:r>
              <w:rPr>
                <w:rFonts w:ascii="Calibri" w:hAnsi="Calibri" w:cs="Calibri"/>
                <w:color w:val="000000"/>
              </w:rPr>
              <w:t>Variable</w:t>
            </w:r>
          </w:p>
        </w:tc>
        <w:tc>
          <w:tcPr>
            <w:tcW w:w="1181" w:type="dxa"/>
            <w:tcBorders>
              <w:top w:val="single" w:sz="8" w:space="0" w:color="auto"/>
              <w:left w:val="nil"/>
              <w:bottom w:val="nil"/>
              <w:right w:val="nil"/>
            </w:tcBorders>
            <w:shd w:val="clear" w:color="auto" w:fill="auto"/>
            <w:noWrap/>
            <w:vAlign w:val="bottom"/>
            <w:hideMark/>
          </w:tcPr>
          <w:p w14:paraId="72B28FD1" w14:textId="77777777" w:rsidR="00C537A7" w:rsidRDefault="00C537A7" w:rsidP="00DA3056">
            <w:pPr>
              <w:jc w:val="center"/>
              <w:rPr>
                <w:rFonts w:ascii="Calibri" w:hAnsi="Calibri" w:cs="Calibri"/>
                <w:color w:val="000000"/>
              </w:rPr>
            </w:pPr>
            <w:r>
              <w:rPr>
                <w:rFonts w:ascii="Calibri" w:hAnsi="Calibri" w:cs="Calibri"/>
                <w:color w:val="000000"/>
              </w:rPr>
              <w:t>Observations</w:t>
            </w:r>
          </w:p>
        </w:tc>
        <w:tc>
          <w:tcPr>
            <w:tcW w:w="976" w:type="dxa"/>
            <w:tcBorders>
              <w:top w:val="single" w:sz="8" w:space="0" w:color="auto"/>
              <w:left w:val="nil"/>
              <w:bottom w:val="nil"/>
              <w:right w:val="nil"/>
            </w:tcBorders>
            <w:shd w:val="clear" w:color="auto" w:fill="auto"/>
            <w:noWrap/>
            <w:vAlign w:val="bottom"/>
            <w:hideMark/>
          </w:tcPr>
          <w:p w14:paraId="474441E8" w14:textId="77777777" w:rsidR="00C537A7" w:rsidRDefault="00C537A7" w:rsidP="00DA3056">
            <w:pPr>
              <w:jc w:val="center"/>
              <w:rPr>
                <w:rFonts w:ascii="Calibri" w:hAnsi="Calibri" w:cs="Calibri"/>
                <w:color w:val="000000"/>
              </w:rPr>
            </w:pPr>
            <w:r>
              <w:rPr>
                <w:rFonts w:ascii="Calibri" w:hAnsi="Calibri" w:cs="Calibri"/>
                <w:color w:val="000000"/>
              </w:rPr>
              <w:t>Obs. with missing data</w:t>
            </w:r>
          </w:p>
        </w:tc>
        <w:tc>
          <w:tcPr>
            <w:tcW w:w="976" w:type="dxa"/>
            <w:tcBorders>
              <w:top w:val="single" w:sz="8" w:space="0" w:color="auto"/>
              <w:left w:val="nil"/>
              <w:bottom w:val="nil"/>
              <w:right w:val="nil"/>
            </w:tcBorders>
            <w:shd w:val="clear" w:color="auto" w:fill="auto"/>
            <w:noWrap/>
            <w:vAlign w:val="bottom"/>
            <w:hideMark/>
          </w:tcPr>
          <w:p w14:paraId="20A13A39" w14:textId="77777777" w:rsidR="00C537A7" w:rsidRDefault="00C537A7" w:rsidP="00DA3056">
            <w:pPr>
              <w:jc w:val="center"/>
              <w:rPr>
                <w:rFonts w:ascii="Calibri" w:hAnsi="Calibri" w:cs="Calibri"/>
                <w:color w:val="000000"/>
              </w:rPr>
            </w:pPr>
            <w:r>
              <w:rPr>
                <w:rFonts w:ascii="Calibri" w:hAnsi="Calibri" w:cs="Calibri"/>
                <w:color w:val="000000"/>
              </w:rPr>
              <w:t>Obs. without missing data</w:t>
            </w:r>
          </w:p>
        </w:tc>
        <w:tc>
          <w:tcPr>
            <w:tcW w:w="976" w:type="dxa"/>
            <w:tcBorders>
              <w:top w:val="single" w:sz="8" w:space="0" w:color="auto"/>
              <w:left w:val="nil"/>
              <w:bottom w:val="nil"/>
              <w:right w:val="nil"/>
            </w:tcBorders>
            <w:shd w:val="clear" w:color="auto" w:fill="auto"/>
            <w:noWrap/>
            <w:vAlign w:val="bottom"/>
            <w:hideMark/>
          </w:tcPr>
          <w:p w14:paraId="6443677C" w14:textId="77777777" w:rsidR="00C537A7" w:rsidRDefault="00C537A7" w:rsidP="00DA3056">
            <w:pPr>
              <w:jc w:val="center"/>
              <w:rPr>
                <w:rFonts w:ascii="Calibri" w:hAnsi="Calibri" w:cs="Calibri"/>
                <w:color w:val="000000"/>
              </w:rPr>
            </w:pPr>
            <w:r>
              <w:rPr>
                <w:rFonts w:ascii="Calibri" w:hAnsi="Calibri" w:cs="Calibri"/>
                <w:color w:val="000000"/>
              </w:rPr>
              <w:t>Minimum</w:t>
            </w:r>
          </w:p>
        </w:tc>
        <w:tc>
          <w:tcPr>
            <w:tcW w:w="976" w:type="dxa"/>
            <w:tcBorders>
              <w:top w:val="single" w:sz="8" w:space="0" w:color="auto"/>
              <w:left w:val="nil"/>
              <w:bottom w:val="nil"/>
              <w:right w:val="nil"/>
            </w:tcBorders>
            <w:shd w:val="clear" w:color="auto" w:fill="auto"/>
            <w:noWrap/>
            <w:vAlign w:val="bottom"/>
            <w:hideMark/>
          </w:tcPr>
          <w:p w14:paraId="08E5E488" w14:textId="77777777" w:rsidR="00C537A7" w:rsidRDefault="00C537A7" w:rsidP="00DA3056">
            <w:pPr>
              <w:jc w:val="center"/>
              <w:rPr>
                <w:rFonts w:ascii="Calibri" w:hAnsi="Calibri" w:cs="Calibri"/>
                <w:color w:val="000000"/>
              </w:rPr>
            </w:pPr>
            <w:r>
              <w:rPr>
                <w:rFonts w:ascii="Calibri" w:hAnsi="Calibri" w:cs="Calibri"/>
                <w:color w:val="000000"/>
              </w:rPr>
              <w:t>Maximum</w:t>
            </w:r>
          </w:p>
        </w:tc>
        <w:tc>
          <w:tcPr>
            <w:tcW w:w="976" w:type="dxa"/>
            <w:tcBorders>
              <w:top w:val="single" w:sz="8" w:space="0" w:color="auto"/>
              <w:left w:val="nil"/>
              <w:bottom w:val="nil"/>
              <w:right w:val="nil"/>
            </w:tcBorders>
            <w:shd w:val="clear" w:color="auto" w:fill="auto"/>
            <w:noWrap/>
            <w:vAlign w:val="bottom"/>
            <w:hideMark/>
          </w:tcPr>
          <w:p w14:paraId="767CD8C5" w14:textId="77777777" w:rsidR="00C537A7" w:rsidRDefault="00C537A7" w:rsidP="00DA3056">
            <w:pPr>
              <w:jc w:val="center"/>
              <w:rPr>
                <w:rFonts w:ascii="Calibri" w:hAnsi="Calibri" w:cs="Calibri"/>
                <w:color w:val="000000"/>
              </w:rPr>
            </w:pPr>
            <w:r>
              <w:rPr>
                <w:rFonts w:ascii="Calibri" w:hAnsi="Calibri" w:cs="Calibri"/>
                <w:color w:val="000000"/>
              </w:rPr>
              <w:t>Mean</w:t>
            </w:r>
          </w:p>
        </w:tc>
        <w:tc>
          <w:tcPr>
            <w:tcW w:w="976" w:type="dxa"/>
            <w:tcBorders>
              <w:top w:val="single" w:sz="8" w:space="0" w:color="auto"/>
              <w:left w:val="nil"/>
              <w:bottom w:val="nil"/>
              <w:right w:val="nil"/>
            </w:tcBorders>
            <w:shd w:val="clear" w:color="auto" w:fill="auto"/>
            <w:noWrap/>
            <w:vAlign w:val="bottom"/>
            <w:hideMark/>
          </w:tcPr>
          <w:p w14:paraId="2E94F394" w14:textId="77777777" w:rsidR="00C537A7" w:rsidRDefault="00C537A7" w:rsidP="00DA3056">
            <w:pPr>
              <w:jc w:val="center"/>
              <w:rPr>
                <w:rFonts w:ascii="Calibri" w:hAnsi="Calibri" w:cs="Calibri"/>
                <w:color w:val="000000"/>
              </w:rPr>
            </w:pPr>
            <w:r>
              <w:rPr>
                <w:rFonts w:ascii="Calibri" w:hAnsi="Calibri" w:cs="Calibri"/>
                <w:color w:val="000000"/>
              </w:rPr>
              <w:t>Std. deviation</w:t>
            </w:r>
          </w:p>
        </w:tc>
      </w:tr>
      <w:tr w:rsidR="00C537A7" w14:paraId="0E91C7EE" w14:textId="77777777" w:rsidTr="00DA3056">
        <w:trPr>
          <w:trHeight w:val="288"/>
        </w:trPr>
        <w:tc>
          <w:tcPr>
            <w:tcW w:w="976" w:type="dxa"/>
            <w:tcBorders>
              <w:top w:val="single" w:sz="4" w:space="0" w:color="auto"/>
              <w:left w:val="nil"/>
              <w:bottom w:val="nil"/>
              <w:right w:val="nil"/>
            </w:tcBorders>
            <w:shd w:val="clear" w:color="auto" w:fill="auto"/>
            <w:noWrap/>
            <w:vAlign w:val="bottom"/>
            <w:hideMark/>
          </w:tcPr>
          <w:p w14:paraId="01BFDC4B" w14:textId="77777777" w:rsidR="00C537A7" w:rsidRDefault="00C537A7" w:rsidP="00DA3056">
            <w:pPr>
              <w:rPr>
                <w:rFonts w:ascii="Calibri" w:hAnsi="Calibri" w:cs="Calibri"/>
                <w:color w:val="000000"/>
              </w:rPr>
            </w:pPr>
            <w:r>
              <w:rPr>
                <w:rFonts w:ascii="Calibri" w:hAnsi="Calibri" w:cs="Calibri"/>
                <w:color w:val="000000"/>
              </w:rPr>
              <w:t>Var1</w:t>
            </w:r>
          </w:p>
        </w:tc>
        <w:tc>
          <w:tcPr>
            <w:tcW w:w="1181" w:type="dxa"/>
            <w:tcBorders>
              <w:top w:val="single" w:sz="4" w:space="0" w:color="auto"/>
              <w:left w:val="nil"/>
              <w:bottom w:val="nil"/>
              <w:right w:val="nil"/>
            </w:tcBorders>
            <w:shd w:val="clear" w:color="auto" w:fill="auto"/>
            <w:noWrap/>
            <w:vAlign w:val="bottom"/>
            <w:hideMark/>
          </w:tcPr>
          <w:p w14:paraId="3872E6C3" w14:textId="77777777" w:rsidR="00C537A7" w:rsidRDefault="00C537A7" w:rsidP="00DA3056">
            <w:pPr>
              <w:jc w:val="right"/>
              <w:rPr>
                <w:rFonts w:ascii="Calibri" w:hAnsi="Calibri" w:cs="Calibri"/>
                <w:color w:val="000000"/>
              </w:rPr>
            </w:pPr>
            <w:r>
              <w:rPr>
                <w:rFonts w:ascii="Calibri" w:hAnsi="Calibri" w:cs="Calibri"/>
                <w:color w:val="000000"/>
              </w:rPr>
              <w:t>39</w:t>
            </w:r>
          </w:p>
        </w:tc>
        <w:tc>
          <w:tcPr>
            <w:tcW w:w="976" w:type="dxa"/>
            <w:tcBorders>
              <w:top w:val="single" w:sz="4" w:space="0" w:color="auto"/>
              <w:left w:val="nil"/>
              <w:bottom w:val="nil"/>
              <w:right w:val="nil"/>
            </w:tcBorders>
            <w:shd w:val="clear" w:color="auto" w:fill="auto"/>
            <w:noWrap/>
            <w:vAlign w:val="bottom"/>
            <w:hideMark/>
          </w:tcPr>
          <w:p w14:paraId="2B0BA58E" w14:textId="77777777" w:rsidR="00C537A7" w:rsidRDefault="00C537A7" w:rsidP="00DA3056">
            <w:pPr>
              <w:jc w:val="right"/>
              <w:rPr>
                <w:rFonts w:ascii="Calibri" w:hAnsi="Calibri" w:cs="Calibri"/>
                <w:color w:val="000000"/>
              </w:rPr>
            </w:pPr>
            <w:r>
              <w:rPr>
                <w:rFonts w:ascii="Calibri" w:hAnsi="Calibri" w:cs="Calibri"/>
                <w:color w:val="000000"/>
              </w:rPr>
              <w:t>0</w:t>
            </w:r>
          </w:p>
        </w:tc>
        <w:tc>
          <w:tcPr>
            <w:tcW w:w="976" w:type="dxa"/>
            <w:tcBorders>
              <w:top w:val="single" w:sz="4" w:space="0" w:color="auto"/>
              <w:left w:val="nil"/>
              <w:bottom w:val="nil"/>
              <w:right w:val="nil"/>
            </w:tcBorders>
            <w:shd w:val="clear" w:color="auto" w:fill="auto"/>
            <w:noWrap/>
            <w:vAlign w:val="bottom"/>
            <w:hideMark/>
          </w:tcPr>
          <w:p w14:paraId="78DAF37A" w14:textId="77777777" w:rsidR="00C537A7" w:rsidRDefault="00C537A7" w:rsidP="00DA3056">
            <w:pPr>
              <w:jc w:val="right"/>
              <w:rPr>
                <w:rFonts w:ascii="Calibri" w:hAnsi="Calibri" w:cs="Calibri"/>
                <w:color w:val="000000"/>
              </w:rPr>
            </w:pPr>
            <w:r>
              <w:rPr>
                <w:rFonts w:ascii="Calibri" w:hAnsi="Calibri" w:cs="Calibri"/>
                <w:color w:val="000000"/>
              </w:rPr>
              <w:t>39</w:t>
            </w:r>
          </w:p>
        </w:tc>
        <w:tc>
          <w:tcPr>
            <w:tcW w:w="976" w:type="dxa"/>
            <w:tcBorders>
              <w:top w:val="single" w:sz="4" w:space="0" w:color="auto"/>
              <w:left w:val="nil"/>
              <w:bottom w:val="nil"/>
              <w:right w:val="nil"/>
            </w:tcBorders>
            <w:shd w:val="clear" w:color="auto" w:fill="auto"/>
            <w:noWrap/>
            <w:vAlign w:val="bottom"/>
            <w:hideMark/>
          </w:tcPr>
          <w:p w14:paraId="02BB86AF" w14:textId="77777777" w:rsidR="00C537A7" w:rsidRDefault="00C537A7" w:rsidP="00DA3056">
            <w:pPr>
              <w:jc w:val="right"/>
              <w:rPr>
                <w:rFonts w:ascii="Calibri" w:hAnsi="Calibri" w:cs="Calibri"/>
                <w:color w:val="000000"/>
              </w:rPr>
            </w:pPr>
            <w:r>
              <w:rPr>
                <w:rFonts w:ascii="Calibri" w:hAnsi="Calibri" w:cs="Calibri"/>
                <w:color w:val="000000"/>
              </w:rPr>
              <w:t>7.871</w:t>
            </w:r>
          </w:p>
        </w:tc>
        <w:tc>
          <w:tcPr>
            <w:tcW w:w="976" w:type="dxa"/>
            <w:tcBorders>
              <w:top w:val="single" w:sz="4" w:space="0" w:color="auto"/>
              <w:left w:val="nil"/>
              <w:bottom w:val="nil"/>
              <w:right w:val="nil"/>
            </w:tcBorders>
            <w:shd w:val="clear" w:color="auto" w:fill="auto"/>
            <w:noWrap/>
            <w:vAlign w:val="bottom"/>
            <w:hideMark/>
          </w:tcPr>
          <w:p w14:paraId="6F2AA8AF" w14:textId="77777777" w:rsidR="00C537A7" w:rsidRDefault="00C537A7" w:rsidP="00DA3056">
            <w:pPr>
              <w:jc w:val="right"/>
              <w:rPr>
                <w:rFonts w:ascii="Calibri" w:hAnsi="Calibri" w:cs="Calibri"/>
                <w:color w:val="000000"/>
              </w:rPr>
            </w:pPr>
            <w:r>
              <w:rPr>
                <w:rFonts w:ascii="Calibri" w:hAnsi="Calibri" w:cs="Calibri"/>
                <w:color w:val="000000"/>
              </w:rPr>
              <w:t>10.012</w:t>
            </w:r>
          </w:p>
        </w:tc>
        <w:tc>
          <w:tcPr>
            <w:tcW w:w="976" w:type="dxa"/>
            <w:tcBorders>
              <w:top w:val="single" w:sz="4" w:space="0" w:color="auto"/>
              <w:left w:val="nil"/>
              <w:bottom w:val="nil"/>
              <w:right w:val="nil"/>
            </w:tcBorders>
            <w:shd w:val="clear" w:color="auto" w:fill="auto"/>
            <w:noWrap/>
            <w:vAlign w:val="bottom"/>
            <w:hideMark/>
          </w:tcPr>
          <w:p w14:paraId="52963BDC" w14:textId="77777777" w:rsidR="00C537A7" w:rsidRDefault="00C537A7" w:rsidP="00DA3056">
            <w:pPr>
              <w:jc w:val="right"/>
              <w:rPr>
                <w:rFonts w:ascii="Calibri" w:hAnsi="Calibri" w:cs="Calibri"/>
                <w:color w:val="000000"/>
              </w:rPr>
            </w:pPr>
            <w:r>
              <w:rPr>
                <w:rFonts w:ascii="Calibri" w:hAnsi="Calibri" w:cs="Calibri"/>
                <w:color w:val="000000"/>
              </w:rPr>
              <w:t>9.031</w:t>
            </w:r>
          </w:p>
        </w:tc>
        <w:tc>
          <w:tcPr>
            <w:tcW w:w="976" w:type="dxa"/>
            <w:tcBorders>
              <w:top w:val="single" w:sz="4" w:space="0" w:color="auto"/>
              <w:left w:val="nil"/>
              <w:bottom w:val="nil"/>
              <w:right w:val="nil"/>
            </w:tcBorders>
            <w:shd w:val="clear" w:color="auto" w:fill="auto"/>
            <w:noWrap/>
            <w:vAlign w:val="bottom"/>
            <w:hideMark/>
          </w:tcPr>
          <w:p w14:paraId="68834242" w14:textId="77777777" w:rsidR="00C537A7" w:rsidRDefault="00C537A7" w:rsidP="00DA3056">
            <w:pPr>
              <w:jc w:val="right"/>
              <w:rPr>
                <w:rFonts w:ascii="Calibri" w:hAnsi="Calibri" w:cs="Calibri"/>
                <w:color w:val="000000"/>
              </w:rPr>
            </w:pPr>
            <w:r>
              <w:rPr>
                <w:rFonts w:ascii="Calibri" w:hAnsi="Calibri" w:cs="Calibri"/>
                <w:color w:val="000000"/>
              </w:rPr>
              <w:t>0.564</w:t>
            </w:r>
          </w:p>
        </w:tc>
      </w:tr>
      <w:tr w:rsidR="00C537A7" w14:paraId="39BCE817" w14:textId="77777777" w:rsidTr="00DA3056">
        <w:trPr>
          <w:trHeight w:val="300"/>
        </w:trPr>
        <w:tc>
          <w:tcPr>
            <w:tcW w:w="976" w:type="dxa"/>
            <w:tcBorders>
              <w:top w:val="nil"/>
              <w:left w:val="nil"/>
              <w:bottom w:val="single" w:sz="8" w:space="0" w:color="auto"/>
              <w:right w:val="nil"/>
            </w:tcBorders>
            <w:shd w:val="clear" w:color="auto" w:fill="auto"/>
            <w:noWrap/>
            <w:vAlign w:val="bottom"/>
            <w:hideMark/>
          </w:tcPr>
          <w:p w14:paraId="09AFA2CC" w14:textId="77777777" w:rsidR="00C537A7" w:rsidRDefault="00C537A7" w:rsidP="00DA3056">
            <w:pPr>
              <w:rPr>
                <w:rFonts w:ascii="Calibri" w:hAnsi="Calibri" w:cs="Calibri"/>
                <w:color w:val="000000"/>
              </w:rPr>
            </w:pPr>
            <w:r>
              <w:rPr>
                <w:rFonts w:ascii="Calibri" w:hAnsi="Calibri" w:cs="Calibri"/>
                <w:color w:val="000000"/>
              </w:rPr>
              <w:t>Var1</w:t>
            </w:r>
          </w:p>
        </w:tc>
        <w:tc>
          <w:tcPr>
            <w:tcW w:w="1181" w:type="dxa"/>
            <w:tcBorders>
              <w:top w:val="nil"/>
              <w:left w:val="nil"/>
              <w:bottom w:val="single" w:sz="8" w:space="0" w:color="auto"/>
              <w:right w:val="nil"/>
            </w:tcBorders>
            <w:shd w:val="clear" w:color="auto" w:fill="auto"/>
            <w:noWrap/>
            <w:vAlign w:val="bottom"/>
            <w:hideMark/>
          </w:tcPr>
          <w:p w14:paraId="32051B77" w14:textId="77777777" w:rsidR="00C537A7" w:rsidRDefault="00C537A7" w:rsidP="00DA3056">
            <w:pPr>
              <w:jc w:val="right"/>
              <w:rPr>
                <w:rFonts w:ascii="Calibri" w:hAnsi="Calibri" w:cs="Calibri"/>
                <w:color w:val="000000"/>
              </w:rPr>
            </w:pPr>
            <w:r>
              <w:rPr>
                <w:rFonts w:ascii="Calibri" w:hAnsi="Calibri" w:cs="Calibri"/>
                <w:color w:val="000000"/>
              </w:rPr>
              <w:t>16</w:t>
            </w:r>
          </w:p>
        </w:tc>
        <w:tc>
          <w:tcPr>
            <w:tcW w:w="976" w:type="dxa"/>
            <w:tcBorders>
              <w:top w:val="nil"/>
              <w:left w:val="nil"/>
              <w:bottom w:val="single" w:sz="8" w:space="0" w:color="auto"/>
              <w:right w:val="nil"/>
            </w:tcBorders>
            <w:shd w:val="clear" w:color="auto" w:fill="auto"/>
            <w:noWrap/>
            <w:vAlign w:val="bottom"/>
            <w:hideMark/>
          </w:tcPr>
          <w:p w14:paraId="08FB7648" w14:textId="77777777" w:rsidR="00C537A7" w:rsidRDefault="00C537A7" w:rsidP="00DA3056">
            <w:pPr>
              <w:jc w:val="right"/>
              <w:rPr>
                <w:rFonts w:ascii="Calibri" w:hAnsi="Calibri" w:cs="Calibri"/>
                <w:color w:val="000000"/>
              </w:rPr>
            </w:pPr>
            <w:r>
              <w:rPr>
                <w:rFonts w:ascii="Calibri" w:hAnsi="Calibri" w:cs="Calibri"/>
                <w:color w:val="000000"/>
              </w:rPr>
              <w:t>0</w:t>
            </w:r>
          </w:p>
        </w:tc>
        <w:tc>
          <w:tcPr>
            <w:tcW w:w="976" w:type="dxa"/>
            <w:tcBorders>
              <w:top w:val="nil"/>
              <w:left w:val="nil"/>
              <w:bottom w:val="single" w:sz="8" w:space="0" w:color="auto"/>
              <w:right w:val="nil"/>
            </w:tcBorders>
            <w:shd w:val="clear" w:color="auto" w:fill="auto"/>
            <w:noWrap/>
            <w:vAlign w:val="bottom"/>
            <w:hideMark/>
          </w:tcPr>
          <w:p w14:paraId="31F557A9" w14:textId="77777777" w:rsidR="00C537A7" w:rsidRDefault="00C537A7" w:rsidP="00DA3056">
            <w:pPr>
              <w:jc w:val="right"/>
              <w:rPr>
                <w:rFonts w:ascii="Calibri" w:hAnsi="Calibri" w:cs="Calibri"/>
                <w:color w:val="000000"/>
              </w:rPr>
            </w:pPr>
            <w:r>
              <w:rPr>
                <w:rFonts w:ascii="Calibri" w:hAnsi="Calibri" w:cs="Calibri"/>
                <w:color w:val="000000"/>
              </w:rPr>
              <w:t>16</w:t>
            </w:r>
          </w:p>
        </w:tc>
        <w:tc>
          <w:tcPr>
            <w:tcW w:w="976" w:type="dxa"/>
            <w:tcBorders>
              <w:top w:val="nil"/>
              <w:left w:val="nil"/>
              <w:bottom w:val="single" w:sz="8" w:space="0" w:color="auto"/>
              <w:right w:val="nil"/>
            </w:tcBorders>
            <w:shd w:val="clear" w:color="auto" w:fill="auto"/>
            <w:noWrap/>
            <w:vAlign w:val="bottom"/>
            <w:hideMark/>
          </w:tcPr>
          <w:p w14:paraId="2C30CE61" w14:textId="77777777" w:rsidR="00C537A7" w:rsidRDefault="00C537A7" w:rsidP="00DA3056">
            <w:pPr>
              <w:jc w:val="right"/>
              <w:rPr>
                <w:rFonts w:ascii="Calibri" w:hAnsi="Calibri" w:cs="Calibri"/>
                <w:color w:val="000000"/>
              </w:rPr>
            </w:pPr>
            <w:r>
              <w:rPr>
                <w:rFonts w:ascii="Calibri" w:hAnsi="Calibri" w:cs="Calibri"/>
                <w:color w:val="000000"/>
              </w:rPr>
              <w:t>7.780</w:t>
            </w:r>
          </w:p>
        </w:tc>
        <w:tc>
          <w:tcPr>
            <w:tcW w:w="976" w:type="dxa"/>
            <w:tcBorders>
              <w:top w:val="nil"/>
              <w:left w:val="nil"/>
              <w:bottom w:val="single" w:sz="8" w:space="0" w:color="auto"/>
              <w:right w:val="nil"/>
            </w:tcBorders>
            <w:shd w:val="clear" w:color="auto" w:fill="auto"/>
            <w:noWrap/>
            <w:vAlign w:val="bottom"/>
            <w:hideMark/>
          </w:tcPr>
          <w:p w14:paraId="676A2CDD" w14:textId="77777777" w:rsidR="00C537A7" w:rsidRDefault="00C537A7" w:rsidP="00DA3056">
            <w:pPr>
              <w:jc w:val="right"/>
              <w:rPr>
                <w:rFonts w:ascii="Calibri" w:hAnsi="Calibri" w:cs="Calibri"/>
                <w:color w:val="000000"/>
              </w:rPr>
            </w:pPr>
            <w:r>
              <w:rPr>
                <w:rFonts w:ascii="Calibri" w:hAnsi="Calibri" w:cs="Calibri"/>
                <w:color w:val="000000"/>
              </w:rPr>
              <w:t>10.028</w:t>
            </w:r>
          </w:p>
        </w:tc>
        <w:tc>
          <w:tcPr>
            <w:tcW w:w="976" w:type="dxa"/>
            <w:tcBorders>
              <w:top w:val="nil"/>
              <w:left w:val="nil"/>
              <w:bottom w:val="single" w:sz="8" w:space="0" w:color="auto"/>
              <w:right w:val="nil"/>
            </w:tcBorders>
            <w:shd w:val="clear" w:color="auto" w:fill="auto"/>
            <w:noWrap/>
            <w:vAlign w:val="bottom"/>
            <w:hideMark/>
          </w:tcPr>
          <w:p w14:paraId="6F47FB04" w14:textId="77777777" w:rsidR="00C537A7" w:rsidRDefault="00C537A7" w:rsidP="00DA3056">
            <w:pPr>
              <w:jc w:val="right"/>
              <w:rPr>
                <w:rFonts w:ascii="Calibri" w:hAnsi="Calibri" w:cs="Calibri"/>
                <w:color w:val="000000"/>
              </w:rPr>
            </w:pPr>
            <w:r>
              <w:rPr>
                <w:rFonts w:ascii="Calibri" w:hAnsi="Calibri" w:cs="Calibri"/>
                <w:color w:val="000000"/>
              </w:rPr>
              <w:t>9.081</w:t>
            </w:r>
          </w:p>
        </w:tc>
        <w:tc>
          <w:tcPr>
            <w:tcW w:w="976" w:type="dxa"/>
            <w:tcBorders>
              <w:top w:val="nil"/>
              <w:left w:val="nil"/>
              <w:bottom w:val="single" w:sz="8" w:space="0" w:color="auto"/>
              <w:right w:val="nil"/>
            </w:tcBorders>
            <w:shd w:val="clear" w:color="auto" w:fill="auto"/>
            <w:noWrap/>
            <w:vAlign w:val="bottom"/>
            <w:hideMark/>
          </w:tcPr>
          <w:p w14:paraId="3775B566" w14:textId="77777777" w:rsidR="00C537A7" w:rsidRDefault="00C537A7" w:rsidP="00DA3056">
            <w:pPr>
              <w:jc w:val="right"/>
              <w:rPr>
                <w:rFonts w:ascii="Calibri" w:hAnsi="Calibri" w:cs="Calibri"/>
                <w:color w:val="000000"/>
              </w:rPr>
            </w:pPr>
            <w:r>
              <w:rPr>
                <w:rFonts w:ascii="Calibri" w:hAnsi="Calibri" w:cs="Calibri"/>
                <w:color w:val="000000"/>
              </w:rPr>
              <w:t>0.630</w:t>
            </w:r>
          </w:p>
        </w:tc>
      </w:tr>
    </w:tbl>
    <w:p w14:paraId="1F2092A0" w14:textId="77777777" w:rsidR="00C537A7" w:rsidRDefault="00C537A7" w:rsidP="00C537A7"/>
    <w:p w14:paraId="3FA5B68D" w14:textId="77777777" w:rsidR="00C537A7" w:rsidRDefault="00C537A7" w:rsidP="00C537A7">
      <w:r>
        <w:lastRenderedPageBreak/>
        <w:t>t-test for two independent samples / Two-tailed test:</w:t>
      </w:r>
    </w:p>
    <w:p w14:paraId="5359226D" w14:textId="77777777" w:rsidR="00C537A7" w:rsidRDefault="00C537A7" w:rsidP="00C537A7">
      <w:r>
        <w:t>95% confidence interval on the difference between the means:</w:t>
      </w:r>
    </w:p>
    <w:p w14:paraId="1D8A9C52" w14:textId="77777777" w:rsidR="00C537A7" w:rsidRDefault="00C537A7" w:rsidP="00C537A7">
      <w:r>
        <w:t>[ -0.397,0.</w:t>
      </w:r>
      <w:proofErr w:type="gramStart"/>
      <w:r>
        <w:t>298 ]</w:t>
      </w:r>
      <w:proofErr w:type="gramEnd"/>
    </w:p>
    <w:p w14:paraId="699BBEC4" w14:textId="77777777" w:rsidR="00C537A7" w:rsidRDefault="00C537A7" w:rsidP="00C537A7"/>
    <w:tbl>
      <w:tblPr>
        <w:tblW w:w="2776" w:type="dxa"/>
        <w:tblLook w:val="04A0" w:firstRow="1" w:lastRow="0" w:firstColumn="1" w:lastColumn="0" w:noHBand="0" w:noVBand="1"/>
      </w:tblPr>
      <w:tblGrid>
        <w:gridCol w:w="1800"/>
        <w:gridCol w:w="976"/>
      </w:tblGrid>
      <w:tr w:rsidR="00C537A7" w14:paraId="680E941F" w14:textId="77777777" w:rsidTr="00DA3056">
        <w:trPr>
          <w:trHeight w:val="288"/>
        </w:trPr>
        <w:tc>
          <w:tcPr>
            <w:tcW w:w="1800" w:type="dxa"/>
            <w:tcBorders>
              <w:top w:val="single" w:sz="8" w:space="0" w:color="auto"/>
              <w:left w:val="nil"/>
              <w:bottom w:val="nil"/>
              <w:right w:val="nil"/>
            </w:tcBorders>
            <w:shd w:val="clear" w:color="auto" w:fill="auto"/>
            <w:noWrap/>
            <w:vAlign w:val="bottom"/>
            <w:hideMark/>
          </w:tcPr>
          <w:p w14:paraId="16F26243" w14:textId="77777777" w:rsidR="00C537A7" w:rsidRDefault="00C537A7" w:rsidP="00DA3056">
            <w:pPr>
              <w:rPr>
                <w:rFonts w:ascii="Calibri" w:hAnsi="Calibri" w:cs="Calibri"/>
                <w:color w:val="000000"/>
              </w:rPr>
            </w:pPr>
            <w:r>
              <w:rPr>
                <w:rFonts w:ascii="Calibri" w:hAnsi="Calibri" w:cs="Calibri"/>
                <w:color w:val="000000"/>
              </w:rPr>
              <w:t>Difference</w:t>
            </w:r>
          </w:p>
        </w:tc>
        <w:tc>
          <w:tcPr>
            <w:tcW w:w="976" w:type="dxa"/>
            <w:tcBorders>
              <w:top w:val="single" w:sz="8" w:space="0" w:color="auto"/>
              <w:left w:val="nil"/>
              <w:bottom w:val="nil"/>
              <w:right w:val="nil"/>
            </w:tcBorders>
            <w:shd w:val="clear" w:color="auto" w:fill="auto"/>
            <w:noWrap/>
            <w:vAlign w:val="bottom"/>
            <w:hideMark/>
          </w:tcPr>
          <w:p w14:paraId="6BB05DE2" w14:textId="77777777" w:rsidR="00C537A7" w:rsidRDefault="00C537A7" w:rsidP="00DA3056">
            <w:pPr>
              <w:jc w:val="right"/>
              <w:rPr>
                <w:rFonts w:ascii="Calibri" w:hAnsi="Calibri" w:cs="Calibri"/>
                <w:color w:val="000000"/>
              </w:rPr>
            </w:pPr>
            <w:r>
              <w:rPr>
                <w:rFonts w:ascii="Calibri" w:hAnsi="Calibri" w:cs="Calibri"/>
                <w:color w:val="000000"/>
              </w:rPr>
              <w:t>-0.049</w:t>
            </w:r>
          </w:p>
        </w:tc>
      </w:tr>
      <w:tr w:rsidR="00C537A7" w14:paraId="006BA61C" w14:textId="77777777" w:rsidTr="00DA3056">
        <w:trPr>
          <w:trHeight w:val="288"/>
        </w:trPr>
        <w:tc>
          <w:tcPr>
            <w:tcW w:w="1800" w:type="dxa"/>
            <w:tcBorders>
              <w:top w:val="nil"/>
              <w:left w:val="nil"/>
              <w:bottom w:val="nil"/>
              <w:right w:val="nil"/>
            </w:tcBorders>
            <w:shd w:val="clear" w:color="auto" w:fill="auto"/>
            <w:noWrap/>
            <w:vAlign w:val="bottom"/>
            <w:hideMark/>
          </w:tcPr>
          <w:p w14:paraId="12554E31" w14:textId="77777777" w:rsidR="00C537A7" w:rsidRDefault="00C537A7" w:rsidP="00DA3056">
            <w:pPr>
              <w:rPr>
                <w:rFonts w:ascii="Calibri" w:hAnsi="Calibri" w:cs="Calibri"/>
                <w:color w:val="000000"/>
              </w:rPr>
            </w:pPr>
            <w:r>
              <w:rPr>
                <w:rFonts w:ascii="Calibri" w:hAnsi="Calibri" w:cs="Calibri"/>
                <w:color w:val="000000"/>
              </w:rPr>
              <w:t>t (Observed value)</w:t>
            </w:r>
          </w:p>
        </w:tc>
        <w:tc>
          <w:tcPr>
            <w:tcW w:w="976" w:type="dxa"/>
            <w:tcBorders>
              <w:top w:val="nil"/>
              <w:left w:val="nil"/>
              <w:bottom w:val="nil"/>
              <w:right w:val="nil"/>
            </w:tcBorders>
            <w:shd w:val="clear" w:color="auto" w:fill="auto"/>
            <w:noWrap/>
            <w:vAlign w:val="bottom"/>
            <w:hideMark/>
          </w:tcPr>
          <w:p w14:paraId="6DA57AF9" w14:textId="77777777" w:rsidR="00C537A7" w:rsidRDefault="00C537A7" w:rsidP="00DA3056">
            <w:pPr>
              <w:jc w:val="right"/>
              <w:rPr>
                <w:rFonts w:ascii="Calibri" w:hAnsi="Calibri" w:cs="Calibri"/>
                <w:color w:val="000000"/>
              </w:rPr>
            </w:pPr>
            <w:r>
              <w:rPr>
                <w:rFonts w:ascii="Calibri" w:hAnsi="Calibri" w:cs="Calibri"/>
                <w:color w:val="000000"/>
              </w:rPr>
              <w:t>-0.284</w:t>
            </w:r>
          </w:p>
        </w:tc>
      </w:tr>
      <w:tr w:rsidR="00C537A7" w14:paraId="72A34F95" w14:textId="77777777" w:rsidTr="00DA3056">
        <w:trPr>
          <w:trHeight w:val="288"/>
        </w:trPr>
        <w:tc>
          <w:tcPr>
            <w:tcW w:w="1800" w:type="dxa"/>
            <w:tcBorders>
              <w:top w:val="nil"/>
              <w:left w:val="nil"/>
              <w:bottom w:val="nil"/>
              <w:right w:val="nil"/>
            </w:tcBorders>
            <w:shd w:val="clear" w:color="auto" w:fill="auto"/>
            <w:noWrap/>
            <w:vAlign w:val="bottom"/>
            <w:hideMark/>
          </w:tcPr>
          <w:p w14:paraId="3CD03931" w14:textId="77777777" w:rsidR="00C537A7" w:rsidRDefault="00C537A7" w:rsidP="00DA3056">
            <w:pPr>
              <w:rPr>
                <w:rFonts w:ascii="Calibri" w:hAnsi="Calibri" w:cs="Calibri"/>
                <w:color w:val="000000"/>
              </w:rPr>
            </w:pPr>
            <w:r>
              <w:rPr>
                <w:rFonts w:ascii="Calibri" w:hAnsi="Calibri" w:cs="Calibri"/>
                <w:color w:val="000000"/>
              </w:rPr>
              <w:t>|t| (Critical value)</w:t>
            </w:r>
          </w:p>
        </w:tc>
        <w:tc>
          <w:tcPr>
            <w:tcW w:w="976" w:type="dxa"/>
            <w:tcBorders>
              <w:top w:val="nil"/>
              <w:left w:val="nil"/>
              <w:bottom w:val="nil"/>
              <w:right w:val="nil"/>
            </w:tcBorders>
            <w:shd w:val="clear" w:color="auto" w:fill="auto"/>
            <w:noWrap/>
            <w:vAlign w:val="bottom"/>
            <w:hideMark/>
          </w:tcPr>
          <w:p w14:paraId="1B2EEF69" w14:textId="77777777" w:rsidR="00C537A7" w:rsidRDefault="00C537A7" w:rsidP="00DA3056">
            <w:pPr>
              <w:jc w:val="right"/>
              <w:rPr>
                <w:rFonts w:ascii="Calibri" w:hAnsi="Calibri" w:cs="Calibri"/>
                <w:color w:val="000000"/>
              </w:rPr>
            </w:pPr>
            <w:r>
              <w:rPr>
                <w:rFonts w:ascii="Calibri" w:hAnsi="Calibri" w:cs="Calibri"/>
                <w:color w:val="000000"/>
              </w:rPr>
              <w:t>2.006</w:t>
            </w:r>
          </w:p>
        </w:tc>
      </w:tr>
      <w:tr w:rsidR="00C537A7" w14:paraId="370BD3BB" w14:textId="77777777" w:rsidTr="00DA3056">
        <w:trPr>
          <w:trHeight w:val="288"/>
        </w:trPr>
        <w:tc>
          <w:tcPr>
            <w:tcW w:w="1800" w:type="dxa"/>
            <w:tcBorders>
              <w:top w:val="nil"/>
              <w:left w:val="nil"/>
              <w:bottom w:val="nil"/>
              <w:right w:val="nil"/>
            </w:tcBorders>
            <w:shd w:val="clear" w:color="auto" w:fill="auto"/>
            <w:noWrap/>
            <w:vAlign w:val="bottom"/>
            <w:hideMark/>
          </w:tcPr>
          <w:p w14:paraId="7E30E90F" w14:textId="77777777" w:rsidR="00C537A7" w:rsidRDefault="00C537A7" w:rsidP="00DA3056">
            <w:pPr>
              <w:rPr>
                <w:rFonts w:ascii="Calibri" w:hAnsi="Calibri" w:cs="Calibri"/>
                <w:color w:val="000000"/>
              </w:rPr>
            </w:pPr>
            <w:r>
              <w:rPr>
                <w:rFonts w:ascii="Calibri" w:hAnsi="Calibri" w:cs="Calibri"/>
                <w:color w:val="000000"/>
              </w:rPr>
              <w:t>DF</w:t>
            </w:r>
          </w:p>
        </w:tc>
        <w:tc>
          <w:tcPr>
            <w:tcW w:w="976" w:type="dxa"/>
            <w:tcBorders>
              <w:top w:val="nil"/>
              <w:left w:val="nil"/>
              <w:bottom w:val="nil"/>
              <w:right w:val="nil"/>
            </w:tcBorders>
            <w:shd w:val="clear" w:color="auto" w:fill="auto"/>
            <w:noWrap/>
            <w:vAlign w:val="bottom"/>
            <w:hideMark/>
          </w:tcPr>
          <w:p w14:paraId="3569CDE0" w14:textId="77777777" w:rsidR="00C537A7" w:rsidRDefault="00C537A7" w:rsidP="00DA3056">
            <w:pPr>
              <w:jc w:val="right"/>
              <w:rPr>
                <w:rFonts w:ascii="Calibri" w:hAnsi="Calibri" w:cs="Calibri"/>
                <w:color w:val="000000"/>
              </w:rPr>
            </w:pPr>
            <w:r>
              <w:rPr>
                <w:rFonts w:ascii="Calibri" w:hAnsi="Calibri" w:cs="Calibri"/>
                <w:color w:val="000000"/>
              </w:rPr>
              <w:t>53</w:t>
            </w:r>
          </w:p>
        </w:tc>
      </w:tr>
      <w:tr w:rsidR="00C537A7" w14:paraId="0B73BC12" w14:textId="77777777" w:rsidTr="00DA3056">
        <w:trPr>
          <w:trHeight w:val="288"/>
        </w:trPr>
        <w:tc>
          <w:tcPr>
            <w:tcW w:w="1800" w:type="dxa"/>
            <w:tcBorders>
              <w:top w:val="nil"/>
              <w:left w:val="nil"/>
              <w:bottom w:val="nil"/>
              <w:right w:val="nil"/>
            </w:tcBorders>
            <w:shd w:val="clear" w:color="auto" w:fill="auto"/>
            <w:noWrap/>
            <w:vAlign w:val="bottom"/>
            <w:hideMark/>
          </w:tcPr>
          <w:p w14:paraId="5BC6801A" w14:textId="77777777" w:rsidR="00C537A7" w:rsidRDefault="00C537A7" w:rsidP="00DA3056">
            <w:pPr>
              <w:rPr>
                <w:rFonts w:ascii="Calibri" w:hAnsi="Calibri" w:cs="Calibri"/>
                <w:color w:val="000000"/>
              </w:rPr>
            </w:pPr>
            <w:r>
              <w:rPr>
                <w:rFonts w:ascii="Calibri" w:hAnsi="Calibri" w:cs="Calibri"/>
                <w:color w:val="000000"/>
              </w:rPr>
              <w:t>p-value (Two-tailed)</w:t>
            </w:r>
          </w:p>
        </w:tc>
        <w:tc>
          <w:tcPr>
            <w:tcW w:w="976" w:type="dxa"/>
            <w:tcBorders>
              <w:top w:val="nil"/>
              <w:left w:val="nil"/>
              <w:bottom w:val="nil"/>
              <w:right w:val="nil"/>
            </w:tcBorders>
            <w:shd w:val="clear" w:color="auto" w:fill="auto"/>
            <w:noWrap/>
            <w:vAlign w:val="bottom"/>
            <w:hideMark/>
          </w:tcPr>
          <w:p w14:paraId="692D571C" w14:textId="77777777" w:rsidR="00C537A7" w:rsidRDefault="00C537A7" w:rsidP="00DA3056">
            <w:pPr>
              <w:jc w:val="right"/>
              <w:rPr>
                <w:rFonts w:ascii="Calibri" w:hAnsi="Calibri" w:cs="Calibri"/>
                <w:color w:val="000000"/>
              </w:rPr>
            </w:pPr>
            <w:r>
              <w:rPr>
                <w:rFonts w:ascii="Calibri" w:hAnsi="Calibri" w:cs="Calibri"/>
                <w:color w:val="000000"/>
              </w:rPr>
              <w:t>0.777</w:t>
            </w:r>
          </w:p>
        </w:tc>
      </w:tr>
      <w:tr w:rsidR="00C537A7" w14:paraId="5426DFC9" w14:textId="77777777" w:rsidTr="00DA3056">
        <w:trPr>
          <w:trHeight w:val="300"/>
        </w:trPr>
        <w:tc>
          <w:tcPr>
            <w:tcW w:w="1800" w:type="dxa"/>
            <w:tcBorders>
              <w:top w:val="nil"/>
              <w:left w:val="nil"/>
              <w:bottom w:val="single" w:sz="8" w:space="0" w:color="auto"/>
              <w:right w:val="nil"/>
            </w:tcBorders>
            <w:shd w:val="clear" w:color="auto" w:fill="auto"/>
            <w:noWrap/>
            <w:vAlign w:val="bottom"/>
            <w:hideMark/>
          </w:tcPr>
          <w:p w14:paraId="7202AB6B" w14:textId="77777777" w:rsidR="00C537A7" w:rsidRDefault="00C537A7" w:rsidP="00DA3056">
            <w:pPr>
              <w:rPr>
                <w:rFonts w:ascii="Calibri" w:hAnsi="Calibri" w:cs="Calibri"/>
                <w:color w:val="000000"/>
              </w:rPr>
            </w:pPr>
            <w:r>
              <w:rPr>
                <w:rFonts w:ascii="Calibri" w:hAnsi="Calibri" w:cs="Calibri"/>
                <w:color w:val="000000"/>
              </w:rPr>
              <w:t>alpha</w:t>
            </w:r>
          </w:p>
        </w:tc>
        <w:tc>
          <w:tcPr>
            <w:tcW w:w="976" w:type="dxa"/>
            <w:tcBorders>
              <w:top w:val="nil"/>
              <w:left w:val="nil"/>
              <w:bottom w:val="single" w:sz="8" w:space="0" w:color="auto"/>
              <w:right w:val="nil"/>
            </w:tcBorders>
            <w:shd w:val="clear" w:color="auto" w:fill="auto"/>
            <w:noWrap/>
            <w:vAlign w:val="bottom"/>
            <w:hideMark/>
          </w:tcPr>
          <w:p w14:paraId="6B772081" w14:textId="77777777" w:rsidR="00C537A7" w:rsidRDefault="00C537A7" w:rsidP="00DA3056">
            <w:pPr>
              <w:jc w:val="right"/>
              <w:rPr>
                <w:rFonts w:ascii="Calibri" w:hAnsi="Calibri" w:cs="Calibri"/>
                <w:color w:val="000000"/>
              </w:rPr>
            </w:pPr>
            <w:r>
              <w:rPr>
                <w:rFonts w:ascii="Calibri" w:hAnsi="Calibri" w:cs="Calibri"/>
                <w:color w:val="000000"/>
              </w:rPr>
              <w:t>0.05</w:t>
            </w:r>
          </w:p>
        </w:tc>
      </w:tr>
    </w:tbl>
    <w:p w14:paraId="726403A6" w14:textId="77777777" w:rsidR="00C537A7" w:rsidRDefault="00C537A7" w:rsidP="00C537A7">
      <w:r>
        <w:rPr>
          <w:noProof/>
        </w:rPr>
        <w:drawing>
          <wp:inline distT="0" distB="0" distL="0" distR="0" wp14:anchorId="428DED99" wp14:editId="59E0D22F">
            <wp:extent cx="3663950" cy="3298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3950" cy="3298190"/>
                    </a:xfrm>
                    <a:prstGeom prst="rect">
                      <a:avLst/>
                    </a:prstGeom>
                    <a:noFill/>
                  </pic:spPr>
                </pic:pic>
              </a:graphicData>
            </a:graphic>
          </wp:inline>
        </w:drawing>
      </w:r>
    </w:p>
    <w:p w14:paraId="01ECEB26" w14:textId="77777777" w:rsidR="00C537A7" w:rsidRDefault="00C537A7" w:rsidP="00C537A7"/>
    <w:p w14:paraId="7905BD62" w14:textId="77777777" w:rsidR="00C537A7" w:rsidRDefault="00C537A7" w:rsidP="00C537A7"/>
    <w:p w14:paraId="6C3F5BBA" w14:textId="77777777" w:rsidR="00C537A7" w:rsidRDefault="00C537A7" w:rsidP="00C537A7">
      <w:r>
        <w:rPr>
          <w:noProof/>
        </w:rPr>
        <w:lastRenderedPageBreak/>
        <w:drawing>
          <wp:inline distT="0" distB="0" distL="0" distR="0" wp14:anchorId="20EC397B" wp14:editId="2165E672">
            <wp:extent cx="3663950" cy="32981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63950" cy="3298190"/>
                    </a:xfrm>
                    <a:prstGeom prst="rect">
                      <a:avLst/>
                    </a:prstGeom>
                    <a:noFill/>
                  </pic:spPr>
                </pic:pic>
              </a:graphicData>
            </a:graphic>
          </wp:inline>
        </w:drawing>
      </w:r>
    </w:p>
    <w:p w14:paraId="55AEDA8A" w14:textId="77777777" w:rsidR="00C537A7" w:rsidRDefault="00C537A7" w:rsidP="00C537A7"/>
    <w:p w14:paraId="3002D699" w14:textId="77777777" w:rsidR="00C537A7" w:rsidRDefault="00C537A7" w:rsidP="00C537A7"/>
    <w:p w14:paraId="77EF65B9" w14:textId="77777777" w:rsidR="00C537A7" w:rsidRDefault="00C537A7" w:rsidP="00C537A7"/>
    <w:p w14:paraId="361E689D" w14:textId="77777777" w:rsidR="00C537A7" w:rsidRPr="001F2E9A" w:rsidRDefault="00C537A7" w:rsidP="00C537A7">
      <w:pPr>
        <w:rPr>
          <w:rFonts w:cstheme="minorHAnsi"/>
          <w:b/>
          <w:bCs/>
        </w:rPr>
      </w:pPr>
      <w:r w:rsidRPr="00133635">
        <w:rPr>
          <w:b/>
          <w:bCs/>
        </w:rPr>
        <w:t xml:space="preserve">Independent t-test for average n DNA seq (log transformed) recovered from samples at </w:t>
      </w:r>
      <w:r w:rsidRPr="001F2E9A">
        <w:rPr>
          <w:rFonts w:cstheme="minorHAnsi"/>
          <w:b/>
          <w:bCs/>
          <w:i/>
          <w:iCs/>
        </w:rPr>
        <w:t>Síi Túupentak</w:t>
      </w:r>
      <w:r w:rsidRPr="001F2E9A">
        <w:rPr>
          <w:rFonts w:cstheme="minorHAnsi"/>
          <w:b/>
          <w:bCs/>
        </w:rPr>
        <w:t xml:space="preserve"> (CA-ALA-565/H) and </w:t>
      </w:r>
      <w:r w:rsidRPr="001F2E9A">
        <w:rPr>
          <w:rFonts w:cstheme="minorHAnsi"/>
          <w:b/>
          <w:bCs/>
          <w:i/>
          <w:iCs/>
          <w:color w:val="000000"/>
          <w:sz w:val="24"/>
          <w:szCs w:val="24"/>
        </w:rPr>
        <w:t>Rummey Ta Kuččuwiš Tiprectak (</w:t>
      </w:r>
      <w:r w:rsidRPr="001F2E9A">
        <w:rPr>
          <w:rFonts w:cstheme="minorHAnsi"/>
          <w:b/>
          <w:bCs/>
        </w:rPr>
        <w:t>CA-ALA-704/H)</w:t>
      </w:r>
    </w:p>
    <w:p w14:paraId="47A012FF" w14:textId="77777777" w:rsidR="00C537A7" w:rsidRDefault="00C537A7" w:rsidP="00C537A7"/>
    <w:p w14:paraId="630590CF" w14:textId="77777777" w:rsidR="00C537A7" w:rsidRDefault="00C537A7" w:rsidP="00C537A7">
      <w:r>
        <w:t>Summary statistics:</w:t>
      </w:r>
    </w:p>
    <w:tbl>
      <w:tblPr>
        <w:tblW w:w="8013" w:type="dxa"/>
        <w:tblLook w:val="04A0" w:firstRow="1" w:lastRow="0" w:firstColumn="1" w:lastColumn="0" w:noHBand="0" w:noVBand="1"/>
      </w:tblPr>
      <w:tblGrid>
        <w:gridCol w:w="976"/>
        <w:gridCol w:w="1397"/>
        <w:gridCol w:w="976"/>
        <w:gridCol w:w="976"/>
        <w:gridCol w:w="1088"/>
        <w:gridCol w:w="1123"/>
        <w:gridCol w:w="976"/>
        <w:gridCol w:w="1053"/>
      </w:tblGrid>
      <w:tr w:rsidR="00C537A7" w14:paraId="728F28EA" w14:textId="77777777" w:rsidTr="00DA3056">
        <w:trPr>
          <w:trHeight w:val="288"/>
        </w:trPr>
        <w:tc>
          <w:tcPr>
            <w:tcW w:w="976" w:type="dxa"/>
            <w:tcBorders>
              <w:top w:val="single" w:sz="8" w:space="0" w:color="auto"/>
              <w:left w:val="nil"/>
              <w:bottom w:val="nil"/>
              <w:right w:val="nil"/>
            </w:tcBorders>
            <w:shd w:val="clear" w:color="auto" w:fill="auto"/>
            <w:noWrap/>
            <w:vAlign w:val="bottom"/>
            <w:hideMark/>
          </w:tcPr>
          <w:p w14:paraId="67913CAC" w14:textId="77777777" w:rsidR="00C537A7" w:rsidRDefault="00C537A7" w:rsidP="00DA3056">
            <w:pPr>
              <w:jc w:val="center"/>
              <w:rPr>
                <w:rFonts w:ascii="Calibri" w:hAnsi="Calibri" w:cs="Calibri"/>
                <w:color w:val="000000"/>
              </w:rPr>
            </w:pPr>
            <w:r>
              <w:rPr>
                <w:rFonts w:ascii="Calibri" w:hAnsi="Calibri" w:cs="Calibri"/>
                <w:color w:val="000000"/>
              </w:rPr>
              <w:t>Variable</w:t>
            </w:r>
          </w:p>
        </w:tc>
        <w:tc>
          <w:tcPr>
            <w:tcW w:w="1181" w:type="dxa"/>
            <w:tcBorders>
              <w:top w:val="single" w:sz="8" w:space="0" w:color="auto"/>
              <w:left w:val="nil"/>
              <w:bottom w:val="nil"/>
              <w:right w:val="nil"/>
            </w:tcBorders>
            <w:shd w:val="clear" w:color="auto" w:fill="auto"/>
            <w:noWrap/>
            <w:vAlign w:val="bottom"/>
            <w:hideMark/>
          </w:tcPr>
          <w:p w14:paraId="49D18CC4" w14:textId="77777777" w:rsidR="00C537A7" w:rsidRDefault="00C537A7" w:rsidP="00DA3056">
            <w:pPr>
              <w:jc w:val="center"/>
              <w:rPr>
                <w:rFonts w:ascii="Calibri" w:hAnsi="Calibri" w:cs="Calibri"/>
                <w:color w:val="000000"/>
              </w:rPr>
            </w:pPr>
            <w:r>
              <w:rPr>
                <w:rFonts w:ascii="Calibri" w:hAnsi="Calibri" w:cs="Calibri"/>
                <w:color w:val="000000"/>
              </w:rPr>
              <w:t>Observations</w:t>
            </w:r>
          </w:p>
        </w:tc>
        <w:tc>
          <w:tcPr>
            <w:tcW w:w="976" w:type="dxa"/>
            <w:tcBorders>
              <w:top w:val="single" w:sz="8" w:space="0" w:color="auto"/>
              <w:left w:val="nil"/>
              <w:bottom w:val="nil"/>
              <w:right w:val="nil"/>
            </w:tcBorders>
            <w:shd w:val="clear" w:color="auto" w:fill="auto"/>
            <w:noWrap/>
            <w:vAlign w:val="bottom"/>
            <w:hideMark/>
          </w:tcPr>
          <w:p w14:paraId="071225D4" w14:textId="77777777" w:rsidR="00C537A7" w:rsidRDefault="00C537A7" w:rsidP="00DA3056">
            <w:pPr>
              <w:jc w:val="center"/>
              <w:rPr>
                <w:rFonts w:ascii="Calibri" w:hAnsi="Calibri" w:cs="Calibri"/>
                <w:color w:val="000000"/>
              </w:rPr>
            </w:pPr>
            <w:r>
              <w:rPr>
                <w:rFonts w:ascii="Calibri" w:hAnsi="Calibri" w:cs="Calibri"/>
                <w:color w:val="000000"/>
              </w:rPr>
              <w:t>Obs. with missing data</w:t>
            </w:r>
          </w:p>
        </w:tc>
        <w:tc>
          <w:tcPr>
            <w:tcW w:w="976" w:type="dxa"/>
            <w:tcBorders>
              <w:top w:val="single" w:sz="8" w:space="0" w:color="auto"/>
              <w:left w:val="nil"/>
              <w:bottom w:val="nil"/>
              <w:right w:val="nil"/>
            </w:tcBorders>
            <w:shd w:val="clear" w:color="auto" w:fill="auto"/>
            <w:noWrap/>
            <w:vAlign w:val="bottom"/>
            <w:hideMark/>
          </w:tcPr>
          <w:p w14:paraId="5E41FBB3" w14:textId="77777777" w:rsidR="00C537A7" w:rsidRDefault="00C537A7" w:rsidP="00DA3056">
            <w:pPr>
              <w:jc w:val="center"/>
              <w:rPr>
                <w:rFonts w:ascii="Calibri" w:hAnsi="Calibri" w:cs="Calibri"/>
                <w:color w:val="000000"/>
              </w:rPr>
            </w:pPr>
            <w:r>
              <w:rPr>
                <w:rFonts w:ascii="Calibri" w:hAnsi="Calibri" w:cs="Calibri"/>
                <w:color w:val="000000"/>
              </w:rPr>
              <w:t>Obs. without missing data</w:t>
            </w:r>
          </w:p>
        </w:tc>
        <w:tc>
          <w:tcPr>
            <w:tcW w:w="976" w:type="dxa"/>
            <w:tcBorders>
              <w:top w:val="single" w:sz="8" w:space="0" w:color="auto"/>
              <w:left w:val="nil"/>
              <w:bottom w:val="nil"/>
              <w:right w:val="nil"/>
            </w:tcBorders>
            <w:shd w:val="clear" w:color="auto" w:fill="auto"/>
            <w:noWrap/>
            <w:vAlign w:val="bottom"/>
            <w:hideMark/>
          </w:tcPr>
          <w:p w14:paraId="2461D905" w14:textId="77777777" w:rsidR="00C537A7" w:rsidRDefault="00C537A7" w:rsidP="00DA3056">
            <w:pPr>
              <w:jc w:val="center"/>
              <w:rPr>
                <w:rFonts w:ascii="Calibri" w:hAnsi="Calibri" w:cs="Calibri"/>
                <w:color w:val="000000"/>
              </w:rPr>
            </w:pPr>
            <w:r>
              <w:rPr>
                <w:rFonts w:ascii="Calibri" w:hAnsi="Calibri" w:cs="Calibri"/>
                <w:color w:val="000000"/>
              </w:rPr>
              <w:t>Minimum</w:t>
            </w:r>
          </w:p>
        </w:tc>
        <w:tc>
          <w:tcPr>
            <w:tcW w:w="976" w:type="dxa"/>
            <w:tcBorders>
              <w:top w:val="single" w:sz="8" w:space="0" w:color="auto"/>
              <w:left w:val="nil"/>
              <w:bottom w:val="nil"/>
              <w:right w:val="nil"/>
            </w:tcBorders>
            <w:shd w:val="clear" w:color="auto" w:fill="auto"/>
            <w:noWrap/>
            <w:vAlign w:val="bottom"/>
            <w:hideMark/>
          </w:tcPr>
          <w:p w14:paraId="58CF6A3C" w14:textId="77777777" w:rsidR="00C537A7" w:rsidRDefault="00C537A7" w:rsidP="00DA3056">
            <w:pPr>
              <w:jc w:val="center"/>
              <w:rPr>
                <w:rFonts w:ascii="Calibri" w:hAnsi="Calibri" w:cs="Calibri"/>
                <w:color w:val="000000"/>
              </w:rPr>
            </w:pPr>
            <w:r>
              <w:rPr>
                <w:rFonts w:ascii="Calibri" w:hAnsi="Calibri" w:cs="Calibri"/>
                <w:color w:val="000000"/>
              </w:rPr>
              <w:t>Maximum</w:t>
            </w:r>
          </w:p>
        </w:tc>
        <w:tc>
          <w:tcPr>
            <w:tcW w:w="976" w:type="dxa"/>
            <w:tcBorders>
              <w:top w:val="single" w:sz="8" w:space="0" w:color="auto"/>
              <w:left w:val="nil"/>
              <w:bottom w:val="nil"/>
              <w:right w:val="nil"/>
            </w:tcBorders>
            <w:shd w:val="clear" w:color="auto" w:fill="auto"/>
            <w:noWrap/>
            <w:vAlign w:val="bottom"/>
            <w:hideMark/>
          </w:tcPr>
          <w:p w14:paraId="282B5C56" w14:textId="77777777" w:rsidR="00C537A7" w:rsidRDefault="00C537A7" w:rsidP="00DA3056">
            <w:pPr>
              <w:jc w:val="center"/>
              <w:rPr>
                <w:rFonts w:ascii="Calibri" w:hAnsi="Calibri" w:cs="Calibri"/>
                <w:color w:val="000000"/>
              </w:rPr>
            </w:pPr>
            <w:r>
              <w:rPr>
                <w:rFonts w:ascii="Calibri" w:hAnsi="Calibri" w:cs="Calibri"/>
                <w:color w:val="000000"/>
              </w:rPr>
              <w:t>Mean</w:t>
            </w:r>
          </w:p>
        </w:tc>
        <w:tc>
          <w:tcPr>
            <w:tcW w:w="976" w:type="dxa"/>
            <w:tcBorders>
              <w:top w:val="single" w:sz="8" w:space="0" w:color="auto"/>
              <w:left w:val="nil"/>
              <w:bottom w:val="nil"/>
              <w:right w:val="nil"/>
            </w:tcBorders>
            <w:shd w:val="clear" w:color="auto" w:fill="auto"/>
            <w:noWrap/>
            <w:vAlign w:val="bottom"/>
            <w:hideMark/>
          </w:tcPr>
          <w:p w14:paraId="22820F3C" w14:textId="77777777" w:rsidR="00C537A7" w:rsidRDefault="00C537A7" w:rsidP="00DA3056">
            <w:pPr>
              <w:jc w:val="center"/>
              <w:rPr>
                <w:rFonts w:ascii="Calibri" w:hAnsi="Calibri" w:cs="Calibri"/>
                <w:color w:val="000000"/>
              </w:rPr>
            </w:pPr>
            <w:r>
              <w:rPr>
                <w:rFonts w:ascii="Calibri" w:hAnsi="Calibri" w:cs="Calibri"/>
                <w:color w:val="000000"/>
              </w:rPr>
              <w:t>Std. deviation</w:t>
            </w:r>
          </w:p>
        </w:tc>
      </w:tr>
      <w:tr w:rsidR="00C537A7" w14:paraId="1F5EE0A3" w14:textId="77777777" w:rsidTr="00DA3056">
        <w:trPr>
          <w:trHeight w:val="288"/>
        </w:trPr>
        <w:tc>
          <w:tcPr>
            <w:tcW w:w="976" w:type="dxa"/>
            <w:tcBorders>
              <w:top w:val="single" w:sz="4" w:space="0" w:color="auto"/>
              <w:left w:val="nil"/>
              <w:bottom w:val="nil"/>
              <w:right w:val="nil"/>
            </w:tcBorders>
            <w:shd w:val="clear" w:color="auto" w:fill="auto"/>
            <w:noWrap/>
            <w:vAlign w:val="bottom"/>
            <w:hideMark/>
          </w:tcPr>
          <w:p w14:paraId="79219B15" w14:textId="77777777" w:rsidR="00C537A7" w:rsidRDefault="00C537A7" w:rsidP="00DA3056">
            <w:pPr>
              <w:rPr>
                <w:rFonts w:ascii="Calibri" w:hAnsi="Calibri" w:cs="Calibri"/>
                <w:color w:val="000000"/>
              </w:rPr>
            </w:pPr>
            <w:r>
              <w:rPr>
                <w:rFonts w:ascii="Calibri" w:hAnsi="Calibri" w:cs="Calibri"/>
                <w:color w:val="000000"/>
              </w:rPr>
              <w:t>Var1</w:t>
            </w:r>
          </w:p>
        </w:tc>
        <w:tc>
          <w:tcPr>
            <w:tcW w:w="1181" w:type="dxa"/>
            <w:tcBorders>
              <w:top w:val="single" w:sz="4" w:space="0" w:color="auto"/>
              <w:left w:val="nil"/>
              <w:bottom w:val="nil"/>
              <w:right w:val="nil"/>
            </w:tcBorders>
            <w:shd w:val="clear" w:color="auto" w:fill="auto"/>
            <w:noWrap/>
            <w:vAlign w:val="bottom"/>
            <w:hideMark/>
          </w:tcPr>
          <w:p w14:paraId="19475B0F" w14:textId="77777777" w:rsidR="00C537A7" w:rsidRDefault="00C537A7" w:rsidP="00DA3056">
            <w:pPr>
              <w:jc w:val="right"/>
              <w:rPr>
                <w:rFonts w:ascii="Calibri" w:hAnsi="Calibri" w:cs="Calibri"/>
                <w:color w:val="000000"/>
              </w:rPr>
            </w:pPr>
            <w:r>
              <w:rPr>
                <w:rFonts w:ascii="Calibri" w:hAnsi="Calibri" w:cs="Calibri"/>
                <w:color w:val="000000"/>
              </w:rPr>
              <w:t>39</w:t>
            </w:r>
          </w:p>
        </w:tc>
        <w:tc>
          <w:tcPr>
            <w:tcW w:w="976" w:type="dxa"/>
            <w:tcBorders>
              <w:top w:val="single" w:sz="4" w:space="0" w:color="auto"/>
              <w:left w:val="nil"/>
              <w:bottom w:val="nil"/>
              <w:right w:val="nil"/>
            </w:tcBorders>
            <w:shd w:val="clear" w:color="auto" w:fill="auto"/>
            <w:noWrap/>
            <w:vAlign w:val="bottom"/>
            <w:hideMark/>
          </w:tcPr>
          <w:p w14:paraId="617D0D9D" w14:textId="77777777" w:rsidR="00C537A7" w:rsidRDefault="00C537A7" w:rsidP="00DA3056">
            <w:pPr>
              <w:jc w:val="right"/>
              <w:rPr>
                <w:rFonts w:ascii="Calibri" w:hAnsi="Calibri" w:cs="Calibri"/>
                <w:color w:val="000000"/>
              </w:rPr>
            </w:pPr>
            <w:r>
              <w:rPr>
                <w:rFonts w:ascii="Calibri" w:hAnsi="Calibri" w:cs="Calibri"/>
                <w:color w:val="000000"/>
              </w:rPr>
              <w:t>2</w:t>
            </w:r>
          </w:p>
        </w:tc>
        <w:tc>
          <w:tcPr>
            <w:tcW w:w="976" w:type="dxa"/>
            <w:tcBorders>
              <w:top w:val="single" w:sz="4" w:space="0" w:color="auto"/>
              <w:left w:val="nil"/>
              <w:bottom w:val="nil"/>
              <w:right w:val="nil"/>
            </w:tcBorders>
            <w:shd w:val="clear" w:color="auto" w:fill="auto"/>
            <w:noWrap/>
            <w:vAlign w:val="bottom"/>
            <w:hideMark/>
          </w:tcPr>
          <w:p w14:paraId="15801E99" w14:textId="77777777" w:rsidR="00C537A7" w:rsidRDefault="00C537A7" w:rsidP="00DA3056">
            <w:pPr>
              <w:jc w:val="right"/>
              <w:rPr>
                <w:rFonts w:ascii="Calibri" w:hAnsi="Calibri" w:cs="Calibri"/>
                <w:color w:val="000000"/>
              </w:rPr>
            </w:pPr>
            <w:r>
              <w:rPr>
                <w:rFonts w:ascii="Calibri" w:hAnsi="Calibri" w:cs="Calibri"/>
                <w:color w:val="000000"/>
              </w:rPr>
              <w:t>37</w:t>
            </w:r>
          </w:p>
        </w:tc>
        <w:tc>
          <w:tcPr>
            <w:tcW w:w="976" w:type="dxa"/>
            <w:tcBorders>
              <w:top w:val="single" w:sz="4" w:space="0" w:color="auto"/>
              <w:left w:val="nil"/>
              <w:bottom w:val="nil"/>
              <w:right w:val="nil"/>
            </w:tcBorders>
            <w:shd w:val="clear" w:color="auto" w:fill="auto"/>
            <w:noWrap/>
            <w:vAlign w:val="bottom"/>
            <w:hideMark/>
          </w:tcPr>
          <w:p w14:paraId="6F228FE6" w14:textId="77777777" w:rsidR="00C537A7" w:rsidRDefault="00C537A7" w:rsidP="00DA3056">
            <w:pPr>
              <w:jc w:val="right"/>
              <w:rPr>
                <w:rFonts w:ascii="Calibri" w:hAnsi="Calibri" w:cs="Calibri"/>
                <w:color w:val="000000"/>
              </w:rPr>
            </w:pPr>
            <w:r>
              <w:rPr>
                <w:rFonts w:ascii="Calibri" w:hAnsi="Calibri" w:cs="Calibri"/>
                <w:color w:val="000000"/>
              </w:rPr>
              <w:t>3.584</w:t>
            </w:r>
          </w:p>
        </w:tc>
        <w:tc>
          <w:tcPr>
            <w:tcW w:w="976" w:type="dxa"/>
            <w:tcBorders>
              <w:top w:val="single" w:sz="4" w:space="0" w:color="auto"/>
              <w:left w:val="nil"/>
              <w:bottom w:val="nil"/>
              <w:right w:val="nil"/>
            </w:tcBorders>
            <w:shd w:val="clear" w:color="auto" w:fill="auto"/>
            <w:noWrap/>
            <w:vAlign w:val="bottom"/>
            <w:hideMark/>
          </w:tcPr>
          <w:p w14:paraId="1BF74CDD" w14:textId="77777777" w:rsidR="00C537A7" w:rsidRDefault="00C537A7" w:rsidP="00DA3056">
            <w:pPr>
              <w:jc w:val="right"/>
              <w:rPr>
                <w:rFonts w:ascii="Calibri" w:hAnsi="Calibri" w:cs="Calibri"/>
                <w:color w:val="000000"/>
              </w:rPr>
            </w:pPr>
            <w:r>
              <w:rPr>
                <w:rFonts w:ascii="Calibri" w:hAnsi="Calibri" w:cs="Calibri"/>
                <w:color w:val="000000"/>
              </w:rPr>
              <w:t>7.593</w:t>
            </w:r>
          </w:p>
        </w:tc>
        <w:tc>
          <w:tcPr>
            <w:tcW w:w="976" w:type="dxa"/>
            <w:tcBorders>
              <w:top w:val="single" w:sz="4" w:space="0" w:color="auto"/>
              <w:left w:val="nil"/>
              <w:bottom w:val="nil"/>
              <w:right w:val="nil"/>
            </w:tcBorders>
            <w:shd w:val="clear" w:color="auto" w:fill="auto"/>
            <w:noWrap/>
            <w:vAlign w:val="bottom"/>
            <w:hideMark/>
          </w:tcPr>
          <w:p w14:paraId="794C79BF" w14:textId="77777777" w:rsidR="00C537A7" w:rsidRDefault="00C537A7" w:rsidP="00DA3056">
            <w:pPr>
              <w:jc w:val="right"/>
              <w:rPr>
                <w:rFonts w:ascii="Calibri" w:hAnsi="Calibri" w:cs="Calibri"/>
                <w:color w:val="000000"/>
              </w:rPr>
            </w:pPr>
            <w:r>
              <w:rPr>
                <w:rFonts w:ascii="Calibri" w:hAnsi="Calibri" w:cs="Calibri"/>
                <w:color w:val="000000"/>
              </w:rPr>
              <w:t>5.134</w:t>
            </w:r>
          </w:p>
        </w:tc>
        <w:tc>
          <w:tcPr>
            <w:tcW w:w="976" w:type="dxa"/>
            <w:tcBorders>
              <w:top w:val="single" w:sz="4" w:space="0" w:color="auto"/>
              <w:left w:val="nil"/>
              <w:bottom w:val="nil"/>
              <w:right w:val="nil"/>
            </w:tcBorders>
            <w:shd w:val="clear" w:color="auto" w:fill="auto"/>
            <w:noWrap/>
            <w:vAlign w:val="bottom"/>
            <w:hideMark/>
          </w:tcPr>
          <w:p w14:paraId="05E78ED3" w14:textId="77777777" w:rsidR="00C537A7" w:rsidRDefault="00C537A7" w:rsidP="00DA3056">
            <w:pPr>
              <w:jc w:val="right"/>
              <w:rPr>
                <w:rFonts w:ascii="Calibri" w:hAnsi="Calibri" w:cs="Calibri"/>
                <w:color w:val="000000"/>
              </w:rPr>
            </w:pPr>
            <w:r>
              <w:rPr>
                <w:rFonts w:ascii="Calibri" w:hAnsi="Calibri" w:cs="Calibri"/>
                <w:color w:val="000000"/>
              </w:rPr>
              <w:t>1.102</w:t>
            </w:r>
          </w:p>
        </w:tc>
      </w:tr>
      <w:tr w:rsidR="00C537A7" w14:paraId="010961B0" w14:textId="77777777" w:rsidTr="00DA3056">
        <w:trPr>
          <w:trHeight w:val="300"/>
        </w:trPr>
        <w:tc>
          <w:tcPr>
            <w:tcW w:w="976" w:type="dxa"/>
            <w:tcBorders>
              <w:top w:val="nil"/>
              <w:left w:val="nil"/>
              <w:bottom w:val="single" w:sz="8" w:space="0" w:color="auto"/>
              <w:right w:val="nil"/>
            </w:tcBorders>
            <w:shd w:val="clear" w:color="auto" w:fill="auto"/>
            <w:noWrap/>
            <w:vAlign w:val="bottom"/>
            <w:hideMark/>
          </w:tcPr>
          <w:p w14:paraId="15DC9898" w14:textId="77777777" w:rsidR="00C537A7" w:rsidRDefault="00C537A7" w:rsidP="00DA3056">
            <w:pPr>
              <w:rPr>
                <w:rFonts w:ascii="Calibri" w:hAnsi="Calibri" w:cs="Calibri"/>
                <w:color w:val="000000"/>
              </w:rPr>
            </w:pPr>
            <w:r>
              <w:rPr>
                <w:rFonts w:ascii="Calibri" w:hAnsi="Calibri" w:cs="Calibri"/>
                <w:color w:val="000000"/>
              </w:rPr>
              <w:t>Var1</w:t>
            </w:r>
          </w:p>
        </w:tc>
        <w:tc>
          <w:tcPr>
            <w:tcW w:w="1181" w:type="dxa"/>
            <w:tcBorders>
              <w:top w:val="nil"/>
              <w:left w:val="nil"/>
              <w:bottom w:val="single" w:sz="8" w:space="0" w:color="auto"/>
              <w:right w:val="nil"/>
            </w:tcBorders>
            <w:shd w:val="clear" w:color="auto" w:fill="auto"/>
            <w:noWrap/>
            <w:vAlign w:val="bottom"/>
            <w:hideMark/>
          </w:tcPr>
          <w:p w14:paraId="4AD6CEB8" w14:textId="77777777" w:rsidR="00C537A7" w:rsidRDefault="00C537A7" w:rsidP="00DA3056">
            <w:pPr>
              <w:jc w:val="right"/>
              <w:rPr>
                <w:rFonts w:ascii="Calibri" w:hAnsi="Calibri" w:cs="Calibri"/>
                <w:color w:val="000000"/>
              </w:rPr>
            </w:pPr>
            <w:r>
              <w:rPr>
                <w:rFonts w:ascii="Calibri" w:hAnsi="Calibri" w:cs="Calibri"/>
                <w:color w:val="000000"/>
              </w:rPr>
              <w:t>16</w:t>
            </w:r>
          </w:p>
        </w:tc>
        <w:tc>
          <w:tcPr>
            <w:tcW w:w="976" w:type="dxa"/>
            <w:tcBorders>
              <w:top w:val="nil"/>
              <w:left w:val="nil"/>
              <w:bottom w:val="single" w:sz="8" w:space="0" w:color="auto"/>
              <w:right w:val="nil"/>
            </w:tcBorders>
            <w:shd w:val="clear" w:color="auto" w:fill="auto"/>
            <w:noWrap/>
            <w:vAlign w:val="bottom"/>
            <w:hideMark/>
          </w:tcPr>
          <w:p w14:paraId="2DC537F8" w14:textId="77777777" w:rsidR="00C537A7" w:rsidRDefault="00C537A7" w:rsidP="00DA3056">
            <w:pPr>
              <w:jc w:val="right"/>
              <w:rPr>
                <w:rFonts w:ascii="Calibri" w:hAnsi="Calibri" w:cs="Calibri"/>
                <w:color w:val="000000"/>
              </w:rPr>
            </w:pPr>
            <w:r>
              <w:rPr>
                <w:rFonts w:ascii="Calibri" w:hAnsi="Calibri" w:cs="Calibri"/>
                <w:color w:val="000000"/>
              </w:rPr>
              <w:t>0</w:t>
            </w:r>
          </w:p>
        </w:tc>
        <w:tc>
          <w:tcPr>
            <w:tcW w:w="976" w:type="dxa"/>
            <w:tcBorders>
              <w:top w:val="nil"/>
              <w:left w:val="nil"/>
              <w:bottom w:val="single" w:sz="8" w:space="0" w:color="auto"/>
              <w:right w:val="nil"/>
            </w:tcBorders>
            <w:shd w:val="clear" w:color="auto" w:fill="auto"/>
            <w:noWrap/>
            <w:vAlign w:val="bottom"/>
            <w:hideMark/>
          </w:tcPr>
          <w:p w14:paraId="0200F7BE" w14:textId="77777777" w:rsidR="00C537A7" w:rsidRDefault="00C537A7" w:rsidP="00DA3056">
            <w:pPr>
              <w:jc w:val="right"/>
              <w:rPr>
                <w:rFonts w:ascii="Calibri" w:hAnsi="Calibri" w:cs="Calibri"/>
                <w:color w:val="000000"/>
              </w:rPr>
            </w:pPr>
            <w:r>
              <w:rPr>
                <w:rFonts w:ascii="Calibri" w:hAnsi="Calibri" w:cs="Calibri"/>
                <w:color w:val="000000"/>
              </w:rPr>
              <w:t>16</w:t>
            </w:r>
          </w:p>
        </w:tc>
        <w:tc>
          <w:tcPr>
            <w:tcW w:w="976" w:type="dxa"/>
            <w:tcBorders>
              <w:top w:val="nil"/>
              <w:left w:val="nil"/>
              <w:bottom w:val="single" w:sz="8" w:space="0" w:color="auto"/>
              <w:right w:val="nil"/>
            </w:tcBorders>
            <w:shd w:val="clear" w:color="auto" w:fill="auto"/>
            <w:noWrap/>
            <w:vAlign w:val="bottom"/>
            <w:hideMark/>
          </w:tcPr>
          <w:p w14:paraId="7A2CF4E8" w14:textId="77777777" w:rsidR="00C537A7" w:rsidRDefault="00C537A7" w:rsidP="00DA3056">
            <w:pPr>
              <w:jc w:val="right"/>
              <w:rPr>
                <w:rFonts w:ascii="Calibri" w:hAnsi="Calibri" w:cs="Calibri"/>
                <w:color w:val="000000"/>
              </w:rPr>
            </w:pPr>
            <w:r>
              <w:rPr>
                <w:rFonts w:ascii="Calibri" w:hAnsi="Calibri" w:cs="Calibri"/>
                <w:color w:val="000000"/>
              </w:rPr>
              <w:t>2.305</w:t>
            </w:r>
          </w:p>
        </w:tc>
        <w:tc>
          <w:tcPr>
            <w:tcW w:w="976" w:type="dxa"/>
            <w:tcBorders>
              <w:top w:val="nil"/>
              <w:left w:val="nil"/>
              <w:bottom w:val="single" w:sz="8" w:space="0" w:color="auto"/>
              <w:right w:val="nil"/>
            </w:tcBorders>
            <w:shd w:val="clear" w:color="auto" w:fill="auto"/>
            <w:noWrap/>
            <w:vAlign w:val="bottom"/>
            <w:hideMark/>
          </w:tcPr>
          <w:p w14:paraId="29BC7407" w14:textId="77777777" w:rsidR="00C537A7" w:rsidRDefault="00C537A7" w:rsidP="00DA3056">
            <w:pPr>
              <w:jc w:val="right"/>
              <w:rPr>
                <w:rFonts w:ascii="Calibri" w:hAnsi="Calibri" w:cs="Calibri"/>
                <w:color w:val="000000"/>
              </w:rPr>
            </w:pPr>
            <w:r>
              <w:rPr>
                <w:rFonts w:ascii="Calibri" w:hAnsi="Calibri" w:cs="Calibri"/>
                <w:color w:val="000000"/>
              </w:rPr>
              <w:t>5.984</w:t>
            </w:r>
          </w:p>
        </w:tc>
        <w:tc>
          <w:tcPr>
            <w:tcW w:w="976" w:type="dxa"/>
            <w:tcBorders>
              <w:top w:val="nil"/>
              <w:left w:val="nil"/>
              <w:bottom w:val="single" w:sz="8" w:space="0" w:color="auto"/>
              <w:right w:val="nil"/>
            </w:tcBorders>
            <w:shd w:val="clear" w:color="auto" w:fill="auto"/>
            <w:noWrap/>
            <w:vAlign w:val="bottom"/>
            <w:hideMark/>
          </w:tcPr>
          <w:p w14:paraId="3DBBF1CE" w14:textId="77777777" w:rsidR="00C537A7" w:rsidRDefault="00C537A7" w:rsidP="00DA3056">
            <w:pPr>
              <w:jc w:val="right"/>
              <w:rPr>
                <w:rFonts w:ascii="Calibri" w:hAnsi="Calibri" w:cs="Calibri"/>
                <w:color w:val="000000"/>
              </w:rPr>
            </w:pPr>
            <w:r>
              <w:rPr>
                <w:rFonts w:ascii="Calibri" w:hAnsi="Calibri" w:cs="Calibri"/>
                <w:color w:val="000000"/>
              </w:rPr>
              <w:t>4.015</w:t>
            </w:r>
          </w:p>
        </w:tc>
        <w:tc>
          <w:tcPr>
            <w:tcW w:w="976" w:type="dxa"/>
            <w:tcBorders>
              <w:top w:val="nil"/>
              <w:left w:val="nil"/>
              <w:bottom w:val="single" w:sz="8" w:space="0" w:color="auto"/>
              <w:right w:val="nil"/>
            </w:tcBorders>
            <w:shd w:val="clear" w:color="auto" w:fill="auto"/>
            <w:noWrap/>
            <w:vAlign w:val="bottom"/>
            <w:hideMark/>
          </w:tcPr>
          <w:p w14:paraId="6E384DB1" w14:textId="77777777" w:rsidR="00C537A7" w:rsidRDefault="00C537A7" w:rsidP="00DA3056">
            <w:pPr>
              <w:jc w:val="right"/>
              <w:rPr>
                <w:rFonts w:ascii="Calibri" w:hAnsi="Calibri" w:cs="Calibri"/>
                <w:color w:val="000000"/>
              </w:rPr>
            </w:pPr>
            <w:r>
              <w:rPr>
                <w:rFonts w:ascii="Calibri" w:hAnsi="Calibri" w:cs="Calibri"/>
                <w:color w:val="000000"/>
              </w:rPr>
              <w:t>1.254</w:t>
            </w:r>
          </w:p>
        </w:tc>
      </w:tr>
    </w:tbl>
    <w:p w14:paraId="5FF53D15" w14:textId="77777777" w:rsidR="00C537A7" w:rsidRDefault="00C537A7" w:rsidP="00C537A7"/>
    <w:p w14:paraId="5E35258C" w14:textId="77777777" w:rsidR="00C537A7" w:rsidRDefault="00C537A7" w:rsidP="00C537A7">
      <w:r>
        <w:t>t-test for two independent samples / Two-tailed test:</w:t>
      </w:r>
    </w:p>
    <w:p w14:paraId="37EE45C6" w14:textId="77777777" w:rsidR="00C537A7" w:rsidRDefault="00C537A7" w:rsidP="00C537A7">
      <w:r>
        <w:t>95% confidence interval on the difference between the means:</w:t>
      </w:r>
    </w:p>
    <w:p w14:paraId="4AF79592" w14:textId="77777777" w:rsidR="00C537A7" w:rsidRDefault="00C537A7" w:rsidP="00C537A7">
      <w:r>
        <w:t>[ 0.429,1.</w:t>
      </w:r>
      <w:proofErr w:type="gramStart"/>
      <w:r>
        <w:t>809 ]</w:t>
      </w:r>
      <w:proofErr w:type="gramEnd"/>
    </w:p>
    <w:p w14:paraId="1731D74F" w14:textId="77777777" w:rsidR="00C537A7" w:rsidRDefault="00C537A7" w:rsidP="00C537A7"/>
    <w:tbl>
      <w:tblPr>
        <w:tblW w:w="2776" w:type="dxa"/>
        <w:tblLook w:val="04A0" w:firstRow="1" w:lastRow="0" w:firstColumn="1" w:lastColumn="0" w:noHBand="0" w:noVBand="1"/>
      </w:tblPr>
      <w:tblGrid>
        <w:gridCol w:w="1800"/>
        <w:gridCol w:w="976"/>
      </w:tblGrid>
      <w:tr w:rsidR="00C537A7" w14:paraId="3B3232A0" w14:textId="77777777" w:rsidTr="00DA3056">
        <w:trPr>
          <w:trHeight w:val="288"/>
        </w:trPr>
        <w:tc>
          <w:tcPr>
            <w:tcW w:w="1800" w:type="dxa"/>
            <w:tcBorders>
              <w:top w:val="single" w:sz="8" w:space="0" w:color="auto"/>
              <w:left w:val="nil"/>
              <w:bottom w:val="nil"/>
              <w:right w:val="nil"/>
            </w:tcBorders>
            <w:shd w:val="clear" w:color="auto" w:fill="auto"/>
            <w:noWrap/>
            <w:vAlign w:val="bottom"/>
            <w:hideMark/>
          </w:tcPr>
          <w:p w14:paraId="6E1DC04C" w14:textId="77777777" w:rsidR="00C537A7" w:rsidRDefault="00C537A7" w:rsidP="00DA3056">
            <w:pPr>
              <w:rPr>
                <w:rFonts w:ascii="Calibri" w:hAnsi="Calibri" w:cs="Calibri"/>
                <w:color w:val="000000"/>
              </w:rPr>
            </w:pPr>
            <w:r>
              <w:rPr>
                <w:rFonts w:ascii="Calibri" w:hAnsi="Calibri" w:cs="Calibri"/>
                <w:color w:val="000000"/>
              </w:rPr>
              <w:lastRenderedPageBreak/>
              <w:t>Difference</w:t>
            </w:r>
          </w:p>
        </w:tc>
        <w:tc>
          <w:tcPr>
            <w:tcW w:w="976" w:type="dxa"/>
            <w:tcBorders>
              <w:top w:val="single" w:sz="8" w:space="0" w:color="auto"/>
              <w:left w:val="nil"/>
              <w:bottom w:val="nil"/>
              <w:right w:val="nil"/>
            </w:tcBorders>
            <w:shd w:val="clear" w:color="auto" w:fill="auto"/>
            <w:noWrap/>
            <w:vAlign w:val="bottom"/>
            <w:hideMark/>
          </w:tcPr>
          <w:p w14:paraId="06671235" w14:textId="77777777" w:rsidR="00C537A7" w:rsidRDefault="00C537A7" w:rsidP="00DA3056">
            <w:pPr>
              <w:jc w:val="right"/>
              <w:rPr>
                <w:rFonts w:ascii="Calibri" w:hAnsi="Calibri" w:cs="Calibri"/>
                <w:color w:val="000000"/>
              </w:rPr>
            </w:pPr>
            <w:r>
              <w:rPr>
                <w:rFonts w:ascii="Calibri" w:hAnsi="Calibri" w:cs="Calibri"/>
                <w:color w:val="000000"/>
              </w:rPr>
              <w:t>1.119</w:t>
            </w:r>
          </w:p>
        </w:tc>
      </w:tr>
      <w:tr w:rsidR="00C537A7" w14:paraId="264B87CC" w14:textId="77777777" w:rsidTr="00DA3056">
        <w:trPr>
          <w:trHeight w:val="288"/>
        </w:trPr>
        <w:tc>
          <w:tcPr>
            <w:tcW w:w="1800" w:type="dxa"/>
            <w:tcBorders>
              <w:top w:val="nil"/>
              <w:left w:val="nil"/>
              <w:bottom w:val="nil"/>
              <w:right w:val="nil"/>
            </w:tcBorders>
            <w:shd w:val="clear" w:color="auto" w:fill="auto"/>
            <w:noWrap/>
            <w:vAlign w:val="bottom"/>
            <w:hideMark/>
          </w:tcPr>
          <w:p w14:paraId="0FCD06E2" w14:textId="77777777" w:rsidR="00C537A7" w:rsidRDefault="00C537A7" w:rsidP="00DA3056">
            <w:pPr>
              <w:rPr>
                <w:rFonts w:ascii="Calibri" w:hAnsi="Calibri" w:cs="Calibri"/>
                <w:color w:val="000000"/>
              </w:rPr>
            </w:pPr>
            <w:r>
              <w:rPr>
                <w:rFonts w:ascii="Calibri" w:hAnsi="Calibri" w:cs="Calibri"/>
                <w:color w:val="000000"/>
              </w:rPr>
              <w:t>t (Observed value)</w:t>
            </w:r>
          </w:p>
        </w:tc>
        <w:tc>
          <w:tcPr>
            <w:tcW w:w="976" w:type="dxa"/>
            <w:tcBorders>
              <w:top w:val="nil"/>
              <w:left w:val="nil"/>
              <w:bottom w:val="nil"/>
              <w:right w:val="nil"/>
            </w:tcBorders>
            <w:shd w:val="clear" w:color="auto" w:fill="auto"/>
            <w:noWrap/>
            <w:vAlign w:val="bottom"/>
            <w:hideMark/>
          </w:tcPr>
          <w:p w14:paraId="478DCF03" w14:textId="77777777" w:rsidR="00C537A7" w:rsidRDefault="00C537A7" w:rsidP="00DA3056">
            <w:pPr>
              <w:jc w:val="right"/>
              <w:rPr>
                <w:rFonts w:ascii="Calibri" w:hAnsi="Calibri" w:cs="Calibri"/>
                <w:color w:val="000000"/>
              </w:rPr>
            </w:pPr>
            <w:r>
              <w:rPr>
                <w:rFonts w:ascii="Calibri" w:hAnsi="Calibri" w:cs="Calibri"/>
                <w:color w:val="000000"/>
              </w:rPr>
              <w:t>3.257</w:t>
            </w:r>
          </w:p>
        </w:tc>
      </w:tr>
      <w:tr w:rsidR="00C537A7" w14:paraId="050F908B" w14:textId="77777777" w:rsidTr="00DA3056">
        <w:trPr>
          <w:trHeight w:val="288"/>
        </w:trPr>
        <w:tc>
          <w:tcPr>
            <w:tcW w:w="1800" w:type="dxa"/>
            <w:tcBorders>
              <w:top w:val="nil"/>
              <w:left w:val="nil"/>
              <w:bottom w:val="nil"/>
              <w:right w:val="nil"/>
            </w:tcBorders>
            <w:shd w:val="clear" w:color="auto" w:fill="auto"/>
            <w:noWrap/>
            <w:vAlign w:val="bottom"/>
            <w:hideMark/>
          </w:tcPr>
          <w:p w14:paraId="3AA5718E" w14:textId="77777777" w:rsidR="00C537A7" w:rsidRDefault="00C537A7" w:rsidP="00DA3056">
            <w:pPr>
              <w:rPr>
                <w:rFonts w:ascii="Calibri" w:hAnsi="Calibri" w:cs="Calibri"/>
                <w:color w:val="000000"/>
              </w:rPr>
            </w:pPr>
            <w:r>
              <w:rPr>
                <w:rFonts w:ascii="Calibri" w:hAnsi="Calibri" w:cs="Calibri"/>
                <w:color w:val="000000"/>
              </w:rPr>
              <w:t>|t| (Critical value)</w:t>
            </w:r>
          </w:p>
        </w:tc>
        <w:tc>
          <w:tcPr>
            <w:tcW w:w="976" w:type="dxa"/>
            <w:tcBorders>
              <w:top w:val="nil"/>
              <w:left w:val="nil"/>
              <w:bottom w:val="nil"/>
              <w:right w:val="nil"/>
            </w:tcBorders>
            <w:shd w:val="clear" w:color="auto" w:fill="auto"/>
            <w:noWrap/>
            <w:vAlign w:val="bottom"/>
            <w:hideMark/>
          </w:tcPr>
          <w:p w14:paraId="78022342" w14:textId="77777777" w:rsidR="00C537A7" w:rsidRDefault="00C537A7" w:rsidP="00DA3056">
            <w:pPr>
              <w:jc w:val="right"/>
              <w:rPr>
                <w:rFonts w:ascii="Calibri" w:hAnsi="Calibri" w:cs="Calibri"/>
                <w:color w:val="000000"/>
              </w:rPr>
            </w:pPr>
            <w:r>
              <w:rPr>
                <w:rFonts w:ascii="Calibri" w:hAnsi="Calibri" w:cs="Calibri"/>
                <w:color w:val="000000"/>
              </w:rPr>
              <w:t>2.008</w:t>
            </w:r>
          </w:p>
        </w:tc>
      </w:tr>
      <w:tr w:rsidR="00C537A7" w14:paraId="49932099" w14:textId="77777777" w:rsidTr="00DA3056">
        <w:trPr>
          <w:trHeight w:val="288"/>
        </w:trPr>
        <w:tc>
          <w:tcPr>
            <w:tcW w:w="1800" w:type="dxa"/>
            <w:tcBorders>
              <w:top w:val="nil"/>
              <w:left w:val="nil"/>
              <w:bottom w:val="nil"/>
              <w:right w:val="nil"/>
            </w:tcBorders>
            <w:shd w:val="clear" w:color="auto" w:fill="auto"/>
            <w:noWrap/>
            <w:vAlign w:val="bottom"/>
            <w:hideMark/>
          </w:tcPr>
          <w:p w14:paraId="4128D7D2" w14:textId="77777777" w:rsidR="00C537A7" w:rsidRDefault="00C537A7" w:rsidP="00DA3056">
            <w:pPr>
              <w:rPr>
                <w:rFonts w:ascii="Calibri" w:hAnsi="Calibri" w:cs="Calibri"/>
                <w:color w:val="000000"/>
              </w:rPr>
            </w:pPr>
            <w:r>
              <w:rPr>
                <w:rFonts w:ascii="Calibri" w:hAnsi="Calibri" w:cs="Calibri"/>
                <w:color w:val="000000"/>
              </w:rPr>
              <w:t>DF</w:t>
            </w:r>
          </w:p>
        </w:tc>
        <w:tc>
          <w:tcPr>
            <w:tcW w:w="976" w:type="dxa"/>
            <w:tcBorders>
              <w:top w:val="nil"/>
              <w:left w:val="nil"/>
              <w:bottom w:val="nil"/>
              <w:right w:val="nil"/>
            </w:tcBorders>
            <w:shd w:val="clear" w:color="auto" w:fill="auto"/>
            <w:noWrap/>
            <w:vAlign w:val="bottom"/>
            <w:hideMark/>
          </w:tcPr>
          <w:p w14:paraId="56EC7D63" w14:textId="77777777" w:rsidR="00C537A7" w:rsidRDefault="00C537A7" w:rsidP="00DA3056">
            <w:pPr>
              <w:jc w:val="right"/>
              <w:rPr>
                <w:rFonts w:ascii="Calibri" w:hAnsi="Calibri" w:cs="Calibri"/>
                <w:color w:val="000000"/>
              </w:rPr>
            </w:pPr>
            <w:r>
              <w:rPr>
                <w:rFonts w:ascii="Calibri" w:hAnsi="Calibri" w:cs="Calibri"/>
                <w:color w:val="000000"/>
              </w:rPr>
              <w:t>51</w:t>
            </w:r>
          </w:p>
        </w:tc>
      </w:tr>
      <w:tr w:rsidR="00C537A7" w14:paraId="22383CB7" w14:textId="77777777" w:rsidTr="00DA3056">
        <w:trPr>
          <w:trHeight w:val="288"/>
        </w:trPr>
        <w:tc>
          <w:tcPr>
            <w:tcW w:w="1800" w:type="dxa"/>
            <w:tcBorders>
              <w:top w:val="nil"/>
              <w:left w:val="nil"/>
              <w:bottom w:val="nil"/>
              <w:right w:val="nil"/>
            </w:tcBorders>
            <w:shd w:val="clear" w:color="auto" w:fill="auto"/>
            <w:noWrap/>
            <w:vAlign w:val="bottom"/>
            <w:hideMark/>
          </w:tcPr>
          <w:p w14:paraId="2C565B0F" w14:textId="77777777" w:rsidR="00C537A7" w:rsidRDefault="00C537A7" w:rsidP="00DA3056">
            <w:pPr>
              <w:rPr>
                <w:rFonts w:ascii="Calibri" w:hAnsi="Calibri" w:cs="Calibri"/>
                <w:color w:val="000000"/>
              </w:rPr>
            </w:pPr>
            <w:r>
              <w:rPr>
                <w:rFonts w:ascii="Calibri" w:hAnsi="Calibri" w:cs="Calibri"/>
                <w:color w:val="000000"/>
              </w:rPr>
              <w:t>p-value (Two-tailed)</w:t>
            </w:r>
          </w:p>
        </w:tc>
        <w:tc>
          <w:tcPr>
            <w:tcW w:w="976" w:type="dxa"/>
            <w:tcBorders>
              <w:top w:val="nil"/>
              <w:left w:val="nil"/>
              <w:bottom w:val="nil"/>
              <w:right w:val="nil"/>
            </w:tcBorders>
            <w:shd w:val="clear" w:color="auto" w:fill="auto"/>
            <w:noWrap/>
            <w:vAlign w:val="bottom"/>
            <w:hideMark/>
          </w:tcPr>
          <w:p w14:paraId="07F02140" w14:textId="77777777" w:rsidR="00C537A7" w:rsidRDefault="00C537A7" w:rsidP="00DA3056">
            <w:pPr>
              <w:jc w:val="right"/>
              <w:rPr>
                <w:rFonts w:ascii="Calibri" w:hAnsi="Calibri" w:cs="Calibri"/>
                <w:color w:val="000000"/>
              </w:rPr>
            </w:pPr>
            <w:r>
              <w:rPr>
                <w:rFonts w:ascii="Calibri" w:hAnsi="Calibri" w:cs="Calibri"/>
                <w:color w:val="000000"/>
              </w:rPr>
              <w:t>0.002</w:t>
            </w:r>
          </w:p>
        </w:tc>
      </w:tr>
      <w:tr w:rsidR="00C537A7" w14:paraId="6ACBE46D" w14:textId="77777777" w:rsidTr="00DA3056">
        <w:trPr>
          <w:trHeight w:val="300"/>
        </w:trPr>
        <w:tc>
          <w:tcPr>
            <w:tcW w:w="1800" w:type="dxa"/>
            <w:tcBorders>
              <w:top w:val="nil"/>
              <w:left w:val="nil"/>
              <w:bottom w:val="single" w:sz="8" w:space="0" w:color="auto"/>
              <w:right w:val="nil"/>
            </w:tcBorders>
            <w:shd w:val="clear" w:color="auto" w:fill="auto"/>
            <w:noWrap/>
            <w:vAlign w:val="bottom"/>
            <w:hideMark/>
          </w:tcPr>
          <w:p w14:paraId="627DEF40" w14:textId="77777777" w:rsidR="00C537A7" w:rsidRDefault="00C537A7" w:rsidP="00DA3056">
            <w:pPr>
              <w:rPr>
                <w:rFonts w:ascii="Calibri" w:hAnsi="Calibri" w:cs="Calibri"/>
                <w:color w:val="000000"/>
              </w:rPr>
            </w:pPr>
            <w:r>
              <w:rPr>
                <w:rFonts w:ascii="Calibri" w:hAnsi="Calibri" w:cs="Calibri"/>
                <w:color w:val="000000"/>
              </w:rPr>
              <w:t>alpha</w:t>
            </w:r>
          </w:p>
        </w:tc>
        <w:tc>
          <w:tcPr>
            <w:tcW w:w="976" w:type="dxa"/>
            <w:tcBorders>
              <w:top w:val="nil"/>
              <w:left w:val="nil"/>
              <w:bottom w:val="single" w:sz="8" w:space="0" w:color="auto"/>
              <w:right w:val="nil"/>
            </w:tcBorders>
            <w:shd w:val="clear" w:color="auto" w:fill="auto"/>
            <w:noWrap/>
            <w:vAlign w:val="bottom"/>
            <w:hideMark/>
          </w:tcPr>
          <w:p w14:paraId="145061FD" w14:textId="77777777" w:rsidR="00C537A7" w:rsidRDefault="00C537A7" w:rsidP="00DA3056">
            <w:pPr>
              <w:jc w:val="right"/>
              <w:rPr>
                <w:rFonts w:ascii="Calibri" w:hAnsi="Calibri" w:cs="Calibri"/>
                <w:color w:val="000000"/>
              </w:rPr>
            </w:pPr>
            <w:r>
              <w:rPr>
                <w:rFonts w:ascii="Calibri" w:hAnsi="Calibri" w:cs="Calibri"/>
                <w:color w:val="000000"/>
              </w:rPr>
              <w:t>0.05</w:t>
            </w:r>
          </w:p>
        </w:tc>
      </w:tr>
    </w:tbl>
    <w:p w14:paraId="2B07084F" w14:textId="77777777" w:rsidR="00C537A7" w:rsidRDefault="00C537A7" w:rsidP="00C537A7"/>
    <w:p w14:paraId="47D688F4" w14:textId="77777777" w:rsidR="00C537A7" w:rsidRDefault="00C537A7" w:rsidP="00C537A7">
      <w:r>
        <w:rPr>
          <w:noProof/>
        </w:rPr>
        <w:drawing>
          <wp:inline distT="0" distB="0" distL="0" distR="0" wp14:anchorId="5D46772F" wp14:editId="735722C2">
            <wp:extent cx="3663950" cy="32981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63950" cy="3298190"/>
                    </a:xfrm>
                    <a:prstGeom prst="rect">
                      <a:avLst/>
                    </a:prstGeom>
                    <a:noFill/>
                  </pic:spPr>
                </pic:pic>
              </a:graphicData>
            </a:graphic>
          </wp:inline>
        </w:drawing>
      </w:r>
    </w:p>
    <w:p w14:paraId="0C50D2B5" w14:textId="77777777" w:rsidR="00C537A7" w:rsidRDefault="00C537A7" w:rsidP="00C537A7"/>
    <w:p w14:paraId="13B029F8" w14:textId="77777777" w:rsidR="00C537A7" w:rsidRDefault="00C537A7" w:rsidP="00C537A7">
      <w:r>
        <w:rPr>
          <w:noProof/>
        </w:rPr>
        <w:lastRenderedPageBreak/>
        <w:drawing>
          <wp:inline distT="0" distB="0" distL="0" distR="0" wp14:anchorId="70DD60C3" wp14:editId="38CCCFCD">
            <wp:extent cx="3663950" cy="32981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63950" cy="3298190"/>
                    </a:xfrm>
                    <a:prstGeom prst="rect">
                      <a:avLst/>
                    </a:prstGeom>
                    <a:noFill/>
                  </pic:spPr>
                </pic:pic>
              </a:graphicData>
            </a:graphic>
          </wp:inline>
        </w:drawing>
      </w:r>
    </w:p>
    <w:p w14:paraId="6846DC1E" w14:textId="77777777" w:rsidR="00C537A7" w:rsidRDefault="00C537A7" w:rsidP="00C537A7"/>
    <w:p w14:paraId="076872E4" w14:textId="77777777" w:rsidR="00C537A7" w:rsidRDefault="00C537A7" w:rsidP="007B7E9A"/>
    <w:sectPr w:rsidR="00C537A7">
      <w:footerReference w:type="even" r:id="rId24"/>
      <w:footerReference w:type="default" r:id="rId2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708F3" w16cex:dateUtc="2020-07-01T20:06:00Z"/>
  <w16cex:commentExtensible w16cex:durableId="22A709E3" w16cex:dateUtc="2020-07-01T20:10:00Z"/>
  <w16cex:commentExtensible w16cex:durableId="22A70BEC" w16cex:dateUtc="2020-07-01T2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3BA1F" w14:textId="77777777" w:rsidR="00244F4E" w:rsidRDefault="00244F4E" w:rsidP="00C537A7">
      <w:pPr>
        <w:spacing w:after="0" w:line="240" w:lineRule="auto"/>
      </w:pPr>
      <w:r>
        <w:separator/>
      </w:r>
    </w:p>
  </w:endnote>
  <w:endnote w:type="continuationSeparator" w:id="0">
    <w:p w14:paraId="7A74D3A3" w14:textId="77777777" w:rsidR="00244F4E" w:rsidRDefault="00244F4E" w:rsidP="00C53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harisSIL">
    <w:altName w:val="Cambria"/>
    <w:panose1 w:val="020B0604020202020204"/>
    <w:charset w:val="81"/>
    <w:family w:val="swiss"/>
    <w:notTrueType/>
    <w:pitch w:val="default"/>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63440510"/>
      <w:docPartObj>
        <w:docPartGallery w:val="Page Numbers (Bottom of Page)"/>
        <w:docPartUnique/>
      </w:docPartObj>
    </w:sdtPr>
    <w:sdtEndPr>
      <w:rPr>
        <w:rStyle w:val="PageNumber"/>
      </w:rPr>
    </w:sdtEndPr>
    <w:sdtContent>
      <w:p w14:paraId="7888D3FB" w14:textId="12C529F1" w:rsidR="005C10AE" w:rsidRDefault="005C10AE" w:rsidP="003A5C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511822" w14:textId="77777777" w:rsidR="005C10AE" w:rsidRDefault="005C1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8621006"/>
      <w:docPartObj>
        <w:docPartGallery w:val="Page Numbers (Bottom of Page)"/>
        <w:docPartUnique/>
      </w:docPartObj>
    </w:sdtPr>
    <w:sdtEndPr>
      <w:rPr>
        <w:rStyle w:val="PageNumber"/>
      </w:rPr>
    </w:sdtEndPr>
    <w:sdtContent>
      <w:p w14:paraId="36241491" w14:textId="30396360" w:rsidR="005C10AE" w:rsidRDefault="005C10AE" w:rsidP="003A5C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1DFBF6D" w14:textId="77777777" w:rsidR="005C10AE" w:rsidRDefault="005C1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A5C50B" w14:textId="77777777" w:rsidR="00244F4E" w:rsidRDefault="00244F4E" w:rsidP="00C537A7">
      <w:pPr>
        <w:spacing w:after="0" w:line="240" w:lineRule="auto"/>
      </w:pPr>
      <w:r>
        <w:separator/>
      </w:r>
    </w:p>
  </w:footnote>
  <w:footnote w:type="continuationSeparator" w:id="0">
    <w:p w14:paraId="00764CD3" w14:textId="77777777" w:rsidR="00244F4E" w:rsidRDefault="00244F4E" w:rsidP="00C537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rchaeological Scienc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zezefwv4tezr1evpt5p2et85a05dp5v2ve5&quot;&gt;GJP Master Library Jul 17 2015 Copy-Converted&lt;record-ids&gt;&lt;item&gt;2104&lt;/item&gt;&lt;item&gt;3802&lt;/item&gt;&lt;item&gt;3827&lt;/item&gt;&lt;item&gt;3858&lt;/item&gt;&lt;item&gt;3863&lt;/item&gt;&lt;item&gt;4505&lt;/item&gt;&lt;item&gt;4898&lt;/item&gt;&lt;/record-ids&gt;&lt;/item&gt;&lt;/Libraries&gt;"/>
  </w:docVars>
  <w:rsids>
    <w:rsidRoot w:val="00125FEE"/>
    <w:rsid w:val="000E108D"/>
    <w:rsid w:val="00101914"/>
    <w:rsid w:val="00125FDE"/>
    <w:rsid w:val="00125FEE"/>
    <w:rsid w:val="0013457A"/>
    <w:rsid w:val="001B2CBA"/>
    <w:rsid w:val="001C1836"/>
    <w:rsid w:val="00203BAC"/>
    <w:rsid w:val="00244F4E"/>
    <w:rsid w:val="00272E94"/>
    <w:rsid w:val="00387032"/>
    <w:rsid w:val="003901AA"/>
    <w:rsid w:val="003D356D"/>
    <w:rsid w:val="004273FD"/>
    <w:rsid w:val="00490F55"/>
    <w:rsid w:val="004B62B4"/>
    <w:rsid w:val="004C12E1"/>
    <w:rsid w:val="004E7134"/>
    <w:rsid w:val="0053636F"/>
    <w:rsid w:val="005C10AE"/>
    <w:rsid w:val="006F35E8"/>
    <w:rsid w:val="00766769"/>
    <w:rsid w:val="007B7E9A"/>
    <w:rsid w:val="007F3E21"/>
    <w:rsid w:val="00847D69"/>
    <w:rsid w:val="00881F77"/>
    <w:rsid w:val="008D67E3"/>
    <w:rsid w:val="008E37D6"/>
    <w:rsid w:val="0092786C"/>
    <w:rsid w:val="009C5940"/>
    <w:rsid w:val="009F357E"/>
    <w:rsid w:val="00AD46F9"/>
    <w:rsid w:val="00AE776B"/>
    <w:rsid w:val="00B20357"/>
    <w:rsid w:val="00B639AD"/>
    <w:rsid w:val="00BC1C53"/>
    <w:rsid w:val="00BC701D"/>
    <w:rsid w:val="00C176B2"/>
    <w:rsid w:val="00C537A7"/>
    <w:rsid w:val="00C640F1"/>
    <w:rsid w:val="00C93419"/>
    <w:rsid w:val="00CE0715"/>
    <w:rsid w:val="00D6632A"/>
    <w:rsid w:val="00D96086"/>
    <w:rsid w:val="00E40130"/>
    <w:rsid w:val="00EB689B"/>
    <w:rsid w:val="00EF399C"/>
    <w:rsid w:val="00F46A47"/>
    <w:rsid w:val="00FC6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CF81D"/>
  <w15:chartTrackingRefBased/>
  <w15:docId w15:val="{1764B2D2-7ED2-4705-ADE6-E1A670B36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86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786C"/>
    <w:rPr>
      <w:color w:val="0563C1" w:themeColor="hyperlink"/>
      <w:u w:val="single"/>
    </w:rPr>
  </w:style>
  <w:style w:type="paragraph" w:customStyle="1" w:styleId="EndNoteBibliography">
    <w:name w:val="EndNote Bibliography"/>
    <w:basedOn w:val="Normal"/>
    <w:link w:val="EndNoteBibliographyChar"/>
    <w:rsid w:val="00C176B2"/>
    <w:pPr>
      <w:spacing w:line="240" w:lineRule="auto"/>
    </w:pPr>
    <w:rPr>
      <w:rFonts w:ascii="Calibri" w:hAnsi="Calibri" w:cs="Calibri"/>
    </w:rPr>
  </w:style>
  <w:style w:type="character" w:customStyle="1" w:styleId="EndNoteBibliographyChar">
    <w:name w:val="EndNote Bibliography Char"/>
    <w:basedOn w:val="DefaultParagraphFont"/>
    <w:link w:val="EndNoteBibliography"/>
    <w:rsid w:val="00C176B2"/>
    <w:rPr>
      <w:rFonts w:ascii="Calibri" w:hAnsi="Calibri" w:cs="Calibri"/>
    </w:rPr>
  </w:style>
  <w:style w:type="paragraph" w:styleId="Header">
    <w:name w:val="header"/>
    <w:basedOn w:val="Normal"/>
    <w:link w:val="HeaderChar"/>
    <w:uiPriority w:val="99"/>
    <w:unhideWhenUsed/>
    <w:rsid w:val="00C53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7A7"/>
  </w:style>
  <w:style w:type="paragraph" w:styleId="Footer">
    <w:name w:val="footer"/>
    <w:basedOn w:val="Normal"/>
    <w:link w:val="FooterChar"/>
    <w:uiPriority w:val="99"/>
    <w:unhideWhenUsed/>
    <w:rsid w:val="00C53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7A7"/>
  </w:style>
  <w:style w:type="character" w:styleId="PageNumber">
    <w:name w:val="page number"/>
    <w:basedOn w:val="DefaultParagraphFont"/>
    <w:uiPriority w:val="99"/>
    <w:semiHidden/>
    <w:unhideWhenUsed/>
    <w:rsid w:val="005C10AE"/>
  </w:style>
  <w:style w:type="character" w:styleId="UnresolvedMention">
    <w:name w:val="Unresolved Mention"/>
    <w:basedOn w:val="DefaultParagraphFont"/>
    <w:uiPriority w:val="99"/>
    <w:semiHidden/>
    <w:unhideWhenUsed/>
    <w:rsid w:val="003901AA"/>
    <w:rPr>
      <w:color w:val="605E5C"/>
      <w:shd w:val="clear" w:color="auto" w:fill="E1DFDD"/>
    </w:rPr>
  </w:style>
  <w:style w:type="character" w:styleId="CommentReference">
    <w:name w:val="annotation reference"/>
    <w:basedOn w:val="DefaultParagraphFont"/>
    <w:uiPriority w:val="99"/>
    <w:semiHidden/>
    <w:unhideWhenUsed/>
    <w:rsid w:val="003901AA"/>
    <w:rPr>
      <w:sz w:val="16"/>
      <w:szCs w:val="16"/>
    </w:rPr>
  </w:style>
  <w:style w:type="paragraph" w:styleId="CommentText">
    <w:name w:val="annotation text"/>
    <w:basedOn w:val="Normal"/>
    <w:link w:val="CommentTextChar"/>
    <w:uiPriority w:val="99"/>
    <w:semiHidden/>
    <w:unhideWhenUsed/>
    <w:rsid w:val="003901AA"/>
    <w:pPr>
      <w:spacing w:line="240" w:lineRule="auto"/>
    </w:pPr>
    <w:rPr>
      <w:sz w:val="20"/>
      <w:szCs w:val="20"/>
    </w:rPr>
  </w:style>
  <w:style w:type="character" w:customStyle="1" w:styleId="CommentTextChar">
    <w:name w:val="Comment Text Char"/>
    <w:basedOn w:val="DefaultParagraphFont"/>
    <w:link w:val="CommentText"/>
    <w:uiPriority w:val="99"/>
    <w:semiHidden/>
    <w:rsid w:val="003901AA"/>
    <w:rPr>
      <w:sz w:val="20"/>
      <w:szCs w:val="20"/>
    </w:rPr>
  </w:style>
  <w:style w:type="paragraph" w:styleId="CommentSubject">
    <w:name w:val="annotation subject"/>
    <w:basedOn w:val="CommentText"/>
    <w:next w:val="CommentText"/>
    <w:link w:val="CommentSubjectChar"/>
    <w:uiPriority w:val="99"/>
    <w:semiHidden/>
    <w:unhideWhenUsed/>
    <w:rsid w:val="003901AA"/>
    <w:rPr>
      <w:b/>
      <w:bCs/>
    </w:rPr>
  </w:style>
  <w:style w:type="character" w:customStyle="1" w:styleId="CommentSubjectChar">
    <w:name w:val="Comment Subject Char"/>
    <w:basedOn w:val="CommentTextChar"/>
    <w:link w:val="CommentSubject"/>
    <w:uiPriority w:val="99"/>
    <w:semiHidden/>
    <w:rsid w:val="003901AA"/>
    <w:rPr>
      <w:b/>
      <w:bCs/>
      <w:sz w:val="20"/>
      <w:szCs w:val="20"/>
    </w:rPr>
  </w:style>
  <w:style w:type="paragraph" w:styleId="BalloonText">
    <w:name w:val="Balloon Text"/>
    <w:basedOn w:val="Normal"/>
    <w:link w:val="BalloonTextChar"/>
    <w:uiPriority w:val="99"/>
    <w:semiHidden/>
    <w:unhideWhenUsed/>
    <w:rsid w:val="003901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1AA"/>
    <w:rPr>
      <w:rFonts w:ascii="Segoe UI" w:hAnsi="Segoe UI" w:cs="Segoe UI"/>
      <w:sz w:val="18"/>
      <w:szCs w:val="18"/>
    </w:rPr>
  </w:style>
  <w:style w:type="paragraph" w:customStyle="1" w:styleId="EndNoteBibliographyTitle">
    <w:name w:val="EndNote Bibliography Title"/>
    <w:basedOn w:val="Normal"/>
    <w:link w:val="EndNoteBibliographyTitleChar"/>
    <w:rsid w:val="00C640F1"/>
    <w:pPr>
      <w:spacing w:after="0"/>
      <w:jc w:val="center"/>
    </w:pPr>
    <w:rPr>
      <w:rFonts w:ascii="Calibri" w:hAnsi="Calibri"/>
    </w:rPr>
  </w:style>
  <w:style w:type="character" w:customStyle="1" w:styleId="EndNoteBibliographyTitleChar">
    <w:name w:val="EndNote Bibliography Title Char"/>
    <w:basedOn w:val="DefaultParagraphFont"/>
    <w:link w:val="EndNoteBibliographyTitle"/>
    <w:rsid w:val="00C640F1"/>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619974">
      <w:bodyDiv w:val="1"/>
      <w:marLeft w:val="0"/>
      <w:marRight w:val="0"/>
      <w:marTop w:val="0"/>
      <w:marBottom w:val="0"/>
      <w:divBdr>
        <w:top w:val="none" w:sz="0" w:space="0" w:color="auto"/>
        <w:left w:val="none" w:sz="0" w:space="0" w:color="auto"/>
        <w:bottom w:val="none" w:sz="0" w:space="0" w:color="auto"/>
        <w:right w:val="none" w:sz="0" w:space="0" w:color="auto"/>
      </w:divBdr>
    </w:div>
    <w:div w:id="1307320087">
      <w:bodyDiv w:val="1"/>
      <w:marLeft w:val="0"/>
      <w:marRight w:val="0"/>
      <w:marTop w:val="0"/>
      <w:marBottom w:val="0"/>
      <w:divBdr>
        <w:top w:val="none" w:sz="0" w:space="0" w:color="auto"/>
        <w:left w:val="none" w:sz="0" w:space="0" w:color="auto"/>
        <w:bottom w:val="none" w:sz="0" w:space="0" w:color="auto"/>
        <w:right w:val="none" w:sz="0" w:space="0" w:color="auto"/>
      </w:divBdr>
    </w:div>
    <w:div w:id="1672366320">
      <w:bodyDiv w:val="1"/>
      <w:marLeft w:val="0"/>
      <w:marRight w:val="0"/>
      <w:marTop w:val="0"/>
      <w:marBottom w:val="0"/>
      <w:divBdr>
        <w:top w:val="none" w:sz="0" w:space="0" w:color="auto"/>
        <w:left w:val="none" w:sz="0" w:space="0" w:color="auto"/>
        <w:bottom w:val="none" w:sz="0" w:space="0" w:color="auto"/>
        <w:right w:val="none" w:sz="0" w:space="0" w:color="auto"/>
      </w:divBdr>
    </w:div>
    <w:div w:id="1932085447">
      <w:bodyDiv w:val="1"/>
      <w:marLeft w:val="0"/>
      <w:marRight w:val="0"/>
      <w:marTop w:val="0"/>
      <w:marBottom w:val="0"/>
      <w:divBdr>
        <w:top w:val="none" w:sz="0" w:space="0" w:color="auto"/>
        <w:left w:val="none" w:sz="0" w:space="0" w:color="auto"/>
        <w:bottom w:val="none" w:sz="0" w:space="0" w:color="auto"/>
        <w:right w:val="none" w:sz="0" w:space="0" w:color="auto"/>
      </w:divBdr>
    </w:div>
    <w:div w:id="2028363423">
      <w:bodyDiv w:val="1"/>
      <w:marLeft w:val="0"/>
      <w:marRight w:val="0"/>
      <w:marTop w:val="0"/>
      <w:marBottom w:val="0"/>
      <w:divBdr>
        <w:top w:val="none" w:sz="0" w:space="0" w:color="auto"/>
        <w:left w:val="none" w:sz="0" w:space="0" w:color="auto"/>
        <w:bottom w:val="none" w:sz="0" w:space="0" w:color="auto"/>
        <w:right w:val="none" w:sz="0" w:space="0" w:color="auto"/>
      </w:divBdr>
    </w:div>
    <w:div w:id="214245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yperlink" Target="http://www.uniprot.org/proteomes/UP00000564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hyperlink" Target="mailto:tybuonasera@ucdavis.edu" TargetMode="External"/><Relationship Id="rId12" Type="http://schemas.openxmlformats.org/officeDocument/2006/relationships/hyperlink" Target="http://dx.doi.org/10.1016/j.jas.2013.07.004" TargetMode="External"/><Relationship Id="rId17" Type="http://schemas.openxmlformats.org/officeDocument/2006/relationships/image" Target="media/image9.emf"/><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gjparker@ucdavis.edu" TargetMode="External"/><Relationship Id="rId11" Type="http://schemas.openxmlformats.org/officeDocument/2006/relationships/image" Target="media/image4.tiff"/><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4.png"/><Relationship Id="rId28" Type="http://schemas.microsoft.com/office/2018/08/relationships/commentsExtensible" Target="commentsExtensible.xml"/><Relationship Id="rId10" Type="http://schemas.openxmlformats.org/officeDocument/2006/relationships/image" Target="media/image3.tiff"/><Relationship Id="rId19" Type="http://schemas.openxmlformats.org/officeDocument/2006/relationships/chart" Target="charts/chart1.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3.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tybuo\Documents\Amelogenin\ALA-565\Paper\ALA-565%20&amp;704_Tables&amp;Figs%20for%20paper_regressions.xlsm" TargetMode="External"/><Relationship Id="rId1" Type="http://schemas.openxmlformats.org/officeDocument/2006/relationships/image" Target="../media/image10.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a:latin typeface="Arial"/>
                <a:ea typeface="Arial"/>
                <a:cs typeface="Arial"/>
              </a:defRPr>
            </a:pPr>
            <a:r>
              <a:rPr lang="en-US"/>
              <a:t>Regression of AMELX (CI) by Total Reads (R²=0.056)</a:t>
            </a:r>
          </a:p>
        </c:rich>
      </c:tx>
      <c:overlay val="0"/>
    </c:title>
    <c:autoTitleDeleted val="0"/>
    <c:plotArea>
      <c:layout/>
      <c:scatterChart>
        <c:scatterStyle val="lineMarker"/>
        <c:varyColors val="0"/>
        <c:ser>
          <c:idx val="0"/>
          <c:order val="0"/>
          <c:tx>
            <c:v/>
          </c:tx>
          <c:spPr>
            <a:ln w="25400">
              <a:noFill/>
            </a:ln>
            <a:effectLst/>
          </c:spPr>
          <c:marker>
            <c:symbol val="circle"/>
            <c:size val="3"/>
            <c:spPr>
              <a:solidFill>
                <a:srgbClr val="003CE6"/>
              </a:solidFill>
              <a:ln w="6350">
                <a:solidFill>
                  <a:srgbClr val="003CE6"/>
                </a:solidFill>
                <a:prstDash val="solid"/>
              </a:ln>
            </c:spPr>
          </c:marker>
          <c:xVal>
            <c:numRef>
              <c:f>'Linear regression7'!$D$99:$D$151</c:f>
              <c:numCache>
                <c:formatCode>0.000</c:formatCode>
                <c:ptCount val="53"/>
                <c:pt idx="0">
                  <c:v>3.819872821950546</c:v>
                </c:pt>
                <c:pt idx="1">
                  <c:v>4.8753217619390901</c:v>
                </c:pt>
                <c:pt idx="2">
                  <c:v>6.1989804884145885</c:v>
                </c:pt>
                <c:pt idx="3">
                  <c:v>5.3390855655628942</c:v>
                </c:pt>
                <c:pt idx="4">
                  <c:v>3.7206553565517244</c:v>
                </c:pt>
                <c:pt idx="5">
                  <c:v>5.8680110468911151</c:v>
                </c:pt>
                <c:pt idx="6">
                  <c:v>4.8256467793740274</c:v>
                </c:pt>
                <c:pt idx="7">
                  <c:v>5.7612157031912101</c:v>
                </c:pt>
                <c:pt idx="8">
                  <c:v>4.2467447097238411</c:v>
                </c:pt>
                <c:pt idx="9">
                  <c:v>5.1197934743570039</c:v>
                </c:pt>
                <c:pt idx="10">
                  <c:v>3.5841049703994527</c:v>
                </c:pt>
                <c:pt idx="11">
                  <c:v>4.3912527673505561</c:v>
                </c:pt>
                <c:pt idx="12">
                  <c:v>5.1484761727978192</c:v>
                </c:pt>
                <c:pt idx="13">
                  <c:v>4.6721717741101623</c:v>
                </c:pt>
                <c:pt idx="14">
                  <c:v>4.1099158630237929</c:v>
                </c:pt>
                <c:pt idx="15">
                  <c:v>3.9289588408808296</c:v>
                </c:pt>
                <c:pt idx="16">
                  <c:v>5.4936476213312844</c:v>
                </c:pt>
                <c:pt idx="17">
                  <c:v>4.295962732394023</c:v>
                </c:pt>
                <c:pt idx="18">
                  <c:v>4.5447871366939108</c:v>
                </c:pt>
                <c:pt idx="19">
                  <c:v>4.6203442997544935</c:v>
                </c:pt>
                <c:pt idx="20">
                  <c:v>5.8048547130052519</c:v>
                </c:pt>
                <c:pt idx="21">
                  <c:v>5.1359432138552865</c:v>
                </c:pt>
                <c:pt idx="22">
                  <c:v>4.6294707630323888</c:v>
                </c:pt>
                <c:pt idx="23">
                  <c:v>4.752010012978765</c:v>
                </c:pt>
                <c:pt idx="24">
                  <c:v>7.5925376605028481</c:v>
                </c:pt>
                <c:pt idx="25">
                  <c:v>3.9122752104988123</c:v>
                </c:pt>
                <c:pt idx="26">
                  <c:v>4.6595454185367444</c:v>
                </c:pt>
                <c:pt idx="27">
                  <c:v>6.0223994997474577</c:v>
                </c:pt>
                <c:pt idx="28">
                  <c:v>7.3448158284445064</c:v>
                </c:pt>
                <c:pt idx="29">
                  <c:v>7.3923399994034025</c:v>
                </c:pt>
                <c:pt idx="30">
                  <c:v>3.5954962218255742</c:v>
                </c:pt>
                <c:pt idx="31">
                  <c:v>6.1474741215958595</c:v>
                </c:pt>
                <c:pt idx="32">
                  <c:v>4.9487551801682699</c:v>
                </c:pt>
                <c:pt idx="33">
                  <c:v>5.2408287042258106</c:v>
                </c:pt>
                <c:pt idx="34">
                  <c:v>4.3713449830820981</c:v>
                </c:pt>
                <c:pt idx="35">
                  <c:v>6.8045859737635528</c:v>
                </c:pt>
                <c:pt idx="36">
                  <c:v>7.0332817823279319</c:v>
                </c:pt>
                <c:pt idx="37">
                  <c:v>2.7881683711411678</c:v>
                </c:pt>
                <c:pt idx="38">
                  <c:v>2.7795964912578244</c:v>
                </c:pt>
                <c:pt idx="39">
                  <c:v>2.3053513694466239</c:v>
                </c:pt>
                <c:pt idx="40">
                  <c:v>5.2711536224981872</c:v>
                </c:pt>
                <c:pt idx="41">
                  <c:v>3.3087777736647213</c:v>
                </c:pt>
                <c:pt idx="42">
                  <c:v>3.351989455435632</c:v>
                </c:pt>
                <c:pt idx="43">
                  <c:v>5.9141839042472419</c:v>
                </c:pt>
                <c:pt idx="44">
                  <c:v>4.209729428016205</c:v>
                </c:pt>
                <c:pt idx="45">
                  <c:v>2.9464522650130731</c:v>
                </c:pt>
                <c:pt idx="46">
                  <c:v>5.4744843363063298</c:v>
                </c:pt>
                <c:pt idx="47">
                  <c:v>5.9844255910142774</c:v>
                </c:pt>
                <c:pt idx="48">
                  <c:v>4.5281193338930468</c:v>
                </c:pt>
                <c:pt idx="49">
                  <c:v>4.9778013141908097</c:v>
                </c:pt>
                <c:pt idx="50">
                  <c:v>2.5843312243675309</c:v>
                </c:pt>
                <c:pt idx="51">
                  <c:v>3.1758016328482794</c:v>
                </c:pt>
                <c:pt idx="52">
                  <c:v>4.6327608884794387</c:v>
                </c:pt>
              </c:numCache>
            </c:numRef>
          </c:xVal>
          <c:yVal>
            <c:numRef>
              <c:f>'Linear regression7'!$E$99:$E$151</c:f>
              <c:numCache>
                <c:formatCode>0.000</c:formatCode>
                <c:ptCount val="53"/>
                <c:pt idx="0">
                  <c:v>9.1919133614387611</c:v>
                </c:pt>
                <c:pt idx="1">
                  <c:v>8.8554470885197034</c:v>
                </c:pt>
                <c:pt idx="2">
                  <c:v>8.3646497404916023</c:v>
                </c:pt>
                <c:pt idx="3">
                  <c:v>7.8712687134916699</c:v>
                </c:pt>
                <c:pt idx="4">
                  <c:v>8.6177606854759858</c:v>
                </c:pt>
                <c:pt idx="5">
                  <c:v>9.7458310336818652</c:v>
                </c:pt>
                <c:pt idx="6">
                  <c:v>8.974684861423551</c:v>
                </c:pt>
                <c:pt idx="7">
                  <c:v>9.8334150192657592</c:v>
                </c:pt>
                <c:pt idx="8">
                  <c:v>9.4187349750563829</c:v>
                </c:pt>
                <c:pt idx="9">
                  <c:v>9.1209610988776735</c:v>
                </c:pt>
                <c:pt idx="10">
                  <c:v>9.1549838875228797</c:v>
                </c:pt>
                <c:pt idx="11">
                  <c:v>9.1502566073903626</c:v>
                </c:pt>
                <c:pt idx="12">
                  <c:v>8.9192018388499221</c:v>
                </c:pt>
                <c:pt idx="13">
                  <c:v>9.7649218494957406</c:v>
                </c:pt>
                <c:pt idx="14">
                  <c:v>9.4723173633095836</c:v>
                </c:pt>
                <c:pt idx="15">
                  <c:v>7.954856876027808</c:v>
                </c:pt>
                <c:pt idx="16">
                  <c:v>8.8238349844347077</c:v>
                </c:pt>
                <c:pt idx="17">
                  <c:v>9.2195654797447304</c:v>
                </c:pt>
                <c:pt idx="18">
                  <c:v>9.959677754561282</c:v>
                </c:pt>
                <c:pt idx="19">
                  <c:v>9.4532746427968259</c:v>
                </c:pt>
                <c:pt idx="20">
                  <c:v>9.1419625168545338</c:v>
                </c:pt>
                <c:pt idx="21">
                  <c:v>9.808545933933674</c:v>
                </c:pt>
                <c:pt idx="22">
                  <c:v>8.8993946054726667</c:v>
                </c:pt>
                <c:pt idx="23">
                  <c:v>9.1867882447777873</c:v>
                </c:pt>
                <c:pt idx="24">
                  <c:v>8.7873750302268263</c:v>
                </c:pt>
                <c:pt idx="25">
                  <c:v>8.5647924232224479</c:v>
                </c:pt>
                <c:pt idx="26">
                  <c:v>9.4135922537501155</c:v>
                </c:pt>
                <c:pt idx="27">
                  <c:v>8.8534160656811824</c:v>
                </c:pt>
                <c:pt idx="28">
                  <c:v>9.030822333760554</c:v>
                </c:pt>
                <c:pt idx="29">
                  <c:v>8.3320076659104849</c:v>
                </c:pt>
                <c:pt idx="30">
                  <c:v>10.012278745675371</c:v>
                </c:pt>
                <c:pt idx="31">
                  <c:v>8.4200840398868948</c:v>
                </c:pt>
                <c:pt idx="32">
                  <c:v>9.5890684395086936</c:v>
                </c:pt>
                <c:pt idx="33">
                  <c:v>8.5741362411584383</c:v>
                </c:pt>
                <c:pt idx="34">
                  <c:v>9.6793383015588752</c:v>
                </c:pt>
                <c:pt idx="35">
                  <c:v>7.8865973924343633</c:v>
                </c:pt>
                <c:pt idx="36">
                  <c:v>8.8459004818852449</c:v>
                </c:pt>
                <c:pt idx="37">
                  <c:v>9.5983325300938755</c:v>
                </c:pt>
                <c:pt idx="38">
                  <c:v>9.5290830576926453</c:v>
                </c:pt>
                <c:pt idx="39">
                  <c:v>8.3710678624257415</c:v>
                </c:pt>
                <c:pt idx="40">
                  <c:v>10.001270133088354</c:v>
                </c:pt>
                <c:pt idx="41">
                  <c:v>9.1879717016827058</c:v>
                </c:pt>
                <c:pt idx="42">
                  <c:v>10.028402679407387</c:v>
                </c:pt>
                <c:pt idx="43">
                  <c:v>9.0316056344735642</c:v>
                </c:pt>
                <c:pt idx="44">
                  <c:v>8.8979067331398554</c:v>
                </c:pt>
                <c:pt idx="45">
                  <c:v>9.092627867231311</c:v>
                </c:pt>
                <c:pt idx="46">
                  <c:v>8.7342969841479476</c:v>
                </c:pt>
                <c:pt idx="47">
                  <c:v>7.7802928398648978</c:v>
                </c:pt>
                <c:pt idx="48">
                  <c:v>8.5781759280831995</c:v>
                </c:pt>
                <c:pt idx="49">
                  <c:v>9.7694395095068458</c:v>
                </c:pt>
                <c:pt idx="50">
                  <c:v>8.3043537169885209</c:v>
                </c:pt>
                <c:pt idx="51">
                  <c:v>9.0698582068381395</c:v>
                </c:pt>
                <c:pt idx="52">
                  <c:v>9.3135239525175457</c:v>
                </c:pt>
              </c:numCache>
            </c:numRef>
          </c:yVal>
          <c:smooth val="0"/>
          <c:extLst>
            <c:ext xmlns:c16="http://schemas.microsoft.com/office/drawing/2014/chart" uri="{C3380CC4-5D6E-409C-BE32-E72D297353CC}">
              <c16:uniqueId val="{00000000-4F68-4555-A57C-EE6C14EFD9D9}"/>
            </c:ext>
          </c:extLst>
        </c:ser>
        <c:ser>
          <c:idx val="1"/>
          <c:order val="1"/>
          <c:tx>
            <c:v/>
          </c:tx>
          <c:spPr>
            <a:ln w="25400">
              <a:noFill/>
            </a:ln>
            <a:effectLst/>
          </c:spPr>
          <c:marker>
            <c:symbol val="circle"/>
            <c:size val="3"/>
            <c:spPr>
              <a:solidFill>
                <a:srgbClr val="003CE6"/>
              </a:solidFill>
              <a:ln w="0">
                <a:solidFill>
                  <a:srgbClr val="003CE6"/>
                </a:solidFill>
                <a:prstDash val="solid"/>
              </a:ln>
            </c:spPr>
          </c:marker>
          <c:xVal>
            <c:numLit>
              <c:formatCode>General</c:formatCode>
              <c:ptCount val="1"/>
              <c:pt idx="0">
                <c:v>4.8753217619390901</c:v>
              </c:pt>
            </c:numLit>
          </c:xVal>
          <c:yVal>
            <c:numLit>
              <c:formatCode>General</c:formatCode>
              <c:ptCount val="1"/>
              <c:pt idx="0">
                <c:v>8.8554470885197034</c:v>
              </c:pt>
            </c:numLit>
          </c:yVal>
          <c:smooth val="0"/>
          <c:extLst>
            <c:ext xmlns:c16="http://schemas.microsoft.com/office/drawing/2014/chart" uri="{C3380CC4-5D6E-409C-BE32-E72D297353CC}">
              <c16:uniqueId val="{00000001-4F68-4555-A57C-EE6C14EFD9D9}"/>
            </c:ext>
          </c:extLst>
        </c:ser>
        <c:ser>
          <c:idx val="2"/>
          <c:order val="2"/>
          <c:tx>
            <c:v>Model</c:v>
          </c:tx>
          <c:spPr>
            <a:ln w="6350">
              <a:solidFill>
                <a:srgbClr val="000000"/>
              </a:solidFill>
              <a:prstDash val="solid"/>
            </a:ln>
            <a:effectLst/>
          </c:spPr>
          <c:marker>
            <c:symbol val="none"/>
          </c:marker>
          <c:xVal>
            <c:numLit>
              <c:formatCode>General</c:formatCode>
              <c:ptCount val="2"/>
              <c:pt idx="0">
                <c:v>1.7766327403410016</c:v>
              </c:pt>
              <c:pt idx="1">
                <c:v>8.1212562896084712</c:v>
              </c:pt>
            </c:numLit>
          </c:xVal>
          <c:yVal>
            <c:numLit>
              <c:formatCode>General</c:formatCode>
              <c:ptCount val="2"/>
              <c:pt idx="0">
                <c:v>9.3919481120543562</c:v>
              </c:pt>
              <c:pt idx="1">
                <c:v>8.6944880606202446</c:v>
              </c:pt>
            </c:numLit>
          </c:yVal>
          <c:smooth val="0"/>
          <c:extLst>
            <c:ext xmlns:c16="http://schemas.microsoft.com/office/drawing/2014/chart" uri="{C3380CC4-5D6E-409C-BE32-E72D297353CC}">
              <c16:uniqueId val="{00000002-4F68-4555-A57C-EE6C14EFD9D9}"/>
            </c:ext>
          </c:extLst>
        </c:ser>
        <c:ser>
          <c:idx val="3"/>
          <c:order val="3"/>
          <c:tx>
            <c:v>Conf. interval (Mean 95%)</c:v>
          </c:tx>
          <c:spPr>
            <a:ln w="6350">
              <a:solidFill>
                <a:srgbClr val="C0C0C0"/>
              </a:solidFill>
              <a:prstDash val="sysDash"/>
            </a:ln>
            <a:effectLst/>
          </c:spPr>
          <c:marker>
            <c:symbol val="none"/>
          </c:marker>
          <c:xVal>
            <c:numRef>
              <c:f>'Linear regression7'!xdata1</c:f>
              <c:numCache>
                <c:formatCode>General</c:formatCode>
                <c:ptCount val="70"/>
                <c:pt idx="0">
                  <c:v>1.776632740341</c:v>
                </c:pt>
                <c:pt idx="1">
                  <c:v>1.8685838062724127</c:v>
                </c:pt>
                <c:pt idx="2">
                  <c:v>1.9605348722038252</c:v>
                </c:pt>
                <c:pt idx="3">
                  <c:v>2.0524859381352378</c:v>
                </c:pt>
                <c:pt idx="4">
                  <c:v>2.1444370040666505</c:v>
                </c:pt>
                <c:pt idx="5">
                  <c:v>2.2363880699980632</c:v>
                </c:pt>
                <c:pt idx="6">
                  <c:v>2.3283391359294754</c:v>
                </c:pt>
                <c:pt idx="7">
                  <c:v>2.4202902018608885</c:v>
                </c:pt>
                <c:pt idx="8">
                  <c:v>2.5122412677923007</c:v>
                </c:pt>
                <c:pt idx="9">
                  <c:v>2.6041923337237134</c:v>
                </c:pt>
                <c:pt idx="10">
                  <c:v>2.6961433996551261</c:v>
                </c:pt>
                <c:pt idx="11">
                  <c:v>2.7880944655865387</c:v>
                </c:pt>
                <c:pt idx="12">
                  <c:v>2.8800455315179514</c:v>
                </c:pt>
                <c:pt idx="13">
                  <c:v>2.9719965974493636</c:v>
                </c:pt>
                <c:pt idx="14">
                  <c:v>3.0639476633807767</c:v>
                </c:pt>
                <c:pt idx="15">
                  <c:v>3.155898729312189</c:v>
                </c:pt>
                <c:pt idx="16">
                  <c:v>3.2478497952436016</c:v>
                </c:pt>
                <c:pt idx="17">
                  <c:v>3.3398008611750143</c:v>
                </c:pt>
                <c:pt idx="18">
                  <c:v>3.4317519271064265</c:v>
                </c:pt>
                <c:pt idx="19">
                  <c:v>3.5237029930378396</c:v>
                </c:pt>
                <c:pt idx="20">
                  <c:v>3.6156540589692518</c:v>
                </c:pt>
                <c:pt idx="21">
                  <c:v>3.7076051249006645</c:v>
                </c:pt>
                <c:pt idx="22">
                  <c:v>3.7995561908320772</c:v>
                </c:pt>
                <c:pt idx="23">
                  <c:v>3.8915072567634894</c:v>
                </c:pt>
                <c:pt idx="24">
                  <c:v>3.9834583226949025</c:v>
                </c:pt>
                <c:pt idx="25">
                  <c:v>4.0754093886263147</c:v>
                </c:pt>
                <c:pt idx="26">
                  <c:v>4.1673604545577279</c:v>
                </c:pt>
                <c:pt idx="27">
                  <c:v>4.2593115204891401</c:v>
                </c:pt>
                <c:pt idx="28">
                  <c:v>4.3512625864205532</c:v>
                </c:pt>
                <c:pt idx="29">
                  <c:v>4.4432136523519654</c:v>
                </c:pt>
                <c:pt idx="30">
                  <c:v>4.5351647182833776</c:v>
                </c:pt>
                <c:pt idx="31">
                  <c:v>4.6271157842147908</c:v>
                </c:pt>
                <c:pt idx="32">
                  <c:v>4.719066850146203</c:v>
                </c:pt>
                <c:pt idx="33">
                  <c:v>4.8110179160776161</c:v>
                </c:pt>
                <c:pt idx="34">
                  <c:v>4.9029689820090283</c:v>
                </c:pt>
                <c:pt idx="35">
                  <c:v>4.9949200479404414</c:v>
                </c:pt>
                <c:pt idx="36">
                  <c:v>5.0868711138718536</c:v>
                </c:pt>
                <c:pt idx="37">
                  <c:v>5.1788221798032659</c:v>
                </c:pt>
                <c:pt idx="38">
                  <c:v>5.270773245734679</c:v>
                </c:pt>
                <c:pt idx="39">
                  <c:v>5.3627243116660912</c:v>
                </c:pt>
                <c:pt idx="40">
                  <c:v>5.4546753775975043</c:v>
                </c:pt>
                <c:pt idx="41">
                  <c:v>5.5466264435289165</c:v>
                </c:pt>
                <c:pt idx="42">
                  <c:v>5.6385775094603288</c:v>
                </c:pt>
                <c:pt idx="43">
                  <c:v>5.7305285753917419</c:v>
                </c:pt>
                <c:pt idx="44">
                  <c:v>5.822479641323155</c:v>
                </c:pt>
                <c:pt idx="45">
                  <c:v>5.9144307072545672</c:v>
                </c:pt>
                <c:pt idx="46">
                  <c:v>6.0063817731859794</c:v>
                </c:pt>
                <c:pt idx="47">
                  <c:v>6.0983328391173925</c:v>
                </c:pt>
                <c:pt idx="48">
                  <c:v>6.1902839050488048</c:v>
                </c:pt>
                <c:pt idx="49">
                  <c:v>6.2822349709802179</c:v>
                </c:pt>
                <c:pt idx="50">
                  <c:v>6.3741860369116301</c:v>
                </c:pt>
                <c:pt idx="51">
                  <c:v>6.4661371028430432</c:v>
                </c:pt>
                <c:pt idx="52">
                  <c:v>6.5580881687744554</c:v>
                </c:pt>
                <c:pt idx="53">
                  <c:v>6.6500392347058677</c:v>
                </c:pt>
                <c:pt idx="54">
                  <c:v>6.7419903006372808</c:v>
                </c:pt>
                <c:pt idx="55">
                  <c:v>6.833941366568693</c:v>
                </c:pt>
                <c:pt idx="56">
                  <c:v>6.9258924325001061</c:v>
                </c:pt>
                <c:pt idx="57">
                  <c:v>7.0178434984315183</c:v>
                </c:pt>
                <c:pt idx="58">
                  <c:v>7.1097945643629306</c:v>
                </c:pt>
                <c:pt idx="59">
                  <c:v>7.2017456302943437</c:v>
                </c:pt>
                <c:pt idx="60">
                  <c:v>7.2936966962257559</c:v>
                </c:pt>
                <c:pt idx="61">
                  <c:v>7.385647762157169</c:v>
                </c:pt>
                <c:pt idx="62">
                  <c:v>7.4775988280885812</c:v>
                </c:pt>
                <c:pt idx="63">
                  <c:v>7.5695498940199943</c:v>
                </c:pt>
                <c:pt idx="64">
                  <c:v>7.6615009599514066</c:v>
                </c:pt>
                <c:pt idx="65">
                  <c:v>7.7534520258828188</c:v>
                </c:pt>
                <c:pt idx="66">
                  <c:v>7.8454030918142319</c:v>
                </c:pt>
                <c:pt idx="67">
                  <c:v>7.9373541577456441</c:v>
                </c:pt>
                <c:pt idx="68">
                  <c:v>8.0293052236770563</c:v>
                </c:pt>
                <c:pt idx="69">
                  <c:v>8.1212562896084695</c:v>
                </c:pt>
              </c:numCache>
            </c:numRef>
          </c:xVal>
          <c:yVal>
            <c:numRef>
              <c:f>'Linear regression7'!ydata2</c:f>
              <c:numCache>
                <c:formatCode>General</c:formatCode>
                <c:ptCount val="70"/>
                <c:pt idx="0">
                  <c:v>8.9776028869782429</c:v>
                </c:pt>
                <c:pt idx="1">
                  <c:v>8.9782718182335941</c:v>
                </c:pt>
                <c:pt idx="2">
                  <c:v>8.9788894468954883</c:v>
                </c:pt>
                <c:pt idx="3">
                  <c:v>8.9794514534856411</c:v>
                </c:pt>
                <c:pt idx="4">
                  <c:v>8.9799530460939589</c:v>
                </c:pt>
                <c:pt idx="5">
                  <c:v>8.9803888982957698</c:v>
                </c:pt>
                <c:pt idx="6">
                  <c:v>8.9807530778881226</c:v>
                </c:pt>
                <c:pt idx="7">
                  <c:v>8.981038965035971</c:v>
                </c:pt>
                <c:pt idx="8">
                  <c:v>8.9812391582308901</c:v>
                </c:pt>
                <c:pt idx="9">
                  <c:v>8.9813453662725475</c:v>
                </c:pt>
                <c:pt idx="10">
                  <c:v>8.9813482843005925</c:v>
                </c:pt>
                <c:pt idx="11">
                  <c:v>8.9812374517546267</c:v>
                </c:pt>
                <c:pt idx="12">
                  <c:v>8.9810010900596442</c:v>
                </c:pt>
                <c:pt idx="13">
                  <c:v>8.9806259178804773</c:v>
                </c:pt>
                <c:pt idx="14">
                  <c:v>8.9800969420472185</c:v>
                </c:pt>
                <c:pt idx="15">
                  <c:v>8.9793972228493573</c:v>
                </c:pt>
                <c:pt idx="16">
                  <c:v>8.978507613508711</c:v>
                </c:pt>
                <c:pt idx="17">
                  <c:v>8.9774064755164247</c:v>
                </c:pt>
                <c:pt idx="18">
                  <c:v>8.9760693744850428</c:v>
                </c:pt>
                <c:pt idx="19">
                  <c:v>8.9744687656332633</c:v>
                </c:pt>
                <c:pt idx="20">
                  <c:v>8.9725736844608051</c:v>
                </c:pt>
                <c:pt idx="21">
                  <c:v>8.9703494670482122</c:v>
                </c:pt>
                <c:pt idx="22">
                  <c:v>8.9677575360330941</c:v>
                </c:pt>
                <c:pt idx="23">
                  <c:v>8.9647553025240718</c:v>
                </c:pt>
                <c:pt idx="24">
                  <c:v>8.9612962499660664</c:v>
                </c:pt>
                <c:pt idx="25">
                  <c:v>8.9573302806945403</c:v>
                </c:pt>
                <c:pt idx="26">
                  <c:v>8.9528044148769261</c:v>
                </c:pt>
                <c:pt idx="27">
                  <c:v>8.9476639275431502</c:v>
                </c:pt>
                <c:pt idx="28">
                  <c:v>8.9418539835270181</c:v>
                </c:pt>
                <c:pt idx="29">
                  <c:v>8.9353217743066011</c:v>
                </c:pt>
                <c:pt idx="30">
                  <c:v>8.9280190726201081</c:v>
                </c:pt>
                <c:pt idx="31">
                  <c:v>8.9199050099326342</c:v>
                </c:pt>
                <c:pt idx="32">
                  <c:v>8.9109487738800492</c:v>
                </c:pt>
                <c:pt idx="33">
                  <c:v>8.9011318560339436</c:v>
                </c:pt>
                <c:pt idx="34">
                  <c:v>8.8904494921861374</c:v>
                </c:pt>
                <c:pt idx="35">
                  <c:v>8.8789110441449264</c:v>
                </c:pt>
                <c:pt idx="36">
                  <c:v>8.8665392537974306</c:v>
                </c:pt>
                <c:pt idx="37">
                  <c:v>8.8533685036833578</c:v>
                </c:pt>
                <c:pt idx="38">
                  <c:v>8.8394423800886823</c:v>
                </c:pt>
                <c:pt idx="39">
                  <c:v>8.824810910653758</c:v>
                </c:pt>
                <c:pt idx="40">
                  <c:v>8.8095278313476122</c:v>
                </c:pt>
                <c:pt idx="41">
                  <c:v>8.7936481528435131</c:v>
                </c:pt>
                <c:pt idx="42">
                  <c:v>8.7772261836751735</c:v>
                </c:pt>
                <c:pt idx="43">
                  <c:v>8.7603140621723075</c:v>
                </c:pt>
                <c:pt idx="44">
                  <c:v>8.7429607712794049</c:v>
                </c:pt>
                <c:pt idx="45">
                  <c:v>8.7252115649948507</c:v>
                </c:pt>
                <c:pt idx="46">
                  <c:v>8.7071077174618789</c:v>
                </c:pt>
                <c:pt idx="47">
                  <c:v>8.6886865069194652</c:v>
                </c:pt>
                <c:pt idx="48">
                  <c:v>8.6699813582430512</c:v>
                </c:pt>
                <c:pt idx="49">
                  <c:v>8.6510220832701101</c:v>
                </c:pt>
                <c:pt idx="50">
                  <c:v>8.6318351735480494</c:v>
                </c:pt>
                <c:pt idx="51">
                  <c:v>8.6124441135628356</c:v>
                </c:pt>
                <c:pt idx="52">
                  <c:v>8.5928696932131778</c:v>
                </c:pt>
                <c:pt idx="53">
                  <c:v>8.5731303063287996</c:v>
                </c:pt>
                <c:pt idx="54">
                  <c:v>8.5532422277712588</c:v>
                </c:pt>
                <c:pt idx="55">
                  <c:v>8.5332198655811773</c:v>
                </c:pt>
                <c:pt idx="56">
                  <c:v>8.5130759872029689</c:v>
                </c:pt>
                <c:pt idx="57">
                  <c:v>8.4928219204117514</c:v>
                </c:pt>
                <c:pt idx="58">
                  <c:v>8.47246773048664</c:v>
                </c:pt>
                <c:pt idx="59">
                  <c:v>8.4520223756432244</c:v>
                </c:pt>
                <c:pt idx="60">
                  <c:v>8.4314938429152644</c:v>
                </c:pt>
                <c:pt idx="61">
                  <c:v>8.4108892666726334</c:v>
                </c:pt>
                <c:pt idx="62">
                  <c:v>8.3902150318542237</c:v>
                </c:pt>
                <c:pt idx="63">
                  <c:v>8.3694768638306218</c:v>
                </c:pt>
                <c:pt idx="64">
                  <c:v>8.3486799066235857</c:v>
                </c:pt>
                <c:pt idx="65">
                  <c:v>8.3278287910171098</c:v>
                </c:pt>
                <c:pt idx="66">
                  <c:v>8.3069276939099534</c:v>
                </c:pt>
                <c:pt idx="67">
                  <c:v>8.2859803900880262</c:v>
                </c:pt>
                <c:pt idx="68">
                  <c:v>8.2649902974397449</c:v>
                </c:pt>
                <c:pt idx="69">
                  <c:v>8.2439605164994667</c:v>
                </c:pt>
              </c:numCache>
            </c:numRef>
          </c:yVal>
          <c:smooth val="0"/>
          <c:extLst>
            <c:ext xmlns:c16="http://schemas.microsoft.com/office/drawing/2014/chart" uri="{C3380CC4-5D6E-409C-BE32-E72D297353CC}">
              <c16:uniqueId val="{00000003-4F68-4555-A57C-EE6C14EFD9D9}"/>
            </c:ext>
          </c:extLst>
        </c:ser>
        <c:ser>
          <c:idx val="4"/>
          <c:order val="4"/>
          <c:tx>
            <c:v/>
          </c:tx>
          <c:spPr>
            <a:ln w="6350">
              <a:solidFill>
                <a:srgbClr val="C0C0C0"/>
              </a:solidFill>
              <a:prstDash val="sysDash"/>
            </a:ln>
            <a:effectLst/>
          </c:spPr>
          <c:marker>
            <c:symbol val="none"/>
          </c:marker>
          <c:xVal>
            <c:numRef>
              <c:f>'Linear regression7'!xdata3</c:f>
              <c:numCache>
                <c:formatCode>General</c:formatCode>
                <c:ptCount val="70"/>
                <c:pt idx="0">
                  <c:v>1.776632740341</c:v>
                </c:pt>
                <c:pt idx="1">
                  <c:v>1.8685838062724127</c:v>
                </c:pt>
                <c:pt idx="2">
                  <c:v>1.9605348722038252</c:v>
                </c:pt>
                <c:pt idx="3">
                  <c:v>2.0524859381352378</c:v>
                </c:pt>
                <c:pt idx="4">
                  <c:v>2.1444370040666505</c:v>
                </c:pt>
                <c:pt idx="5">
                  <c:v>2.2363880699980632</c:v>
                </c:pt>
                <c:pt idx="6">
                  <c:v>2.3283391359294754</c:v>
                </c:pt>
                <c:pt idx="7">
                  <c:v>2.4202902018608885</c:v>
                </c:pt>
                <c:pt idx="8">
                  <c:v>2.5122412677923007</c:v>
                </c:pt>
                <c:pt idx="9">
                  <c:v>2.6041923337237134</c:v>
                </c:pt>
                <c:pt idx="10">
                  <c:v>2.6961433996551261</c:v>
                </c:pt>
                <c:pt idx="11">
                  <c:v>2.7880944655865387</c:v>
                </c:pt>
                <c:pt idx="12">
                  <c:v>2.8800455315179514</c:v>
                </c:pt>
                <c:pt idx="13">
                  <c:v>2.9719965974493636</c:v>
                </c:pt>
                <c:pt idx="14">
                  <c:v>3.0639476633807767</c:v>
                </c:pt>
                <c:pt idx="15">
                  <c:v>3.155898729312189</c:v>
                </c:pt>
                <c:pt idx="16">
                  <c:v>3.2478497952436016</c:v>
                </c:pt>
                <c:pt idx="17">
                  <c:v>3.3398008611750143</c:v>
                </c:pt>
                <c:pt idx="18">
                  <c:v>3.4317519271064265</c:v>
                </c:pt>
                <c:pt idx="19">
                  <c:v>3.5237029930378396</c:v>
                </c:pt>
                <c:pt idx="20">
                  <c:v>3.6156540589692518</c:v>
                </c:pt>
                <c:pt idx="21">
                  <c:v>3.7076051249006645</c:v>
                </c:pt>
                <c:pt idx="22">
                  <c:v>3.7995561908320772</c:v>
                </c:pt>
                <c:pt idx="23">
                  <c:v>3.8915072567634894</c:v>
                </c:pt>
                <c:pt idx="24">
                  <c:v>3.9834583226949025</c:v>
                </c:pt>
                <c:pt idx="25">
                  <c:v>4.0754093886263147</c:v>
                </c:pt>
                <c:pt idx="26">
                  <c:v>4.1673604545577279</c:v>
                </c:pt>
                <c:pt idx="27">
                  <c:v>4.2593115204891401</c:v>
                </c:pt>
                <c:pt idx="28">
                  <c:v>4.3512625864205532</c:v>
                </c:pt>
                <c:pt idx="29">
                  <c:v>4.4432136523519654</c:v>
                </c:pt>
                <c:pt idx="30">
                  <c:v>4.5351647182833776</c:v>
                </c:pt>
                <c:pt idx="31">
                  <c:v>4.6271157842147908</c:v>
                </c:pt>
                <c:pt idx="32">
                  <c:v>4.719066850146203</c:v>
                </c:pt>
                <c:pt idx="33">
                  <c:v>4.8110179160776161</c:v>
                </c:pt>
                <c:pt idx="34">
                  <c:v>4.9029689820090283</c:v>
                </c:pt>
                <c:pt idx="35">
                  <c:v>4.9949200479404414</c:v>
                </c:pt>
                <c:pt idx="36">
                  <c:v>5.0868711138718536</c:v>
                </c:pt>
                <c:pt idx="37">
                  <c:v>5.1788221798032659</c:v>
                </c:pt>
                <c:pt idx="38">
                  <c:v>5.270773245734679</c:v>
                </c:pt>
                <c:pt idx="39">
                  <c:v>5.3627243116660912</c:v>
                </c:pt>
                <c:pt idx="40">
                  <c:v>5.4546753775975043</c:v>
                </c:pt>
                <c:pt idx="41">
                  <c:v>5.5466264435289165</c:v>
                </c:pt>
                <c:pt idx="42">
                  <c:v>5.6385775094603288</c:v>
                </c:pt>
                <c:pt idx="43">
                  <c:v>5.7305285753917419</c:v>
                </c:pt>
                <c:pt idx="44">
                  <c:v>5.822479641323155</c:v>
                </c:pt>
                <c:pt idx="45">
                  <c:v>5.9144307072545672</c:v>
                </c:pt>
                <c:pt idx="46">
                  <c:v>6.0063817731859794</c:v>
                </c:pt>
                <c:pt idx="47">
                  <c:v>6.0983328391173925</c:v>
                </c:pt>
                <c:pt idx="48">
                  <c:v>6.1902839050488048</c:v>
                </c:pt>
                <c:pt idx="49">
                  <c:v>6.2822349709802179</c:v>
                </c:pt>
                <c:pt idx="50">
                  <c:v>6.3741860369116301</c:v>
                </c:pt>
                <c:pt idx="51">
                  <c:v>6.4661371028430432</c:v>
                </c:pt>
                <c:pt idx="52">
                  <c:v>6.5580881687744554</c:v>
                </c:pt>
                <c:pt idx="53">
                  <c:v>6.6500392347058677</c:v>
                </c:pt>
                <c:pt idx="54">
                  <c:v>6.7419903006372808</c:v>
                </c:pt>
                <c:pt idx="55">
                  <c:v>6.833941366568693</c:v>
                </c:pt>
                <c:pt idx="56">
                  <c:v>6.9258924325001061</c:v>
                </c:pt>
                <c:pt idx="57">
                  <c:v>7.0178434984315183</c:v>
                </c:pt>
                <c:pt idx="58">
                  <c:v>7.1097945643629306</c:v>
                </c:pt>
                <c:pt idx="59">
                  <c:v>7.2017456302943437</c:v>
                </c:pt>
                <c:pt idx="60">
                  <c:v>7.2936966962257559</c:v>
                </c:pt>
                <c:pt idx="61">
                  <c:v>7.385647762157169</c:v>
                </c:pt>
                <c:pt idx="62">
                  <c:v>7.4775988280885812</c:v>
                </c:pt>
                <c:pt idx="63">
                  <c:v>7.5695498940199943</c:v>
                </c:pt>
                <c:pt idx="64">
                  <c:v>7.6615009599514066</c:v>
                </c:pt>
                <c:pt idx="65">
                  <c:v>7.7534520258828188</c:v>
                </c:pt>
                <c:pt idx="66">
                  <c:v>7.8454030918142319</c:v>
                </c:pt>
                <c:pt idx="67">
                  <c:v>7.9373541577456441</c:v>
                </c:pt>
                <c:pt idx="68">
                  <c:v>8.0293052236770563</c:v>
                </c:pt>
                <c:pt idx="69">
                  <c:v>8.1212562896084695</c:v>
                </c:pt>
              </c:numCache>
            </c:numRef>
          </c:xVal>
          <c:yVal>
            <c:numRef>
              <c:f>'Linear regression7'!ydata4</c:f>
              <c:numCache>
                <c:formatCode>General</c:formatCode>
                <c:ptCount val="70"/>
                <c:pt idx="0">
                  <c:v>9.8062933371304659</c:v>
                </c:pt>
                <c:pt idx="1">
                  <c:v>9.7854081725002118</c:v>
                </c:pt>
                <c:pt idx="2">
                  <c:v>9.7645743104634146</c:v>
                </c:pt>
                <c:pt idx="3">
                  <c:v>9.7437960704983624</c:v>
                </c:pt>
                <c:pt idx="4">
                  <c:v>9.7230782445151416</c:v>
                </c:pt>
                <c:pt idx="5">
                  <c:v>9.7024261589384277</c:v>
                </c:pt>
                <c:pt idx="6">
                  <c:v>9.6818457459711755</c:v>
                </c:pt>
                <c:pt idx="7">
                  <c:v>9.6613436254484242</c:v>
                </c:pt>
                <c:pt idx="8">
                  <c:v>9.6409271988786021</c:v>
                </c:pt>
                <c:pt idx="9">
                  <c:v>9.6206047574620452</c:v>
                </c:pt>
                <c:pt idx="10">
                  <c:v>9.6003856060590973</c:v>
                </c:pt>
                <c:pt idx="11">
                  <c:v>9.5802802052301601</c:v>
                </c:pt>
                <c:pt idx="12">
                  <c:v>9.5603003335502432</c:v>
                </c:pt>
                <c:pt idx="13">
                  <c:v>9.5404592723545072</c:v>
                </c:pt>
                <c:pt idx="14">
                  <c:v>9.5207720148128629</c:v>
                </c:pt>
                <c:pt idx="15">
                  <c:v>9.5012555006358248</c:v>
                </c:pt>
                <c:pt idx="16">
                  <c:v>9.4819288766015681</c:v>
                </c:pt>
                <c:pt idx="17">
                  <c:v>9.4628137812189514</c:v>
                </c:pt>
                <c:pt idx="18">
                  <c:v>9.4439346488754339</c:v>
                </c:pt>
                <c:pt idx="19">
                  <c:v>9.4253190243523104</c:v>
                </c:pt>
                <c:pt idx="20">
                  <c:v>9.4069978721498657</c:v>
                </c:pt>
                <c:pt idx="21">
                  <c:v>9.3890058561875591</c:v>
                </c:pt>
                <c:pt idx="22">
                  <c:v>9.3713815538277743</c:v>
                </c:pt>
                <c:pt idx="23">
                  <c:v>9.3541675539618936</c:v>
                </c:pt>
                <c:pt idx="24">
                  <c:v>9.3374103731449996</c:v>
                </c:pt>
                <c:pt idx="25">
                  <c:v>9.3211601090416227</c:v>
                </c:pt>
                <c:pt idx="26">
                  <c:v>9.3054697414843339</c:v>
                </c:pt>
                <c:pt idx="27">
                  <c:v>9.2903939954432104</c:v>
                </c:pt>
                <c:pt idx="28">
                  <c:v>9.2759877060844396</c:v>
                </c:pt>
                <c:pt idx="29">
                  <c:v>9.2623036819299536</c:v>
                </c:pt>
                <c:pt idx="30">
                  <c:v>9.2493901502415472</c:v>
                </c:pt>
                <c:pt idx="31">
                  <c:v>9.2372879795541181</c:v>
                </c:pt>
                <c:pt idx="32">
                  <c:v>9.2260279822318001</c:v>
                </c:pt>
                <c:pt idx="33">
                  <c:v>9.2156286667030063</c:v>
                </c:pt>
                <c:pt idx="34">
                  <c:v>9.2060947971759095</c:v>
                </c:pt>
                <c:pt idx="35">
                  <c:v>9.1974170118422176</c:v>
                </c:pt>
                <c:pt idx="36">
                  <c:v>9.189572568814814</c:v>
                </c:pt>
                <c:pt idx="37">
                  <c:v>9.1825270855539838</c:v>
                </c:pt>
                <c:pt idx="38">
                  <c:v>9.1762369757737563</c:v>
                </c:pt>
                <c:pt idx="39">
                  <c:v>9.1706522118337812</c:v>
                </c:pt>
                <c:pt idx="40">
                  <c:v>9.165719057765024</c:v>
                </c:pt>
                <c:pt idx="41">
                  <c:v>9.1613825028942202</c:v>
                </c:pt>
                <c:pt idx="42">
                  <c:v>9.1575882386876604</c:v>
                </c:pt>
                <c:pt idx="43">
                  <c:v>9.1542841268156234</c:v>
                </c:pt>
                <c:pt idx="44">
                  <c:v>9.1514211843336231</c:v>
                </c:pt>
                <c:pt idx="45">
                  <c:v>9.1489541572432778</c:v>
                </c:pt>
                <c:pt idx="46">
                  <c:v>9.1468417714013466</c:v>
                </c:pt>
                <c:pt idx="47">
                  <c:v>9.1450467485688574</c:v>
                </c:pt>
                <c:pt idx="48">
                  <c:v>9.143535663870372</c:v>
                </c:pt>
                <c:pt idx="49">
                  <c:v>9.14227870546841</c:v>
                </c:pt>
                <c:pt idx="50">
                  <c:v>9.1412493818155678</c:v>
                </c:pt>
                <c:pt idx="51">
                  <c:v>9.1404242084258822</c:v>
                </c:pt>
                <c:pt idx="52">
                  <c:v>9.139782395400637</c:v>
                </c:pt>
                <c:pt idx="53">
                  <c:v>9.1393055489101158</c:v>
                </c:pt>
                <c:pt idx="54">
                  <c:v>9.1389773940927537</c:v>
                </c:pt>
                <c:pt idx="55">
                  <c:v>9.1387835229079322</c:v>
                </c:pt>
                <c:pt idx="56">
                  <c:v>9.1387111679112376</c:v>
                </c:pt>
                <c:pt idx="57">
                  <c:v>9.1387490013275556</c:v>
                </c:pt>
                <c:pt idx="58">
                  <c:v>9.1388869578777641</c:v>
                </c:pt>
                <c:pt idx="59">
                  <c:v>9.1391160793462802</c:v>
                </c:pt>
                <c:pt idx="60">
                  <c:v>9.1394283786993373</c:v>
                </c:pt>
                <c:pt idx="61">
                  <c:v>9.1398167215670654</c:v>
                </c:pt>
                <c:pt idx="62">
                  <c:v>9.1402747230105756</c:v>
                </c:pt>
                <c:pt idx="63">
                  <c:v>9.1407966576592745</c:v>
                </c:pt>
                <c:pt idx="64">
                  <c:v>9.1413773814914077</c:v>
                </c:pt>
                <c:pt idx="65">
                  <c:v>9.1420122637229841</c:v>
                </c:pt>
                <c:pt idx="66">
                  <c:v>9.1426971274552375</c:v>
                </c:pt>
                <c:pt idx="67">
                  <c:v>9.1434281979022618</c:v>
                </c:pt>
                <c:pt idx="68">
                  <c:v>9.1442020571756437</c:v>
                </c:pt>
                <c:pt idx="69">
                  <c:v>9.1450156047410189</c:v>
                </c:pt>
              </c:numCache>
            </c:numRef>
          </c:yVal>
          <c:smooth val="0"/>
          <c:extLst>
            <c:ext xmlns:c16="http://schemas.microsoft.com/office/drawing/2014/chart" uri="{C3380CC4-5D6E-409C-BE32-E72D297353CC}">
              <c16:uniqueId val="{00000004-4F68-4555-A57C-EE6C14EFD9D9}"/>
            </c:ext>
          </c:extLst>
        </c:ser>
        <c:ser>
          <c:idx val="5"/>
          <c:order val="5"/>
          <c:tx>
            <c:v>Conf. interval (Obs 95%)</c:v>
          </c:tx>
          <c:spPr>
            <a:ln w="6350">
              <a:solidFill>
                <a:srgbClr val="5F5F5F"/>
              </a:solidFill>
              <a:prstDash val="solid"/>
            </a:ln>
            <a:effectLst/>
          </c:spPr>
          <c:marker>
            <c:symbol val="none"/>
          </c:marker>
          <c:xVal>
            <c:numRef>
              <c:f>'Linear regression7'!xdata5</c:f>
              <c:numCache>
                <c:formatCode>General</c:formatCode>
                <c:ptCount val="100"/>
                <c:pt idx="0">
                  <c:v>1.776632740341</c:v>
                </c:pt>
                <c:pt idx="1">
                  <c:v>1.8407198468992574</c:v>
                </c:pt>
                <c:pt idx="2">
                  <c:v>1.9048069534575147</c:v>
                </c:pt>
                <c:pt idx="3">
                  <c:v>1.9688940600157721</c:v>
                </c:pt>
                <c:pt idx="4">
                  <c:v>2.0329811665740292</c:v>
                </c:pt>
                <c:pt idx="5">
                  <c:v>2.0970682731322867</c:v>
                </c:pt>
                <c:pt idx="6">
                  <c:v>2.1611553796905438</c:v>
                </c:pt>
                <c:pt idx="7">
                  <c:v>2.2252424862488009</c:v>
                </c:pt>
                <c:pt idx="8">
                  <c:v>2.2893295928070585</c:v>
                </c:pt>
                <c:pt idx="9">
                  <c:v>2.3534166993653161</c:v>
                </c:pt>
                <c:pt idx="10">
                  <c:v>2.4175038059235732</c:v>
                </c:pt>
                <c:pt idx="11">
                  <c:v>2.4815909124818303</c:v>
                </c:pt>
                <c:pt idx="12">
                  <c:v>2.5456780190400878</c:v>
                </c:pt>
                <c:pt idx="13">
                  <c:v>2.6097651255983449</c:v>
                </c:pt>
                <c:pt idx="14">
                  <c:v>2.6738522321566025</c:v>
                </c:pt>
                <c:pt idx="15">
                  <c:v>2.7379393387148596</c:v>
                </c:pt>
                <c:pt idx="16">
                  <c:v>2.8020264452731167</c:v>
                </c:pt>
                <c:pt idx="17">
                  <c:v>2.8661135518313743</c:v>
                </c:pt>
                <c:pt idx="18">
                  <c:v>2.9302006583896318</c:v>
                </c:pt>
                <c:pt idx="19">
                  <c:v>2.994287764947889</c:v>
                </c:pt>
                <c:pt idx="20">
                  <c:v>3.0583748715061461</c:v>
                </c:pt>
                <c:pt idx="21">
                  <c:v>3.1224619780644032</c:v>
                </c:pt>
                <c:pt idx="22">
                  <c:v>3.1865490846226607</c:v>
                </c:pt>
                <c:pt idx="23">
                  <c:v>3.2506361911809183</c:v>
                </c:pt>
                <c:pt idx="24">
                  <c:v>3.3147232977391754</c:v>
                </c:pt>
                <c:pt idx="25">
                  <c:v>3.3788104042974325</c:v>
                </c:pt>
                <c:pt idx="26">
                  <c:v>3.4428975108556901</c:v>
                </c:pt>
                <c:pt idx="27">
                  <c:v>3.5069846174139476</c:v>
                </c:pt>
                <c:pt idx="28">
                  <c:v>3.5710717239722047</c:v>
                </c:pt>
                <c:pt idx="29">
                  <c:v>3.6351588305304618</c:v>
                </c:pt>
                <c:pt idx="30">
                  <c:v>3.699245937088719</c:v>
                </c:pt>
                <c:pt idx="31">
                  <c:v>3.7633330436469765</c:v>
                </c:pt>
                <c:pt idx="32">
                  <c:v>3.8274201502052341</c:v>
                </c:pt>
                <c:pt idx="33">
                  <c:v>3.8915072567634912</c:v>
                </c:pt>
                <c:pt idx="34">
                  <c:v>3.9555943633217483</c:v>
                </c:pt>
                <c:pt idx="35">
                  <c:v>4.0196814698800054</c:v>
                </c:pt>
                <c:pt idx="36">
                  <c:v>4.0837685764382634</c:v>
                </c:pt>
                <c:pt idx="37">
                  <c:v>4.1478556829965205</c:v>
                </c:pt>
                <c:pt idx="38">
                  <c:v>4.2119427895547776</c:v>
                </c:pt>
                <c:pt idx="39">
                  <c:v>4.2760298961130347</c:v>
                </c:pt>
                <c:pt idx="40">
                  <c:v>4.3401170026712927</c:v>
                </c:pt>
                <c:pt idx="41">
                  <c:v>4.4042041092295499</c:v>
                </c:pt>
                <c:pt idx="42">
                  <c:v>4.468291215787807</c:v>
                </c:pt>
                <c:pt idx="43">
                  <c:v>4.5323783223460641</c:v>
                </c:pt>
                <c:pt idx="44">
                  <c:v>4.5964654289043212</c:v>
                </c:pt>
                <c:pt idx="45">
                  <c:v>4.6605525354625792</c:v>
                </c:pt>
                <c:pt idx="46">
                  <c:v>4.7246396420208363</c:v>
                </c:pt>
                <c:pt idx="47">
                  <c:v>4.7887267485790934</c:v>
                </c:pt>
                <c:pt idx="48">
                  <c:v>4.8528138551373505</c:v>
                </c:pt>
                <c:pt idx="49">
                  <c:v>4.9169009616956076</c:v>
                </c:pt>
                <c:pt idx="50">
                  <c:v>4.9809880682538656</c:v>
                </c:pt>
                <c:pt idx="51">
                  <c:v>5.0450751748121228</c:v>
                </c:pt>
                <c:pt idx="52">
                  <c:v>5.1091622813703799</c:v>
                </c:pt>
                <c:pt idx="53">
                  <c:v>5.173249387928637</c:v>
                </c:pt>
                <c:pt idx="54">
                  <c:v>5.237336494486895</c:v>
                </c:pt>
                <c:pt idx="55">
                  <c:v>5.3014236010451521</c:v>
                </c:pt>
                <c:pt idx="56">
                  <c:v>5.3655107076034092</c:v>
                </c:pt>
                <c:pt idx="57">
                  <c:v>5.4295978141616663</c:v>
                </c:pt>
                <c:pt idx="58">
                  <c:v>5.4936849207199234</c:v>
                </c:pt>
                <c:pt idx="59">
                  <c:v>5.5577720272781814</c:v>
                </c:pt>
                <c:pt idx="60">
                  <c:v>5.6218591338364385</c:v>
                </c:pt>
                <c:pt idx="61">
                  <c:v>5.6859462403946956</c:v>
                </c:pt>
                <c:pt idx="62">
                  <c:v>5.7500333469529528</c:v>
                </c:pt>
                <c:pt idx="63">
                  <c:v>5.8141204535112108</c:v>
                </c:pt>
                <c:pt idx="64">
                  <c:v>5.8782075600694679</c:v>
                </c:pt>
                <c:pt idx="65">
                  <c:v>5.942294666627725</c:v>
                </c:pt>
                <c:pt idx="66">
                  <c:v>6.0063817731859821</c:v>
                </c:pt>
                <c:pt idx="67">
                  <c:v>6.0704688797442401</c:v>
                </c:pt>
                <c:pt idx="68">
                  <c:v>6.1345559863024972</c:v>
                </c:pt>
                <c:pt idx="69">
                  <c:v>6.1986430928607543</c:v>
                </c:pt>
                <c:pt idx="70">
                  <c:v>6.2627301994190114</c:v>
                </c:pt>
                <c:pt idx="71">
                  <c:v>6.3268173059772694</c:v>
                </c:pt>
                <c:pt idx="72">
                  <c:v>6.3909044125355265</c:v>
                </c:pt>
                <c:pt idx="73">
                  <c:v>6.4549915190937837</c:v>
                </c:pt>
                <c:pt idx="74">
                  <c:v>6.5190786256520408</c:v>
                </c:pt>
                <c:pt idx="75">
                  <c:v>6.5831657322102979</c:v>
                </c:pt>
                <c:pt idx="76">
                  <c:v>6.6472528387685559</c:v>
                </c:pt>
                <c:pt idx="77">
                  <c:v>6.711339945326813</c:v>
                </c:pt>
                <c:pt idx="78">
                  <c:v>6.7754270518850701</c:v>
                </c:pt>
                <c:pt idx="79">
                  <c:v>6.8395141584433272</c:v>
                </c:pt>
                <c:pt idx="80">
                  <c:v>6.9036012650015852</c:v>
                </c:pt>
                <c:pt idx="81">
                  <c:v>6.9676883715598423</c:v>
                </c:pt>
                <c:pt idx="82">
                  <c:v>7.0317754781180994</c:v>
                </c:pt>
                <c:pt idx="83">
                  <c:v>7.0958625846763566</c:v>
                </c:pt>
                <c:pt idx="84">
                  <c:v>7.1599496912346137</c:v>
                </c:pt>
                <c:pt idx="85">
                  <c:v>7.2240367977928717</c:v>
                </c:pt>
                <c:pt idx="86">
                  <c:v>7.2881239043511288</c:v>
                </c:pt>
                <c:pt idx="87">
                  <c:v>7.3522110109093859</c:v>
                </c:pt>
                <c:pt idx="88">
                  <c:v>7.416298117467643</c:v>
                </c:pt>
                <c:pt idx="89">
                  <c:v>7.4803852240259001</c:v>
                </c:pt>
                <c:pt idx="90">
                  <c:v>7.5444723305841581</c:v>
                </c:pt>
                <c:pt idx="91">
                  <c:v>7.6085594371424152</c:v>
                </c:pt>
                <c:pt idx="92">
                  <c:v>7.6726465437006723</c:v>
                </c:pt>
                <c:pt idx="93">
                  <c:v>7.7367336502589295</c:v>
                </c:pt>
                <c:pt idx="94">
                  <c:v>7.8008207568171875</c:v>
                </c:pt>
                <c:pt idx="95">
                  <c:v>7.8649078633754446</c:v>
                </c:pt>
                <c:pt idx="96">
                  <c:v>7.9289949699337017</c:v>
                </c:pt>
                <c:pt idx="97">
                  <c:v>7.9930820764919588</c:v>
                </c:pt>
                <c:pt idx="98">
                  <c:v>8.057169183050215</c:v>
                </c:pt>
                <c:pt idx="99">
                  <c:v>8.121256289608473</c:v>
                </c:pt>
              </c:numCache>
            </c:numRef>
          </c:xVal>
          <c:yVal>
            <c:numRef>
              <c:f>'Linear regression7'!ydata6</c:f>
              <c:numCache>
                <c:formatCode>General</c:formatCode>
                <c:ptCount val="100"/>
                <c:pt idx="0">
                  <c:v>8.1745646263925416</c:v>
                </c:pt>
                <c:pt idx="1">
                  <c:v>8.1700573129616014</c:v>
                </c:pt>
                <c:pt idx="2">
                  <c:v>8.165500699055066</c:v>
                </c:pt>
                <c:pt idx="3">
                  <c:v>8.1608944804843038</c:v>
                </c:pt>
                <c:pt idx="4">
                  <c:v>8.1562383566915031</c:v>
                </c:pt>
                <c:pt idx="5">
                  <c:v>8.1515320309104862</c:v>
                </c:pt>
                <c:pt idx="6">
                  <c:v>8.1467752103278386</c:v>
                </c:pt>
                <c:pt idx="7">
                  <c:v>8.1419676062441955</c:v>
                </c:pt>
                <c:pt idx="8">
                  <c:v>8.1371089342354868</c:v>
                </c:pt>
                <c:pt idx="9">
                  <c:v>8.1321989143139888</c:v>
                </c:pt>
                <c:pt idx="10">
                  <c:v>8.1272372710889869</c:v>
                </c:pt>
                <c:pt idx="11">
                  <c:v>8.1222237339268446</c:v>
                </c:pt>
                <c:pt idx="12">
                  <c:v>8.1171580371103325</c:v>
                </c:pt>
                <c:pt idx="13">
                  <c:v>8.1120399199969704</c:v>
                </c:pt>
                <c:pt idx="14">
                  <c:v>8.1068691271762354</c:v>
                </c:pt>
                <c:pt idx="15">
                  <c:v>8.1016454086253944</c:v>
                </c:pt>
                <c:pt idx="16">
                  <c:v>8.0963685198638018</c:v>
                </c:pt>
                <c:pt idx="17">
                  <c:v>8.0910382221054071</c:v>
                </c:pt>
                <c:pt idx="18">
                  <c:v>8.0856542824093403</c:v>
                </c:pt>
                <c:pt idx="19">
                  <c:v>8.0802164738282851</c:v>
                </c:pt>
                <c:pt idx="20">
                  <c:v>8.0747245755545194</c:v>
                </c:pt>
                <c:pt idx="21">
                  <c:v>8.0691783730633464</c:v>
                </c:pt>
                <c:pt idx="22">
                  <c:v>8.0635776582537666</c:v>
                </c:pt>
                <c:pt idx="23">
                  <c:v>8.0579222295861577</c:v>
                </c:pt>
                <c:pt idx="24">
                  <c:v>8.0522118922167554</c:v>
                </c:pt>
                <c:pt idx="25">
                  <c:v>8.0464464581287789</c:v>
                </c:pt>
                <c:pt idx="26">
                  <c:v>8.0406257462599378</c:v>
                </c:pt>
                <c:pt idx="27">
                  <c:v>8.0347495826261905</c:v>
                </c:pt>
                <c:pt idx="28">
                  <c:v>8.02881780044153</c:v>
                </c:pt>
                <c:pt idx="29">
                  <c:v>8.0228302402336027</c:v>
                </c:pt>
                <c:pt idx="30">
                  <c:v>8.0167867499550134</c:v>
                </c:pt>
                <c:pt idx="31">
                  <c:v>8.0106871850901094</c:v>
                </c:pt>
                <c:pt idx="32">
                  <c:v>8.0045314087570851</c:v>
                </c:pt>
                <c:pt idx="33">
                  <c:v>7.9983192918052435</c:v>
                </c:pt>
                <c:pt idx="34">
                  <c:v>7.9920507129072513</c:v>
                </c:pt>
                <c:pt idx="35">
                  <c:v>7.9857255586462434</c:v>
                </c:pt>
                <c:pt idx="36">
                  <c:v>7.9793437235976246</c:v>
                </c:pt>
                <c:pt idx="37">
                  <c:v>7.972905110405434</c:v>
                </c:pt>
                <c:pt idx="38">
                  <c:v>7.9664096298531613</c:v>
                </c:pt>
                <c:pt idx="39">
                  <c:v>7.9598572009288624</c:v>
                </c:pt>
                <c:pt idx="40">
                  <c:v>7.9532477508844996</c:v>
                </c:pt>
                <c:pt idx="41">
                  <c:v>7.9465812152893838</c:v>
                </c:pt>
                <c:pt idx="42">
                  <c:v>7.9398575380776304</c:v>
                </c:pt>
                <c:pt idx="43">
                  <c:v>7.9330766715895562</c:v>
                </c:pt>
                <c:pt idx="44">
                  <c:v>7.9262385766069423</c:v>
                </c:pt>
                <c:pt idx="45">
                  <c:v>7.9193432223820919</c:v>
                </c:pt>
                <c:pt idx="46">
                  <c:v>7.9123905866606501</c:v>
                </c:pt>
                <c:pt idx="47">
                  <c:v>7.9053806556981376</c:v>
                </c:pt>
                <c:pt idx="48">
                  <c:v>7.8983134242701638</c:v>
                </c:pt>
                <c:pt idx="49">
                  <c:v>7.8911888956763159</c:v>
                </c:pt>
                <c:pt idx="50">
                  <c:v>7.8840070817377006</c:v>
                </c:pt>
                <c:pt idx="51">
                  <c:v>7.876768002788161</c:v>
                </c:pt>
                <c:pt idx="52">
                  <c:v>7.8694716876591633</c:v>
                </c:pt>
                <c:pt idx="53">
                  <c:v>7.8621181736584003</c:v>
                </c:pt>
                <c:pt idx="54">
                  <c:v>7.8547075065421339</c:v>
                </c:pt>
                <c:pt idx="55">
                  <c:v>7.8472397404813261</c:v>
                </c:pt>
                <c:pt idx="56">
                  <c:v>7.8397149380216282</c:v>
                </c:pt>
                <c:pt idx="57">
                  <c:v>7.8321331700372827</c:v>
                </c:pt>
                <c:pt idx="58">
                  <c:v>7.8244945156790227</c:v>
                </c:pt>
                <c:pt idx="59">
                  <c:v>7.8167990623160604</c:v>
                </c:pt>
                <c:pt idx="60">
                  <c:v>7.809046905472262</c:v>
                </c:pt>
                <c:pt idx="61">
                  <c:v>7.8012381487566138</c:v>
                </c:pt>
                <c:pt idx="62">
                  <c:v>7.793372903788093</c:v>
                </c:pt>
                <c:pt idx="63">
                  <c:v>7.7854512901150876</c:v>
                </c:pt>
                <c:pt idx="64">
                  <c:v>7.777473435129477</c:v>
                </c:pt>
                <c:pt idx="65">
                  <c:v>7.7694394739755213</c:v>
                </c:pt>
                <c:pt idx="66">
                  <c:v>7.7613495494537244</c:v>
                </c:pt>
                <c:pt idx="67">
                  <c:v>7.7532038119198052</c:v>
                </c:pt>
                <c:pt idx="68">
                  <c:v>7.7450024191789524</c:v>
                </c:pt>
                <c:pt idx="69">
                  <c:v>7.736745536375536</c:v>
                </c:pt>
                <c:pt idx="70">
                  <c:v>7.7284333358784334</c:v>
                </c:pt>
                <c:pt idx="71">
                  <c:v>7.720065997162175</c:v>
                </c:pt>
                <c:pt idx="72">
                  <c:v>7.7116437066840691</c:v>
                </c:pt>
                <c:pt idx="73">
                  <c:v>7.7031666577575182</c:v>
                </c:pt>
                <c:pt idx="74">
                  <c:v>7.6946350504217005</c:v>
                </c:pt>
                <c:pt idx="75">
                  <c:v>7.686049091307825</c:v>
                </c:pt>
                <c:pt idx="76">
                  <c:v>7.677408993502155</c:v>
                </c:pt>
                <c:pt idx="77">
                  <c:v>7.668714976406001</c:v>
                </c:pt>
                <c:pt idx="78">
                  <c:v>7.6599672655928845</c:v>
                </c:pt>
                <c:pt idx="79">
                  <c:v>7.6511660926630842</c:v>
                </c:pt>
                <c:pt idx="80">
                  <c:v>7.642311695095751</c:v>
                </c:pt>
                <c:pt idx="81">
                  <c:v>7.633404316098825</c:v>
                </c:pt>
                <c:pt idx="82">
                  <c:v>7.6244442044569283</c:v>
                </c:pt>
                <c:pt idx="83">
                  <c:v>7.6154316143774645</c:v>
                </c:pt>
                <c:pt idx="84">
                  <c:v>7.6063668053351075</c:v>
                </c:pt>
                <c:pt idx="85">
                  <c:v>7.5972500419148927</c:v>
                </c:pt>
                <c:pt idx="86">
                  <c:v>7.5880815936541088</c:v>
                </c:pt>
                <c:pt idx="87">
                  <c:v>7.5788617348831799</c:v>
                </c:pt>
                <c:pt idx="88">
                  <c:v>7.5695907445657404</c:v>
                </c:pt>
                <c:pt idx="89">
                  <c:v>7.5602689061380932</c:v>
                </c:pt>
                <c:pt idx="90">
                  <c:v>7.5508965073482326</c:v>
                </c:pt>
                <c:pt idx="91">
                  <c:v>7.5414738400946222</c:v>
                </c:pt>
                <c:pt idx="92">
                  <c:v>7.5320012002649035</c:v>
                </c:pt>
                <c:pt idx="93">
                  <c:v>7.5224788875747191</c:v>
                </c:pt>
                <c:pt idx="94">
                  <c:v>7.5129072054068109</c:v>
                </c:pt>
                <c:pt idx="95">
                  <c:v>7.503286460650564</c:v>
                </c:pt>
                <c:pt idx="96">
                  <c:v>7.4936169635421619</c:v>
                </c:pt>
                <c:pt idx="97">
                  <c:v>7.4838990275055046</c:v>
                </c:pt>
                <c:pt idx="98">
                  <c:v>7.4741329689940388</c:v>
                </c:pt>
                <c:pt idx="99">
                  <c:v>7.464319107333651</c:v>
                </c:pt>
              </c:numCache>
            </c:numRef>
          </c:yVal>
          <c:smooth val="0"/>
          <c:extLst>
            <c:ext xmlns:c16="http://schemas.microsoft.com/office/drawing/2014/chart" uri="{C3380CC4-5D6E-409C-BE32-E72D297353CC}">
              <c16:uniqueId val="{00000005-4F68-4555-A57C-EE6C14EFD9D9}"/>
            </c:ext>
          </c:extLst>
        </c:ser>
        <c:ser>
          <c:idx val="6"/>
          <c:order val="6"/>
          <c:tx>
            <c:v/>
          </c:tx>
          <c:spPr>
            <a:ln w="6350">
              <a:solidFill>
                <a:srgbClr val="5F5F5F"/>
              </a:solidFill>
              <a:prstDash val="solid"/>
            </a:ln>
            <a:effectLst/>
          </c:spPr>
          <c:marker>
            <c:symbol val="none"/>
          </c:marker>
          <c:xVal>
            <c:numRef>
              <c:f>'Linear regression7'!xdata7</c:f>
              <c:numCache>
                <c:formatCode>General</c:formatCode>
                <c:ptCount val="100"/>
                <c:pt idx="0">
                  <c:v>1.776632740341</c:v>
                </c:pt>
                <c:pt idx="1">
                  <c:v>1.8407198468992574</c:v>
                </c:pt>
                <c:pt idx="2">
                  <c:v>1.9048069534575147</c:v>
                </c:pt>
                <c:pt idx="3">
                  <c:v>1.9688940600157721</c:v>
                </c:pt>
                <c:pt idx="4">
                  <c:v>2.0329811665740292</c:v>
                </c:pt>
                <c:pt idx="5">
                  <c:v>2.0970682731322867</c:v>
                </c:pt>
                <c:pt idx="6">
                  <c:v>2.1611553796905438</c:v>
                </c:pt>
                <c:pt idx="7">
                  <c:v>2.2252424862488009</c:v>
                </c:pt>
                <c:pt idx="8">
                  <c:v>2.2893295928070585</c:v>
                </c:pt>
                <c:pt idx="9">
                  <c:v>2.3534166993653161</c:v>
                </c:pt>
                <c:pt idx="10">
                  <c:v>2.4175038059235732</c:v>
                </c:pt>
                <c:pt idx="11">
                  <c:v>2.4815909124818303</c:v>
                </c:pt>
                <c:pt idx="12">
                  <c:v>2.5456780190400878</c:v>
                </c:pt>
                <c:pt idx="13">
                  <c:v>2.6097651255983449</c:v>
                </c:pt>
                <c:pt idx="14">
                  <c:v>2.6738522321566025</c:v>
                </c:pt>
                <c:pt idx="15">
                  <c:v>2.7379393387148596</c:v>
                </c:pt>
                <c:pt idx="16">
                  <c:v>2.8020264452731167</c:v>
                </c:pt>
                <c:pt idx="17">
                  <c:v>2.8661135518313743</c:v>
                </c:pt>
                <c:pt idx="18">
                  <c:v>2.9302006583896318</c:v>
                </c:pt>
                <c:pt idx="19">
                  <c:v>2.994287764947889</c:v>
                </c:pt>
                <c:pt idx="20">
                  <c:v>3.0583748715061461</c:v>
                </c:pt>
                <c:pt idx="21">
                  <c:v>3.1224619780644032</c:v>
                </c:pt>
                <c:pt idx="22">
                  <c:v>3.1865490846226607</c:v>
                </c:pt>
                <c:pt idx="23">
                  <c:v>3.2506361911809183</c:v>
                </c:pt>
                <c:pt idx="24">
                  <c:v>3.3147232977391754</c:v>
                </c:pt>
                <c:pt idx="25">
                  <c:v>3.3788104042974325</c:v>
                </c:pt>
                <c:pt idx="26">
                  <c:v>3.4428975108556901</c:v>
                </c:pt>
                <c:pt idx="27">
                  <c:v>3.5069846174139476</c:v>
                </c:pt>
                <c:pt idx="28">
                  <c:v>3.5710717239722047</c:v>
                </c:pt>
                <c:pt idx="29">
                  <c:v>3.6351588305304618</c:v>
                </c:pt>
                <c:pt idx="30">
                  <c:v>3.699245937088719</c:v>
                </c:pt>
                <c:pt idx="31">
                  <c:v>3.7633330436469765</c:v>
                </c:pt>
                <c:pt idx="32">
                  <c:v>3.8274201502052341</c:v>
                </c:pt>
                <c:pt idx="33">
                  <c:v>3.8915072567634912</c:v>
                </c:pt>
                <c:pt idx="34">
                  <c:v>3.9555943633217483</c:v>
                </c:pt>
                <c:pt idx="35">
                  <c:v>4.0196814698800054</c:v>
                </c:pt>
                <c:pt idx="36">
                  <c:v>4.0837685764382634</c:v>
                </c:pt>
                <c:pt idx="37">
                  <c:v>4.1478556829965205</c:v>
                </c:pt>
                <c:pt idx="38">
                  <c:v>4.2119427895547776</c:v>
                </c:pt>
                <c:pt idx="39">
                  <c:v>4.2760298961130347</c:v>
                </c:pt>
                <c:pt idx="40">
                  <c:v>4.3401170026712927</c:v>
                </c:pt>
                <c:pt idx="41">
                  <c:v>4.4042041092295499</c:v>
                </c:pt>
                <c:pt idx="42">
                  <c:v>4.468291215787807</c:v>
                </c:pt>
                <c:pt idx="43">
                  <c:v>4.5323783223460641</c:v>
                </c:pt>
                <c:pt idx="44">
                  <c:v>4.5964654289043212</c:v>
                </c:pt>
                <c:pt idx="45">
                  <c:v>4.6605525354625792</c:v>
                </c:pt>
                <c:pt idx="46">
                  <c:v>4.7246396420208363</c:v>
                </c:pt>
                <c:pt idx="47">
                  <c:v>4.7887267485790934</c:v>
                </c:pt>
                <c:pt idx="48">
                  <c:v>4.8528138551373505</c:v>
                </c:pt>
                <c:pt idx="49">
                  <c:v>4.9169009616956076</c:v>
                </c:pt>
                <c:pt idx="50">
                  <c:v>4.9809880682538656</c:v>
                </c:pt>
                <c:pt idx="51">
                  <c:v>5.0450751748121228</c:v>
                </c:pt>
                <c:pt idx="52">
                  <c:v>5.1091622813703799</c:v>
                </c:pt>
                <c:pt idx="53">
                  <c:v>5.173249387928637</c:v>
                </c:pt>
                <c:pt idx="54">
                  <c:v>5.237336494486895</c:v>
                </c:pt>
                <c:pt idx="55">
                  <c:v>5.3014236010451521</c:v>
                </c:pt>
                <c:pt idx="56">
                  <c:v>5.3655107076034092</c:v>
                </c:pt>
                <c:pt idx="57">
                  <c:v>5.4295978141616663</c:v>
                </c:pt>
                <c:pt idx="58">
                  <c:v>5.4936849207199234</c:v>
                </c:pt>
                <c:pt idx="59">
                  <c:v>5.5577720272781814</c:v>
                </c:pt>
                <c:pt idx="60">
                  <c:v>5.6218591338364385</c:v>
                </c:pt>
                <c:pt idx="61">
                  <c:v>5.6859462403946956</c:v>
                </c:pt>
                <c:pt idx="62">
                  <c:v>5.7500333469529528</c:v>
                </c:pt>
                <c:pt idx="63">
                  <c:v>5.8141204535112108</c:v>
                </c:pt>
                <c:pt idx="64">
                  <c:v>5.8782075600694679</c:v>
                </c:pt>
                <c:pt idx="65">
                  <c:v>5.942294666627725</c:v>
                </c:pt>
                <c:pt idx="66">
                  <c:v>6.0063817731859821</c:v>
                </c:pt>
                <c:pt idx="67">
                  <c:v>6.0704688797442401</c:v>
                </c:pt>
                <c:pt idx="68">
                  <c:v>6.1345559863024972</c:v>
                </c:pt>
                <c:pt idx="69">
                  <c:v>6.1986430928607543</c:v>
                </c:pt>
                <c:pt idx="70">
                  <c:v>6.2627301994190114</c:v>
                </c:pt>
                <c:pt idx="71">
                  <c:v>6.3268173059772694</c:v>
                </c:pt>
                <c:pt idx="72">
                  <c:v>6.3909044125355265</c:v>
                </c:pt>
                <c:pt idx="73">
                  <c:v>6.4549915190937837</c:v>
                </c:pt>
                <c:pt idx="74">
                  <c:v>6.5190786256520408</c:v>
                </c:pt>
                <c:pt idx="75">
                  <c:v>6.5831657322102979</c:v>
                </c:pt>
                <c:pt idx="76">
                  <c:v>6.6472528387685559</c:v>
                </c:pt>
                <c:pt idx="77">
                  <c:v>6.711339945326813</c:v>
                </c:pt>
                <c:pt idx="78">
                  <c:v>6.7754270518850701</c:v>
                </c:pt>
                <c:pt idx="79">
                  <c:v>6.8395141584433272</c:v>
                </c:pt>
                <c:pt idx="80">
                  <c:v>6.9036012650015852</c:v>
                </c:pt>
                <c:pt idx="81">
                  <c:v>6.9676883715598423</c:v>
                </c:pt>
                <c:pt idx="82">
                  <c:v>7.0317754781180994</c:v>
                </c:pt>
                <c:pt idx="83">
                  <c:v>7.0958625846763566</c:v>
                </c:pt>
                <c:pt idx="84">
                  <c:v>7.1599496912346137</c:v>
                </c:pt>
                <c:pt idx="85">
                  <c:v>7.2240367977928717</c:v>
                </c:pt>
                <c:pt idx="86">
                  <c:v>7.2881239043511288</c:v>
                </c:pt>
                <c:pt idx="87">
                  <c:v>7.3522110109093859</c:v>
                </c:pt>
                <c:pt idx="88">
                  <c:v>7.416298117467643</c:v>
                </c:pt>
                <c:pt idx="89">
                  <c:v>7.4803852240259001</c:v>
                </c:pt>
                <c:pt idx="90">
                  <c:v>7.5444723305841581</c:v>
                </c:pt>
                <c:pt idx="91">
                  <c:v>7.6085594371424152</c:v>
                </c:pt>
                <c:pt idx="92">
                  <c:v>7.6726465437006723</c:v>
                </c:pt>
                <c:pt idx="93">
                  <c:v>7.7367336502589295</c:v>
                </c:pt>
                <c:pt idx="94">
                  <c:v>7.8008207568171875</c:v>
                </c:pt>
                <c:pt idx="95">
                  <c:v>7.8649078633754446</c:v>
                </c:pt>
                <c:pt idx="96">
                  <c:v>7.9289949699337017</c:v>
                </c:pt>
                <c:pt idx="97">
                  <c:v>7.9930820764919588</c:v>
                </c:pt>
                <c:pt idx="98">
                  <c:v>8.057169183050215</c:v>
                </c:pt>
                <c:pt idx="99">
                  <c:v>8.121256289608473</c:v>
                </c:pt>
              </c:numCache>
            </c:numRef>
          </c:xVal>
          <c:yVal>
            <c:numRef>
              <c:f>'Linear regression7'!ydata8</c:f>
              <c:numCache>
                <c:formatCode>General</c:formatCode>
                <c:ptCount val="100"/>
                <c:pt idx="0">
                  <c:v>10.609331597716167</c:v>
                </c:pt>
                <c:pt idx="1">
                  <c:v>10.599748809097933</c:v>
                </c:pt>
                <c:pt idx="2">
                  <c:v>10.590215320955295</c:v>
                </c:pt>
                <c:pt idx="3">
                  <c:v>10.580731437476883</c:v>
                </c:pt>
                <c:pt idx="4">
                  <c:v>10.57129745922051</c:v>
                </c:pt>
                <c:pt idx="5">
                  <c:v>10.561913682952353</c:v>
                </c:pt>
                <c:pt idx="6">
                  <c:v>10.552580401485827</c:v>
                </c:pt>
                <c:pt idx="7">
                  <c:v>10.543297903520296</c:v>
                </c:pt>
                <c:pt idx="8">
                  <c:v>10.534066473479831</c:v>
                </c:pt>
                <c:pt idx="9">
                  <c:v>10.524886391352151</c:v>
                </c:pt>
                <c:pt idx="10">
                  <c:v>10.515757932527979</c:v>
                </c:pt>
                <c:pt idx="11">
                  <c:v>10.506681367640947</c:v>
                </c:pt>
                <c:pt idx="12">
                  <c:v>10.497656962408286</c:v>
                </c:pt>
                <c:pt idx="13">
                  <c:v>10.488684977472474</c:v>
                </c:pt>
                <c:pt idx="14">
                  <c:v>10.479765668244035</c:v>
                </c:pt>
                <c:pt idx="15">
                  <c:v>10.470899284745702</c:v>
                </c:pt>
                <c:pt idx="16">
                  <c:v>10.462086071458121</c:v>
                </c:pt>
                <c:pt idx="17">
                  <c:v>10.453326267167341</c:v>
                </c:pt>
                <c:pt idx="18">
                  <c:v>10.444620104814234</c:v>
                </c:pt>
                <c:pt idx="19">
                  <c:v>10.435967811346115</c:v>
                </c:pt>
                <c:pt idx="20">
                  <c:v>10.427369607570707</c:v>
                </c:pt>
                <c:pt idx="21">
                  <c:v>10.418825708012706</c:v>
                </c:pt>
                <c:pt idx="22">
                  <c:v>10.410336320773112</c:v>
                </c:pt>
                <c:pt idx="23">
                  <c:v>10.401901647391547</c:v>
                </c:pt>
                <c:pt idx="24">
                  <c:v>10.393521882711775</c:v>
                </c:pt>
                <c:pt idx="25">
                  <c:v>10.385197214750578</c:v>
                </c:pt>
                <c:pt idx="26">
                  <c:v>10.376927824570245</c:v>
                </c:pt>
                <c:pt idx="27">
                  <c:v>10.368713886154818</c:v>
                </c:pt>
                <c:pt idx="28">
                  <c:v>10.360555566290305</c:v>
                </c:pt>
                <c:pt idx="29">
                  <c:v>10.352453024449058</c:v>
                </c:pt>
                <c:pt idx="30">
                  <c:v>10.344406412678474</c:v>
                </c:pt>
                <c:pt idx="31">
                  <c:v>10.336415875494204</c:v>
                </c:pt>
                <c:pt idx="32">
                  <c:v>10.328481549778054</c:v>
                </c:pt>
                <c:pt idx="33">
                  <c:v>10.320603564680722</c:v>
                </c:pt>
                <c:pt idx="34">
                  <c:v>10.312782041529541</c:v>
                </c:pt>
                <c:pt idx="35">
                  <c:v>10.305017093741373</c:v>
                </c:pt>
                <c:pt idx="36">
                  <c:v>10.297308826740819</c:v>
                </c:pt>
                <c:pt idx="37">
                  <c:v>10.289657337883835</c:v>
                </c:pt>
                <c:pt idx="38">
                  <c:v>10.282062716386935</c:v>
                </c:pt>
                <c:pt idx="39">
                  <c:v>10.274525043262059</c:v>
                </c:pt>
                <c:pt idx="40">
                  <c:v>10.267044391257247</c:v>
                </c:pt>
                <c:pt idx="41">
                  <c:v>10.259620824803189</c:v>
                </c:pt>
                <c:pt idx="42">
                  <c:v>10.25225439996577</c:v>
                </c:pt>
                <c:pt idx="43">
                  <c:v>10.244945164404669</c:v>
                </c:pt>
                <c:pt idx="44">
                  <c:v>10.237693157338111</c:v>
                </c:pt>
                <c:pt idx="45">
                  <c:v>10.230498409513787</c:v>
                </c:pt>
                <c:pt idx="46">
                  <c:v>10.223360943186055</c:v>
                </c:pt>
                <c:pt idx="47">
                  <c:v>10.216280772099392</c:v>
                </c:pt>
                <c:pt idx="48">
                  <c:v>10.209257901478193</c:v>
                </c:pt>
                <c:pt idx="49">
                  <c:v>10.202292328022866</c:v>
                </c:pt>
                <c:pt idx="50">
                  <c:v>10.195384039912307</c:v>
                </c:pt>
                <c:pt idx="51">
                  <c:v>10.188533016812674</c:v>
                </c:pt>
                <c:pt idx="52">
                  <c:v>10.181739229892498</c:v>
                </c:pt>
                <c:pt idx="53">
                  <c:v>10.175002641844086</c:v>
                </c:pt>
                <c:pt idx="54">
                  <c:v>10.168323206911179</c:v>
                </c:pt>
                <c:pt idx="55">
                  <c:v>10.161700870922813</c:v>
                </c:pt>
                <c:pt idx="56">
                  <c:v>10.155135571333336</c:v>
                </c:pt>
                <c:pt idx="57">
                  <c:v>10.148627237268508</c:v>
                </c:pt>
                <c:pt idx="58">
                  <c:v>10.142175789577594</c:v>
                </c:pt>
                <c:pt idx="59">
                  <c:v>10.135781140891384</c:v>
                </c:pt>
                <c:pt idx="60">
                  <c:v>10.129443195686006</c:v>
                </c:pt>
                <c:pt idx="61">
                  <c:v>10.123161850352481</c:v>
                </c:pt>
                <c:pt idx="62">
                  <c:v>10.116936993271828</c:v>
                </c:pt>
                <c:pt idx="63">
                  <c:v>10.11076850489566</c:v>
                </c:pt>
                <c:pt idx="64">
                  <c:v>10.104656257832097</c:v>
                </c:pt>
                <c:pt idx="65">
                  <c:v>10.098600116936879</c:v>
                </c:pt>
                <c:pt idx="66">
                  <c:v>10.092599939409501</c:v>
                </c:pt>
                <c:pt idx="67">
                  <c:v>10.086655574894246</c:v>
                </c:pt>
                <c:pt idx="68">
                  <c:v>10.080766865585925</c:v>
                </c:pt>
                <c:pt idx="69">
                  <c:v>10.074933646340167</c:v>
                </c:pt>
                <c:pt idx="70">
                  <c:v>10.069155744788096</c:v>
                </c:pt>
                <c:pt idx="71">
                  <c:v>10.063432981455181</c:v>
                </c:pt>
                <c:pt idx="72">
                  <c:v>10.057765169884112</c:v>
                </c:pt>
                <c:pt idx="73">
                  <c:v>10.052152116761489</c:v>
                </c:pt>
                <c:pt idx="74">
                  <c:v>10.046593622048134</c:v>
                </c:pt>
                <c:pt idx="75">
                  <c:v>10.041089479112834</c:v>
                </c:pt>
                <c:pt idx="76">
                  <c:v>10.035639474869331</c:v>
                </c:pt>
                <c:pt idx="77">
                  <c:v>10.030243389916311</c:v>
                </c:pt>
                <c:pt idx="78">
                  <c:v>10.024900998680254</c:v>
                </c:pt>
                <c:pt idx="79">
                  <c:v>10.01961206956088</c:v>
                </c:pt>
                <c:pt idx="80">
                  <c:v>10.014376365079039</c:v>
                </c:pt>
                <c:pt idx="81">
                  <c:v>10.009193642026792</c:v>
                </c:pt>
                <c:pt idx="82">
                  <c:v>10.004063651619514</c:v>
                </c:pt>
                <c:pt idx="83">
                  <c:v>9.998986139649805</c:v>
                </c:pt>
                <c:pt idx="84">
                  <c:v>9.9939608466429881</c:v>
                </c:pt>
                <c:pt idx="85">
                  <c:v>9.9889875080140271</c:v>
                </c:pt>
                <c:pt idx="86">
                  <c:v>9.9840658542256371</c:v>
                </c:pt>
                <c:pt idx="87">
                  <c:v>9.9791956109473929</c:v>
                </c:pt>
                <c:pt idx="88">
                  <c:v>9.9743764992156585</c:v>
                </c:pt>
                <c:pt idx="89">
                  <c:v>9.9696082355941318</c:v>
                </c:pt>
                <c:pt idx="90">
                  <c:v>9.9648905323348185</c:v>
                </c:pt>
                <c:pt idx="91">
                  <c:v>9.9602230975392558</c:v>
                </c:pt>
                <c:pt idx="92">
                  <c:v>9.9556056353198006</c:v>
                </c:pt>
                <c:pt idx="93">
                  <c:v>9.9510378459608102</c:v>
                </c:pt>
                <c:pt idx="94">
                  <c:v>9.9465194260795453</c:v>
                </c:pt>
                <c:pt idx="95">
                  <c:v>9.9420500687866173</c:v>
                </c:pt>
                <c:pt idx="96">
                  <c:v>9.9376294638458447</c:v>
                </c:pt>
                <c:pt idx="97">
                  <c:v>9.9332572978333289</c:v>
                </c:pt>
                <c:pt idx="98">
                  <c:v>9.9289332542956217</c:v>
                </c:pt>
                <c:pt idx="99">
                  <c:v>9.9246570139068346</c:v>
                </c:pt>
              </c:numCache>
            </c:numRef>
          </c:yVal>
          <c:smooth val="0"/>
          <c:extLst>
            <c:ext xmlns:c16="http://schemas.microsoft.com/office/drawing/2014/chart" uri="{C3380CC4-5D6E-409C-BE32-E72D297353CC}">
              <c16:uniqueId val="{00000006-4F68-4555-A57C-EE6C14EFD9D9}"/>
            </c:ext>
          </c:extLst>
        </c:ser>
        <c:dLbls>
          <c:showLegendKey val="0"/>
          <c:showVal val="0"/>
          <c:showCatName val="0"/>
          <c:showSerName val="0"/>
          <c:showPercent val="0"/>
          <c:showBubbleSize val="0"/>
        </c:dLbls>
        <c:axId val="1351986111"/>
        <c:axId val="1353323007"/>
      </c:scatterChart>
      <c:valAx>
        <c:axId val="1351986111"/>
        <c:scaling>
          <c:orientation val="minMax"/>
          <c:max val="9"/>
          <c:min val="1"/>
        </c:scaling>
        <c:delete val="0"/>
        <c:axPos val="b"/>
        <c:title>
          <c:tx>
            <c:rich>
              <a:bodyPr/>
              <a:lstStyle/>
              <a:p>
                <a:pPr>
                  <a:defRPr sz="800" b="0">
                    <a:latin typeface="Arial"/>
                    <a:ea typeface="Arial"/>
                    <a:cs typeface="Arial"/>
                  </a:defRPr>
                </a:pPr>
                <a:r>
                  <a:rPr lang="en-US"/>
                  <a:t>Total Reads</a:t>
                </a:r>
              </a:p>
            </c:rich>
          </c:tx>
          <c:overlay val="0"/>
        </c:title>
        <c:numFmt formatCode="General" sourceLinked="0"/>
        <c:majorTickMark val="cross"/>
        <c:minorTickMark val="none"/>
        <c:tickLblPos val="nextTo"/>
        <c:txPr>
          <a:bodyPr rot="0" vert="horz"/>
          <a:lstStyle/>
          <a:p>
            <a:pPr>
              <a:defRPr sz="700"/>
            </a:pPr>
            <a:endParaRPr lang="en-US"/>
          </a:p>
        </c:txPr>
        <c:crossAx val="1353323007"/>
        <c:crosses val="autoZero"/>
        <c:crossBetween val="midCat"/>
      </c:valAx>
      <c:valAx>
        <c:axId val="1353323007"/>
        <c:scaling>
          <c:orientation val="minMax"/>
          <c:max val="11"/>
          <c:min val="7"/>
        </c:scaling>
        <c:delete val="0"/>
        <c:axPos val="l"/>
        <c:title>
          <c:tx>
            <c:rich>
              <a:bodyPr/>
              <a:lstStyle/>
              <a:p>
                <a:pPr>
                  <a:defRPr sz="800" b="0">
                    <a:latin typeface="Arial"/>
                    <a:ea typeface="Arial"/>
                    <a:cs typeface="Arial"/>
                  </a:defRPr>
                </a:pPr>
                <a:r>
                  <a:rPr lang="en-US"/>
                  <a:t>AMELX (CI)</a:t>
                </a:r>
              </a:p>
            </c:rich>
          </c:tx>
          <c:overlay val="0"/>
        </c:title>
        <c:numFmt formatCode="General" sourceLinked="0"/>
        <c:majorTickMark val="cross"/>
        <c:minorTickMark val="none"/>
        <c:tickLblPos val="nextTo"/>
        <c:txPr>
          <a:bodyPr/>
          <a:lstStyle/>
          <a:p>
            <a:pPr>
              <a:defRPr sz="700"/>
            </a:pPr>
            <a:endParaRPr lang="en-US"/>
          </a:p>
        </c:txPr>
        <c:crossAx val="1351986111"/>
        <c:crosses val="autoZero"/>
        <c:crossBetween val="midCat"/>
      </c:valAx>
      <c:spPr>
        <a:ln>
          <a:solidFill>
            <a:srgbClr val="C0C0C0"/>
          </a:solidFill>
          <a:prstDash val="solid"/>
        </a:ln>
      </c:spPr>
    </c:plotArea>
    <c:legend>
      <c:legendPos val="b"/>
      <c:legendEntry>
        <c:idx val="0"/>
        <c:delete val="1"/>
      </c:legendEntry>
      <c:legendEntry>
        <c:idx val="1"/>
        <c:delete val="1"/>
      </c:legendEntry>
      <c:legendEntry>
        <c:idx val="4"/>
        <c:delete val="1"/>
      </c:legendEntry>
      <c:legendEntry>
        <c:idx val="6"/>
        <c:delete val="1"/>
      </c:legendEntry>
      <c:overlay val="0"/>
      <c:spPr>
        <a:ln w="6350">
          <a:solidFill>
            <a:srgbClr val="000000"/>
          </a:solidFill>
          <a:prstDash val="solid"/>
        </a:ln>
      </c:spPr>
      <c:txPr>
        <a:bodyPr/>
        <a:lstStyle/>
        <a:p>
          <a:pPr>
            <a:defRPr sz="900" b="0"/>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blipFill>
      <a:blip xmlns:r="http://schemas.openxmlformats.org/officeDocument/2006/relationships" r:embed="rId1"/>
      <a:stretch>
        <a:fillRect/>
      </a:stretch>
    </a:blipFill>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3675</Words>
  <Characters>20953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Buonasera</dc:creator>
  <cp:keywords/>
  <dc:description/>
  <cp:lastModifiedBy>Glendon Parker</cp:lastModifiedBy>
  <cp:revision>2</cp:revision>
  <dcterms:created xsi:type="dcterms:W3CDTF">2020-07-02T18:53:00Z</dcterms:created>
  <dcterms:modified xsi:type="dcterms:W3CDTF">2020-07-02T18:53:00Z</dcterms:modified>
</cp:coreProperties>
</file>