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936" w:rsidRDefault="00822320" w:rsidP="007E1F12">
      <w:pPr>
        <w:tabs>
          <w:tab w:val="left" w:pos="2052"/>
        </w:tabs>
        <w:autoSpaceDE w:val="0"/>
        <w:autoSpaceDN w:val="0"/>
        <w:adjustRightInd w:val="0"/>
        <w:spacing w:after="0" w:line="360" w:lineRule="auto"/>
        <w:jc w:val="both"/>
        <w:rPr>
          <w:rFonts w:ascii="Times New Roman" w:eastAsia="MS Mincho" w:hAnsi="Times New Roman" w:cs="Times New Roman"/>
          <w:bCs/>
          <w:sz w:val="32"/>
          <w:szCs w:val="32"/>
          <w:lang w:val="en-GB" w:eastAsia="it-IT"/>
        </w:rPr>
      </w:pPr>
      <w:r w:rsidRPr="00822320">
        <w:rPr>
          <w:rFonts w:ascii="Times New Roman" w:eastAsia="MS Mincho" w:hAnsi="Times New Roman" w:cs="Times New Roman"/>
          <w:bCs/>
          <w:sz w:val="32"/>
          <w:szCs w:val="32"/>
          <w:lang w:val="en-GB" w:eastAsia="it-IT"/>
        </w:rPr>
        <w:t>Activation of cerebellum and basal ganglia during the observation and execution of manipulative actions</w:t>
      </w:r>
    </w:p>
    <w:p w:rsidR="00822320" w:rsidRPr="0070439F" w:rsidRDefault="00822320" w:rsidP="00822320">
      <w:pPr>
        <w:tabs>
          <w:tab w:val="left" w:pos="2052"/>
        </w:tabs>
        <w:autoSpaceDE w:val="0"/>
        <w:autoSpaceDN w:val="0"/>
        <w:adjustRightInd w:val="0"/>
        <w:spacing w:after="0" w:line="360" w:lineRule="auto"/>
        <w:jc w:val="center"/>
        <w:rPr>
          <w:rFonts w:ascii="Times New Roman" w:eastAsia="MS Mincho" w:hAnsi="Times New Roman" w:cs="Times New Roman"/>
          <w:bCs/>
          <w:sz w:val="32"/>
          <w:szCs w:val="32"/>
          <w:lang w:val="en-GB" w:eastAsia="it-IT"/>
        </w:rPr>
      </w:pPr>
    </w:p>
    <w:p w:rsidR="007E1F12" w:rsidRPr="005B1993" w:rsidRDefault="007E1F12" w:rsidP="007E1F12">
      <w:pPr>
        <w:spacing w:line="480" w:lineRule="auto"/>
        <w:rPr>
          <w:rFonts w:ascii="Times New Roman" w:eastAsia="Calibri" w:hAnsi="Times New Roman" w:cs="Times New Roman"/>
          <w:color w:val="000000" w:themeColor="text1"/>
          <w:sz w:val="24"/>
          <w:szCs w:val="24"/>
          <w:lang w:val="en-GB"/>
        </w:rPr>
      </w:pPr>
      <w:r w:rsidRPr="005B1993">
        <w:rPr>
          <w:rFonts w:ascii="Times New Roman" w:eastAsia="Calibri" w:hAnsi="Times New Roman" w:cs="Times New Roman"/>
          <w:color w:val="000000" w:themeColor="text1"/>
          <w:sz w:val="24"/>
          <w:szCs w:val="24"/>
          <w:lang w:val="en-GB"/>
        </w:rPr>
        <w:t>Running Title</w:t>
      </w:r>
    </w:p>
    <w:p w:rsidR="007E1F12" w:rsidRPr="007E1F12" w:rsidRDefault="007E1F12" w:rsidP="007E1F12">
      <w:pPr>
        <w:spacing w:line="480" w:lineRule="auto"/>
        <w:rPr>
          <w:rFonts w:ascii="Times New Roman" w:eastAsia="Calibri" w:hAnsi="Times New Roman" w:cs="Times New Roman"/>
          <w:bCs/>
          <w:color w:val="000000" w:themeColor="text1"/>
          <w:sz w:val="28"/>
          <w:szCs w:val="28"/>
          <w:lang w:val="en-GB"/>
        </w:rPr>
      </w:pPr>
      <w:r w:rsidRPr="005B1993">
        <w:rPr>
          <w:rFonts w:ascii="Times New Roman" w:eastAsia="Calibri" w:hAnsi="Times New Roman" w:cs="Times New Roman"/>
          <w:bCs/>
          <w:color w:val="000000" w:themeColor="text1"/>
          <w:sz w:val="28"/>
          <w:szCs w:val="28"/>
          <w:lang w:val="en-GB"/>
        </w:rPr>
        <w:t>Cerebellum and Basal Ganglia in action observation and execution</w:t>
      </w:r>
    </w:p>
    <w:p w:rsidR="007E1F12" w:rsidRPr="00CB08F7" w:rsidRDefault="007E1F12" w:rsidP="007E1F12">
      <w:pPr>
        <w:tabs>
          <w:tab w:val="left" w:pos="2052"/>
        </w:tabs>
        <w:autoSpaceDE w:val="0"/>
        <w:autoSpaceDN w:val="0"/>
        <w:adjustRightInd w:val="0"/>
        <w:spacing w:line="480" w:lineRule="auto"/>
        <w:rPr>
          <w:rFonts w:ascii="Times New Roman" w:eastAsia="MS Mincho" w:hAnsi="Times New Roman" w:cs="Times New Roman"/>
          <w:color w:val="000000" w:themeColor="text1"/>
          <w:sz w:val="24"/>
          <w:szCs w:val="24"/>
          <w:vertAlign w:val="superscript"/>
          <w:lang w:eastAsia="it-IT"/>
        </w:rPr>
      </w:pPr>
      <w:r w:rsidRPr="00CB08F7">
        <w:rPr>
          <w:rFonts w:ascii="Times New Roman" w:eastAsia="MS Mincho" w:hAnsi="Times New Roman" w:cs="Times New Roman"/>
          <w:color w:val="000000" w:themeColor="text1"/>
          <w:sz w:val="24"/>
          <w:szCs w:val="24"/>
          <w:lang w:eastAsia="it-IT"/>
        </w:rPr>
        <w:t>Antonino Errante</w:t>
      </w:r>
      <w:r w:rsidRPr="00CB08F7">
        <w:rPr>
          <w:rFonts w:ascii="Times New Roman" w:eastAsia="MS Mincho" w:hAnsi="Times New Roman" w:cs="Times New Roman"/>
          <w:color w:val="000000" w:themeColor="text1"/>
          <w:sz w:val="24"/>
          <w:szCs w:val="24"/>
          <w:vertAlign w:val="superscript"/>
          <w:lang w:eastAsia="it-IT"/>
        </w:rPr>
        <w:t>1</w:t>
      </w:r>
      <w:r w:rsidRPr="00CB08F7">
        <w:rPr>
          <w:rFonts w:ascii="Times New Roman" w:eastAsia="MS Mincho" w:hAnsi="Times New Roman" w:cs="Times New Roman"/>
          <w:color w:val="000000" w:themeColor="text1"/>
          <w:sz w:val="24"/>
          <w:szCs w:val="24"/>
          <w:lang w:eastAsia="it-IT"/>
        </w:rPr>
        <w:t xml:space="preserve"> and Leonardo Fogassi</w:t>
      </w:r>
      <w:r w:rsidRPr="00CB08F7">
        <w:rPr>
          <w:rFonts w:ascii="Times New Roman" w:eastAsia="MS Mincho" w:hAnsi="Times New Roman" w:cs="Times New Roman"/>
          <w:color w:val="000000" w:themeColor="text1"/>
          <w:sz w:val="24"/>
          <w:szCs w:val="24"/>
          <w:vertAlign w:val="superscript"/>
          <w:lang w:eastAsia="it-IT"/>
        </w:rPr>
        <w:t>1</w:t>
      </w:r>
      <w:r w:rsidRPr="00CB08F7">
        <w:rPr>
          <w:rFonts w:ascii="Times New Roman" w:eastAsia="MS Mincho" w:hAnsi="Times New Roman" w:cs="Times New Roman"/>
          <w:color w:val="000000" w:themeColor="text1"/>
          <w:sz w:val="28"/>
          <w:szCs w:val="28"/>
          <w:vertAlign w:val="superscript"/>
          <w:lang w:eastAsia="it-IT"/>
        </w:rPr>
        <w:t>*</w:t>
      </w:r>
    </w:p>
    <w:p w:rsidR="007E1F12" w:rsidRPr="00290267" w:rsidRDefault="007E1F12" w:rsidP="007E1F12">
      <w:pPr>
        <w:autoSpaceDE w:val="0"/>
        <w:autoSpaceDN w:val="0"/>
        <w:adjustRightInd w:val="0"/>
        <w:spacing w:line="480" w:lineRule="auto"/>
        <w:jc w:val="both"/>
        <w:rPr>
          <w:rFonts w:ascii="Times New Roman" w:eastAsia="MS Mincho" w:hAnsi="Times New Roman" w:cs="Times New Roman"/>
          <w:i/>
          <w:color w:val="000000" w:themeColor="text1"/>
          <w:szCs w:val="24"/>
          <w:lang w:val="en-GB" w:eastAsia="it-IT"/>
        </w:rPr>
      </w:pPr>
      <w:r w:rsidRPr="00290267">
        <w:rPr>
          <w:rFonts w:ascii="Times New Roman" w:eastAsia="MS Mincho" w:hAnsi="Times New Roman" w:cs="Times New Roman"/>
          <w:i/>
          <w:color w:val="000000" w:themeColor="text1"/>
          <w:szCs w:val="24"/>
          <w:lang w:eastAsia="it-IT"/>
        </w:rPr>
        <w:t xml:space="preserve"> </w:t>
      </w:r>
      <w:r w:rsidRPr="00290267">
        <w:rPr>
          <w:rFonts w:ascii="Times New Roman" w:eastAsia="MS Mincho" w:hAnsi="Times New Roman" w:cs="Times New Roman"/>
          <w:i/>
          <w:color w:val="000000" w:themeColor="text1"/>
          <w:szCs w:val="24"/>
          <w:vertAlign w:val="superscript"/>
          <w:lang w:val="en-GB" w:eastAsia="it-IT"/>
        </w:rPr>
        <w:t>1</w:t>
      </w:r>
      <w:r w:rsidRPr="00290267">
        <w:rPr>
          <w:rFonts w:ascii="Times New Roman" w:eastAsia="MS Mincho" w:hAnsi="Times New Roman" w:cs="Times New Roman"/>
          <w:i/>
          <w:color w:val="000000" w:themeColor="text1"/>
          <w:szCs w:val="24"/>
          <w:lang w:val="en-GB" w:eastAsia="it-IT"/>
        </w:rPr>
        <w:t xml:space="preserve"> Department of Medicine and Surgery, University of Parma, Parma, 43125, Italy</w:t>
      </w:r>
    </w:p>
    <w:p w:rsidR="00A43936" w:rsidRDefault="00A43936">
      <w:pPr>
        <w:rPr>
          <w:rFonts w:ascii="Times New Roman" w:hAnsi="Times New Roman" w:cs="Times New Roman"/>
          <w:lang w:val="en-GB"/>
        </w:rPr>
      </w:pPr>
    </w:p>
    <w:p w:rsidR="007E1F12" w:rsidRPr="0070439F" w:rsidRDefault="007E1F12">
      <w:pPr>
        <w:rPr>
          <w:rFonts w:ascii="Times New Roman" w:hAnsi="Times New Roman" w:cs="Times New Roman"/>
          <w:lang w:val="en-GB"/>
        </w:rPr>
      </w:pPr>
    </w:p>
    <w:p w:rsidR="00BD51C2" w:rsidRPr="002C22B9" w:rsidRDefault="00A43936" w:rsidP="00BD51C2">
      <w:pPr>
        <w:jc w:val="center"/>
        <w:rPr>
          <w:rFonts w:ascii="Times New Roman" w:hAnsi="Times New Roman" w:cs="Times New Roman"/>
          <w:b/>
          <w:bCs/>
          <w:sz w:val="28"/>
          <w:szCs w:val="28"/>
          <w:lang w:val="en-US"/>
        </w:rPr>
      </w:pPr>
      <w:r w:rsidRPr="002C22B9">
        <w:rPr>
          <w:rFonts w:ascii="Times New Roman" w:hAnsi="Times New Roman" w:cs="Times New Roman"/>
          <w:b/>
          <w:bCs/>
          <w:sz w:val="28"/>
          <w:szCs w:val="28"/>
          <w:lang w:val="en-US"/>
        </w:rPr>
        <w:t>Supplementary Information</w:t>
      </w:r>
    </w:p>
    <w:p w:rsidR="00922B7D" w:rsidRPr="0070439F" w:rsidRDefault="00922B7D" w:rsidP="00A43936">
      <w:pPr>
        <w:spacing w:line="360" w:lineRule="auto"/>
        <w:jc w:val="both"/>
        <w:rPr>
          <w:rFonts w:ascii="Times New Roman" w:hAnsi="Times New Roman" w:cs="Times New Roman"/>
          <w:b/>
          <w:bCs/>
          <w:lang w:val="en-GB"/>
        </w:rPr>
      </w:pPr>
    </w:p>
    <w:p w:rsidR="00922B7D" w:rsidRPr="0070439F" w:rsidRDefault="00922B7D" w:rsidP="00A43936">
      <w:pPr>
        <w:spacing w:line="360" w:lineRule="auto"/>
        <w:jc w:val="both"/>
        <w:rPr>
          <w:rFonts w:ascii="Times New Roman" w:hAnsi="Times New Roman" w:cs="Times New Roman"/>
          <w:lang w:val="en-GB"/>
        </w:rPr>
      </w:pPr>
      <w:r w:rsidRPr="0070439F">
        <w:rPr>
          <w:rFonts w:ascii="Times New Roman" w:hAnsi="Times New Roman" w:cs="Times New Roman"/>
          <w:lang w:val="en-GB"/>
        </w:rPr>
        <w:t>Video Legend</w:t>
      </w:r>
    </w:p>
    <w:p w:rsidR="00F51404" w:rsidRPr="0070439F" w:rsidRDefault="00922B7D" w:rsidP="00A43936">
      <w:pPr>
        <w:spacing w:line="360" w:lineRule="auto"/>
        <w:jc w:val="both"/>
        <w:rPr>
          <w:rFonts w:ascii="Times New Roman" w:hAnsi="Times New Roman" w:cs="Times New Roman"/>
          <w:lang w:val="en-GB"/>
        </w:rPr>
      </w:pPr>
      <w:r w:rsidRPr="0070439F">
        <w:rPr>
          <w:rFonts w:ascii="Times New Roman" w:hAnsi="Times New Roman" w:cs="Times New Roman"/>
          <w:b/>
          <w:bCs/>
          <w:lang w:val="en-GB"/>
        </w:rPr>
        <w:t>Supplementary Video 1.</w:t>
      </w:r>
      <w:r w:rsidRPr="0070439F">
        <w:rPr>
          <w:rFonts w:ascii="Times New Roman" w:hAnsi="Times New Roman" w:cs="Times New Roman"/>
          <w:lang w:val="en-GB"/>
        </w:rPr>
        <w:t xml:space="preserve"> Video clip representing an example of </w:t>
      </w:r>
      <w:r w:rsidR="00822320">
        <w:rPr>
          <w:rFonts w:ascii="Times New Roman" w:hAnsi="Times New Roman" w:cs="Times New Roman"/>
          <w:lang w:val="en-GB"/>
        </w:rPr>
        <w:t xml:space="preserve">manipulative </w:t>
      </w:r>
      <w:r w:rsidRPr="0070439F">
        <w:rPr>
          <w:rFonts w:ascii="Times New Roman" w:hAnsi="Times New Roman" w:cs="Times New Roman"/>
          <w:lang w:val="en-GB"/>
        </w:rPr>
        <w:t>action (MAN_OBS) presented to participants during fMRI, showing an actor manipulating a small ball.</w:t>
      </w:r>
    </w:p>
    <w:p w:rsidR="00922B7D" w:rsidRPr="0070439F" w:rsidRDefault="00922B7D" w:rsidP="00922B7D">
      <w:pPr>
        <w:spacing w:line="360" w:lineRule="auto"/>
        <w:jc w:val="both"/>
        <w:rPr>
          <w:rFonts w:ascii="Times New Roman" w:hAnsi="Times New Roman" w:cs="Times New Roman"/>
          <w:lang w:val="en-GB"/>
        </w:rPr>
      </w:pPr>
      <w:r w:rsidRPr="0070439F">
        <w:rPr>
          <w:rFonts w:ascii="Times New Roman" w:hAnsi="Times New Roman" w:cs="Times New Roman"/>
          <w:b/>
          <w:bCs/>
          <w:lang w:val="en-GB"/>
        </w:rPr>
        <w:t>Supplementary Video 2.</w:t>
      </w:r>
      <w:r w:rsidRPr="0070439F">
        <w:rPr>
          <w:rFonts w:ascii="Times New Roman" w:hAnsi="Times New Roman" w:cs="Times New Roman"/>
          <w:lang w:val="en-GB"/>
        </w:rPr>
        <w:t xml:space="preserve"> Video clip representing an example of movement (MOV_OBS) presented to participants during fMRI, showing an actor performing simple finger tapping movements. </w:t>
      </w:r>
    </w:p>
    <w:p w:rsidR="0070439F" w:rsidRDefault="0070439F" w:rsidP="006063DF">
      <w:pPr>
        <w:spacing w:line="360" w:lineRule="auto"/>
        <w:rPr>
          <w:rFonts w:ascii="Times New Roman" w:hAnsi="Times New Roman" w:cs="Times New Roman"/>
          <w:sz w:val="28"/>
          <w:szCs w:val="28"/>
          <w:lang w:val="en-GB"/>
        </w:rPr>
      </w:pPr>
    </w:p>
    <w:p w:rsidR="006063DF" w:rsidRDefault="006063DF" w:rsidP="006063DF">
      <w:pPr>
        <w:spacing w:line="360" w:lineRule="auto"/>
        <w:rPr>
          <w:rFonts w:ascii="Times New Roman" w:hAnsi="Times New Roman" w:cs="Times New Roman"/>
          <w:sz w:val="28"/>
          <w:szCs w:val="28"/>
          <w:lang w:val="en-GB"/>
        </w:rPr>
      </w:pPr>
      <w:r>
        <w:rPr>
          <w:rFonts w:ascii="Times New Roman" w:hAnsi="Times New Roman" w:cs="Times New Roman"/>
          <w:sz w:val="28"/>
          <w:szCs w:val="28"/>
          <w:lang w:val="en-GB"/>
        </w:rPr>
        <w:t>Supplementary Methods</w:t>
      </w:r>
    </w:p>
    <w:p w:rsidR="0070439F" w:rsidRPr="0070439F" w:rsidRDefault="0070439F" w:rsidP="0070439F">
      <w:pPr>
        <w:spacing w:line="360" w:lineRule="auto"/>
        <w:jc w:val="both"/>
        <w:rPr>
          <w:rFonts w:ascii="Times New Roman" w:hAnsi="Times New Roman" w:cs="Times New Roman"/>
          <w:sz w:val="28"/>
          <w:szCs w:val="28"/>
          <w:lang w:val="en-GB"/>
        </w:rPr>
      </w:pPr>
      <w:r>
        <w:rPr>
          <w:rFonts w:ascii="Times New Roman" w:hAnsi="Times New Roman" w:cs="Times New Roman"/>
          <w:sz w:val="28"/>
          <w:szCs w:val="28"/>
          <w:lang w:val="en-GB"/>
        </w:rPr>
        <w:t>Imaging Parameters</w:t>
      </w:r>
    </w:p>
    <w:p w:rsidR="0070439F" w:rsidRDefault="0070439F" w:rsidP="0070439F">
      <w:pPr>
        <w:spacing w:line="480" w:lineRule="auto"/>
        <w:jc w:val="both"/>
        <w:rPr>
          <w:rFonts w:ascii="Times New Roman" w:eastAsia="Calibri" w:hAnsi="Times New Roman" w:cs="Times New Roman"/>
          <w:color w:val="000000" w:themeColor="text1"/>
          <w:lang w:val="en-GB"/>
        </w:rPr>
      </w:pPr>
      <w:r w:rsidRPr="00290267">
        <w:rPr>
          <w:rFonts w:ascii="Times New Roman" w:eastAsia="Calibri" w:hAnsi="Times New Roman" w:cs="Times New Roman"/>
          <w:color w:val="000000" w:themeColor="text1"/>
          <w:lang w:val="en-GB"/>
        </w:rPr>
        <w:t xml:space="preserve">Anatomical T1-weighted and functional T2*-weighted MR images were acquired with a 3 T General Electric scanner (MR750 Discovery) equipped with an 8-channel receiver head-coil. A high-resolution 3D isotropic T1-weighted-images sequence (called BRAVO, BRA in Volume) was acquired as anatomical reference. Its acquisition parameters were as follows: 196 slices, 280×280 matrix with a spatial resolution of 1×1×1 mm, TR = 9700 </w:t>
      </w:r>
      <w:proofErr w:type="spellStart"/>
      <w:r w:rsidRPr="00290267">
        <w:rPr>
          <w:rFonts w:ascii="Times New Roman" w:eastAsia="Calibri" w:hAnsi="Times New Roman" w:cs="Times New Roman"/>
          <w:color w:val="000000" w:themeColor="text1"/>
          <w:lang w:val="en-GB"/>
        </w:rPr>
        <w:t>ms</w:t>
      </w:r>
      <w:proofErr w:type="spellEnd"/>
      <w:r w:rsidRPr="00290267">
        <w:rPr>
          <w:rFonts w:ascii="Times New Roman" w:eastAsia="Calibri" w:hAnsi="Times New Roman" w:cs="Times New Roman"/>
          <w:color w:val="000000" w:themeColor="text1"/>
          <w:lang w:val="en-GB"/>
        </w:rPr>
        <w:t xml:space="preserve">, TE = 4 </w:t>
      </w:r>
      <w:proofErr w:type="spellStart"/>
      <w:r w:rsidRPr="00290267">
        <w:rPr>
          <w:rFonts w:ascii="Times New Roman" w:eastAsia="Calibri" w:hAnsi="Times New Roman" w:cs="Times New Roman"/>
          <w:color w:val="000000" w:themeColor="text1"/>
          <w:lang w:val="en-GB"/>
        </w:rPr>
        <w:t>ms</w:t>
      </w:r>
      <w:proofErr w:type="spellEnd"/>
      <w:r w:rsidRPr="00290267">
        <w:rPr>
          <w:rFonts w:ascii="Times New Roman" w:eastAsia="Calibri" w:hAnsi="Times New Roman" w:cs="Times New Roman"/>
          <w:color w:val="000000" w:themeColor="text1"/>
          <w:lang w:val="en-GB"/>
        </w:rPr>
        <w:t xml:space="preserve">, FOV = 252 x 252 mm; flip angle = 9°. Functional volumes were acquired either while participants performed the action observation task and the action execution task with the following parameters: forty axial slices of functional images covering the whole-brain acquired using a gradient-echo </w:t>
      </w:r>
      <w:r w:rsidRPr="00290267">
        <w:rPr>
          <w:rFonts w:ascii="Times New Roman" w:eastAsia="Calibri" w:hAnsi="Times New Roman" w:cs="Times New Roman"/>
          <w:color w:val="000000" w:themeColor="text1"/>
          <w:lang w:val="en-GB"/>
        </w:rPr>
        <w:lastRenderedPageBreak/>
        <w:t xml:space="preserve">echo-planar imaging (EPI) pulse sequence, slice thickness = 3 plus interslice gap = 0.5 mm, 64×64×37 matrix with a spatial resolution of 3.5×3.5×3.5 mm, TR = 3000 </w:t>
      </w:r>
      <w:proofErr w:type="spellStart"/>
      <w:r w:rsidRPr="00290267">
        <w:rPr>
          <w:rFonts w:ascii="Times New Roman" w:eastAsia="Calibri" w:hAnsi="Times New Roman" w:cs="Times New Roman"/>
          <w:color w:val="000000" w:themeColor="text1"/>
          <w:lang w:val="en-GB"/>
        </w:rPr>
        <w:t>ms</w:t>
      </w:r>
      <w:proofErr w:type="spellEnd"/>
      <w:r w:rsidRPr="00290267">
        <w:rPr>
          <w:rFonts w:ascii="Times New Roman" w:eastAsia="Calibri" w:hAnsi="Times New Roman" w:cs="Times New Roman"/>
          <w:color w:val="000000" w:themeColor="text1"/>
          <w:lang w:val="en-GB"/>
        </w:rPr>
        <w:t xml:space="preserve">, TE = 30 </w:t>
      </w:r>
      <w:proofErr w:type="spellStart"/>
      <w:r w:rsidRPr="00290267">
        <w:rPr>
          <w:rFonts w:ascii="Times New Roman" w:eastAsia="Calibri" w:hAnsi="Times New Roman" w:cs="Times New Roman"/>
          <w:color w:val="000000" w:themeColor="text1"/>
          <w:lang w:val="en-GB"/>
        </w:rPr>
        <w:t>ms</w:t>
      </w:r>
      <w:proofErr w:type="spellEnd"/>
      <w:r w:rsidRPr="00290267">
        <w:rPr>
          <w:rFonts w:ascii="Times New Roman" w:eastAsia="Calibri" w:hAnsi="Times New Roman" w:cs="Times New Roman"/>
          <w:color w:val="000000" w:themeColor="text1"/>
          <w:lang w:val="en-GB"/>
        </w:rPr>
        <w:t>, FOV = 205 x 205 mm</w:t>
      </w:r>
      <w:r w:rsidRPr="00290267">
        <w:rPr>
          <w:rFonts w:ascii="Times New Roman" w:eastAsia="Calibri" w:hAnsi="Times New Roman" w:cs="Times New Roman"/>
          <w:color w:val="000000" w:themeColor="text1"/>
          <w:vertAlign w:val="superscript"/>
          <w:lang w:val="en-GB"/>
        </w:rPr>
        <w:t>2</w:t>
      </w:r>
      <w:r w:rsidRPr="00290267">
        <w:rPr>
          <w:rFonts w:ascii="Times New Roman" w:eastAsia="Calibri" w:hAnsi="Times New Roman" w:cs="Times New Roman"/>
          <w:color w:val="000000" w:themeColor="text1"/>
          <w:lang w:val="en-GB"/>
        </w:rPr>
        <w:t>, flip angle = 90°, in plane resolution = 3.2 x 3.2 mm</w:t>
      </w:r>
      <w:r w:rsidRPr="00290267">
        <w:rPr>
          <w:rFonts w:ascii="Times New Roman" w:eastAsia="Calibri" w:hAnsi="Times New Roman" w:cs="Times New Roman"/>
          <w:color w:val="000000" w:themeColor="text1"/>
          <w:vertAlign w:val="superscript"/>
          <w:lang w:val="en-GB"/>
        </w:rPr>
        <w:t>2</w:t>
      </w:r>
      <w:r w:rsidRPr="00290267">
        <w:rPr>
          <w:rFonts w:ascii="Times New Roman" w:eastAsia="Calibri" w:hAnsi="Times New Roman" w:cs="Times New Roman"/>
          <w:color w:val="000000" w:themeColor="text1"/>
          <w:lang w:val="en-GB"/>
        </w:rPr>
        <w:t>.</w:t>
      </w:r>
    </w:p>
    <w:p w:rsidR="005D7F2F" w:rsidRPr="00290267" w:rsidRDefault="005D7F2F" w:rsidP="0070439F">
      <w:pPr>
        <w:spacing w:line="480" w:lineRule="auto"/>
        <w:jc w:val="both"/>
        <w:rPr>
          <w:rFonts w:ascii="Times New Roman" w:eastAsia="Calibri" w:hAnsi="Times New Roman" w:cs="Times New Roman"/>
          <w:color w:val="000000" w:themeColor="text1"/>
          <w:lang w:val="en-GB"/>
        </w:rPr>
      </w:pPr>
      <w:bookmarkStart w:id="0" w:name="_GoBack"/>
      <w:bookmarkEnd w:id="0"/>
    </w:p>
    <w:p w:rsidR="005D7F2F" w:rsidRPr="00290267" w:rsidRDefault="005D7F2F" w:rsidP="005D7F2F">
      <w:pPr>
        <w:spacing w:line="480" w:lineRule="auto"/>
        <w:jc w:val="both"/>
        <w:rPr>
          <w:rFonts w:ascii="Times New Roman" w:eastAsia="Calibri" w:hAnsi="Times New Roman" w:cs="Times New Roman"/>
          <w:color w:val="000000" w:themeColor="text1"/>
          <w:sz w:val="26"/>
          <w:szCs w:val="26"/>
          <w:lang w:val="en-GB"/>
        </w:rPr>
      </w:pPr>
      <w:r w:rsidRPr="00290267">
        <w:rPr>
          <w:rFonts w:ascii="Times New Roman" w:eastAsia="Calibri" w:hAnsi="Times New Roman" w:cs="Times New Roman"/>
          <w:color w:val="000000" w:themeColor="text1"/>
          <w:sz w:val="26"/>
          <w:szCs w:val="26"/>
          <w:lang w:val="en-GB"/>
        </w:rPr>
        <w:t xml:space="preserve">fMRI data </w:t>
      </w:r>
      <w:proofErr w:type="spellStart"/>
      <w:r w:rsidRPr="00290267">
        <w:rPr>
          <w:rFonts w:ascii="Times New Roman" w:eastAsia="Calibri" w:hAnsi="Times New Roman" w:cs="Times New Roman"/>
          <w:color w:val="000000" w:themeColor="text1"/>
          <w:sz w:val="26"/>
          <w:szCs w:val="26"/>
          <w:lang w:val="en-GB"/>
        </w:rPr>
        <w:t>preprocessing</w:t>
      </w:r>
      <w:proofErr w:type="spellEnd"/>
      <w:r w:rsidRPr="00290267">
        <w:rPr>
          <w:rFonts w:ascii="Times New Roman" w:eastAsia="Calibri" w:hAnsi="Times New Roman" w:cs="Times New Roman"/>
          <w:color w:val="000000" w:themeColor="text1"/>
          <w:sz w:val="26"/>
          <w:szCs w:val="26"/>
          <w:lang w:val="en-GB"/>
        </w:rPr>
        <w:t xml:space="preserve"> and analysis </w:t>
      </w:r>
    </w:p>
    <w:p w:rsidR="005D7F2F" w:rsidRPr="00290267" w:rsidRDefault="005D7F2F" w:rsidP="005D7F2F">
      <w:pPr>
        <w:spacing w:line="480" w:lineRule="auto"/>
        <w:contextualSpacing/>
        <w:jc w:val="both"/>
        <w:rPr>
          <w:rFonts w:ascii="Times New Roman" w:eastAsia="Calibri" w:hAnsi="Times New Roman" w:cs="Times New Roman"/>
          <w:color w:val="000000" w:themeColor="text1"/>
          <w:lang w:val="en-GB"/>
        </w:rPr>
      </w:pPr>
      <w:r w:rsidRPr="00290267">
        <w:rPr>
          <w:rFonts w:ascii="Times New Roman" w:eastAsia="Calibri" w:hAnsi="Times New Roman" w:cs="Times New Roman"/>
          <w:color w:val="000000" w:themeColor="text1"/>
          <w:lang w:val="en-GB"/>
        </w:rPr>
        <w:t>Data processing was performed with SPM12 (</w:t>
      </w:r>
      <w:proofErr w:type="spellStart"/>
      <w:r w:rsidRPr="00290267">
        <w:rPr>
          <w:rFonts w:ascii="Times New Roman" w:eastAsia="Calibri" w:hAnsi="Times New Roman" w:cs="Times New Roman"/>
          <w:color w:val="000000" w:themeColor="text1"/>
          <w:lang w:val="en-GB"/>
        </w:rPr>
        <w:t>Wellcome</w:t>
      </w:r>
      <w:proofErr w:type="spellEnd"/>
      <w:r w:rsidRPr="00290267">
        <w:rPr>
          <w:rFonts w:ascii="Times New Roman" w:eastAsia="Calibri" w:hAnsi="Times New Roman" w:cs="Times New Roman"/>
          <w:color w:val="000000" w:themeColor="text1"/>
          <w:lang w:val="en-GB"/>
        </w:rPr>
        <w:t xml:space="preserve"> Department of Imaging Neuroscience, University College, London, UK; </w:t>
      </w:r>
      <w:hyperlink r:id="rId5" w:history="1">
        <w:r w:rsidRPr="00290267">
          <w:rPr>
            <w:rFonts w:ascii="Times New Roman" w:eastAsia="Calibri" w:hAnsi="Times New Roman" w:cs="Times New Roman"/>
            <w:color w:val="000000" w:themeColor="text1"/>
            <w:u w:val="single"/>
            <w:lang w:val="en-GB"/>
          </w:rPr>
          <w:t>http://www.fil.ion.ucl.ac.uk/spm</w:t>
        </w:r>
      </w:hyperlink>
      <w:r w:rsidRPr="00290267">
        <w:rPr>
          <w:rFonts w:ascii="Times New Roman" w:eastAsia="Calibri" w:hAnsi="Times New Roman" w:cs="Times New Roman"/>
          <w:color w:val="000000" w:themeColor="text1"/>
          <w:lang w:val="en-GB"/>
        </w:rPr>
        <w:t xml:space="preserve">) running on MATLAB R2018a (The </w:t>
      </w:r>
      <w:proofErr w:type="spellStart"/>
      <w:r w:rsidRPr="00290267">
        <w:rPr>
          <w:rFonts w:ascii="Times New Roman" w:eastAsia="Calibri" w:hAnsi="Times New Roman" w:cs="Times New Roman"/>
          <w:color w:val="000000" w:themeColor="text1"/>
          <w:lang w:val="en-GB"/>
        </w:rPr>
        <w:t>Mathworks</w:t>
      </w:r>
      <w:proofErr w:type="spellEnd"/>
      <w:r w:rsidRPr="00290267">
        <w:rPr>
          <w:rFonts w:ascii="Times New Roman" w:eastAsia="Calibri" w:hAnsi="Times New Roman" w:cs="Times New Roman"/>
          <w:color w:val="000000" w:themeColor="text1"/>
          <w:lang w:val="en-GB"/>
        </w:rPr>
        <w:t>, Inc.). Structural images were manually centred and reoriented with functional images to the anterior-posterior commissure axis. The first four EPI volumes of each functional run were discarded to allow the magnetization to reach a steady state. For each subject, all volumes were slice timing corrected, spatially realigned to the first volume of the first functional run and un-warped to correct for between-scan motion. Motion parameters were used as predictors of no interest in the model to account for translation and rotation along the three possible dimensions as determined during the realignment procedure. Individual dataset was excluded if excessive head motion was observed (translation &gt; 3 mm or rotation &gt; 3°). T</w:t>
      </w:r>
      <w:r w:rsidRPr="00290267">
        <w:rPr>
          <w:rFonts w:ascii="Times New Roman" w:eastAsia="Calibri" w:hAnsi="Times New Roman" w:cs="Times New Roman"/>
          <w:color w:val="000000" w:themeColor="text1"/>
          <w:vertAlign w:val="subscript"/>
          <w:lang w:val="en-GB"/>
        </w:rPr>
        <w:t>1</w:t>
      </w:r>
      <w:r w:rsidRPr="00290267">
        <w:rPr>
          <w:rFonts w:ascii="Times New Roman" w:eastAsia="Calibri" w:hAnsi="Times New Roman" w:cs="Times New Roman"/>
          <w:color w:val="000000" w:themeColor="text1"/>
          <w:lang w:val="en-GB"/>
        </w:rPr>
        <w:t>-weighted image was segmented into grey, white and cerebrospinal fluid and spatially normalized to the Montreal Neurological Institute (MNI) space. Spatial transformation derived from this segmentation was then applied to the realigned EPIs for normalization and re-sampled in 2×2×2 mm</w:t>
      </w:r>
      <w:r w:rsidRPr="00290267">
        <w:rPr>
          <w:rFonts w:ascii="Times New Roman" w:eastAsia="Calibri" w:hAnsi="Times New Roman" w:cs="Times New Roman"/>
          <w:color w:val="000000" w:themeColor="text1"/>
          <w:vertAlign w:val="superscript"/>
          <w:lang w:val="en-GB"/>
        </w:rPr>
        <w:t>3</w:t>
      </w:r>
      <w:r w:rsidRPr="00290267">
        <w:rPr>
          <w:rFonts w:ascii="Times New Roman" w:eastAsia="Calibri" w:hAnsi="Times New Roman" w:cs="Times New Roman"/>
          <w:color w:val="000000" w:themeColor="text1"/>
          <w:lang w:val="en-GB"/>
        </w:rPr>
        <w:t xml:space="preserve"> voxels using trilinear interpolation in space. All functional volumes were then spatially smoothed with a 6-mm full-width half-maximum isotropic Gaussian kernel (FWHM).</w:t>
      </w:r>
    </w:p>
    <w:p w:rsidR="00922B7D" w:rsidRDefault="006A1B85" w:rsidP="006A1B85">
      <w:pPr>
        <w:spacing w:line="480" w:lineRule="auto"/>
        <w:ind w:firstLine="708"/>
        <w:contextualSpacing/>
        <w:jc w:val="both"/>
        <w:rPr>
          <w:rFonts w:ascii="Times New Roman" w:eastAsia="Calibri" w:hAnsi="Times New Roman" w:cs="Times New Roman"/>
          <w:color w:val="000000" w:themeColor="text1"/>
          <w:lang w:val="en-GB"/>
        </w:rPr>
      </w:pPr>
      <w:r w:rsidRPr="00290267">
        <w:rPr>
          <w:rFonts w:ascii="Times New Roman" w:eastAsia="Calibri" w:hAnsi="Times New Roman" w:cs="Times New Roman"/>
          <w:color w:val="000000" w:themeColor="text1"/>
          <w:lang w:val="en-GB"/>
        </w:rPr>
        <w:t xml:space="preserve">The statistical significance of the estimated evoked hemodynamic response (HRF) was assessed using </w:t>
      </w:r>
      <w:r w:rsidRPr="00290267">
        <w:rPr>
          <w:rFonts w:ascii="Times New Roman" w:eastAsia="Calibri" w:hAnsi="Times New Roman" w:cs="Times New Roman"/>
          <w:i/>
          <w:color w:val="000000" w:themeColor="text1"/>
          <w:lang w:val="en-GB"/>
        </w:rPr>
        <w:t>t</w:t>
      </w:r>
      <w:r w:rsidRPr="00290267">
        <w:rPr>
          <w:rFonts w:ascii="Times New Roman" w:eastAsia="Calibri" w:hAnsi="Times New Roman" w:cs="Times New Roman"/>
          <w:color w:val="000000" w:themeColor="text1"/>
          <w:lang w:val="en-GB"/>
        </w:rPr>
        <w:t xml:space="preserve">-statistic in the context of a General Linear Model (GLM). At first-level, the model combined the two action observation runs, modelling three predictors corresponding to experimental condition, control condition and response to catch-trials (MAN_OBS, MOV_OBS, and Response), six predictors obtained from the motion correction in the realignment process to account for voxel intensity variations caused by head-movement, and one constant regressor per run. All predictors, except for </w:t>
      </w:r>
      <w:r w:rsidRPr="00290267">
        <w:rPr>
          <w:rFonts w:ascii="Times New Roman" w:eastAsia="Calibri" w:hAnsi="Times New Roman" w:cs="Times New Roman"/>
          <w:i/>
          <w:color w:val="000000" w:themeColor="text1"/>
          <w:lang w:val="en-GB"/>
        </w:rPr>
        <w:t>Response</w:t>
      </w:r>
      <w:r w:rsidRPr="00290267">
        <w:rPr>
          <w:rFonts w:ascii="Times New Roman" w:eastAsia="Calibri" w:hAnsi="Times New Roman" w:cs="Times New Roman"/>
          <w:color w:val="000000" w:themeColor="text1"/>
          <w:lang w:val="en-GB"/>
        </w:rPr>
        <w:t xml:space="preserve">, included the 5 consecutive videos, which were modelled as one single epoch lasting 15 s. Catch-trials were modelled as consecutive blocks, lasting 15 s each, including the effective response time (3 s) and a signal-denoising </w:t>
      </w:r>
      <w:r w:rsidRPr="00290267">
        <w:rPr>
          <w:rFonts w:ascii="Times New Roman" w:eastAsia="Calibri" w:hAnsi="Times New Roman" w:cs="Times New Roman"/>
          <w:color w:val="000000" w:themeColor="text1"/>
          <w:lang w:val="en-GB"/>
        </w:rPr>
        <w:lastRenderedPageBreak/>
        <w:t xml:space="preserve">period (12 s) to separate the motor component from subsequent processing. Contrasts derived from parameter estimates were calculated and entered into a flexible factorial within-subjects analysis of variance (ANOVA). Specific effects were tested using </w:t>
      </w:r>
      <w:r w:rsidRPr="00290267">
        <w:rPr>
          <w:rFonts w:ascii="Times New Roman" w:eastAsia="Calibri" w:hAnsi="Times New Roman" w:cs="Times New Roman"/>
          <w:i/>
          <w:color w:val="000000" w:themeColor="text1"/>
          <w:lang w:val="en-GB"/>
        </w:rPr>
        <w:t>t</w:t>
      </w:r>
      <w:r w:rsidRPr="00290267">
        <w:rPr>
          <w:rFonts w:ascii="Times New Roman" w:eastAsia="Calibri" w:hAnsi="Times New Roman" w:cs="Times New Roman"/>
          <w:color w:val="000000" w:themeColor="text1"/>
          <w:lang w:val="en-GB"/>
        </w:rPr>
        <w:t xml:space="preserve"> statistical parametric maps (</w:t>
      </w:r>
      <w:proofErr w:type="spellStart"/>
      <w:r w:rsidRPr="00290267">
        <w:rPr>
          <w:rFonts w:ascii="Times New Roman" w:eastAsia="Calibri" w:hAnsi="Times New Roman" w:cs="Times New Roman"/>
          <w:color w:val="000000" w:themeColor="text1"/>
          <w:lang w:val="en-GB"/>
        </w:rPr>
        <w:t>SPMt</w:t>
      </w:r>
      <w:proofErr w:type="spellEnd"/>
      <w:r w:rsidRPr="00290267">
        <w:rPr>
          <w:rFonts w:ascii="Times New Roman" w:eastAsia="Calibri" w:hAnsi="Times New Roman" w:cs="Times New Roman"/>
          <w:color w:val="000000" w:themeColor="text1"/>
          <w:lang w:val="en-GB"/>
        </w:rPr>
        <w:t>), with degrees of freedom corrected for non-sphericity at each voxel</w:t>
      </w:r>
      <w:r w:rsidR="00216576">
        <w:rPr>
          <w:rFonts w:ascii="Times New Roman" w:hAnsi="Times New Roman" w:cs="Times New Roman"/>
          <w:noProof/>
          <w:color w:val="000000" w:themeColor="text1"/>
          <w:lang w:val="en-GB"/>
        </w:rPr>
        <w:fldChar w:fldCharType="begin" w:fldLock="1"/>
      </w:r>
      <w:r w:rsidR="00216576">
        <w:rPr>
          <w:rFonts w:ascii="Times New Roman" w:hAnsi="Times New Roman" w:cs="Times New Roman"/>
          <w:noProof/>
          <w:color w:val="000000" w:themeColor="text1"/>
          <w:lang w:val="en-GB"/>
        </w:rPr>
        <w:instrText>ADDIN CSL_CITATION {"citationItems":[{"id":"ITEM-1","itemData":{"DOI":"10.1006/nimg.2002.1091","ISSN":"10538119","abstract":"In Friston et al. ((2002) Neuroimage 16: 465-483) we introduced empirical Bayes as a potentially useful way to estimate and make inferences about effects in hierarchical models. In this paper we present a series of models that exemplify the diversity of problems that can be addressed within this framework. In hierarchical linear observation models, both classical and empirical Bayesian approaches can be framed in terms of covariance component estimation (e.g., variance partitioning). To illustrate the use of the expectation-maximization (EM) algorithm in covariance component estimation we focus first on two important problems in fMRI: nonsphericity induced by (i) serial or temporal correlations among errors and (ii) variance components caused by the hierarchical nature of multisubject studies. In hierarchical observation models, variance components at higher levels can be used as constraints on the parameter estimates of lower levels. This enables the use of parametric empirical Bayesian (PEB) estimators, as distinct from classical maximum likelihood (ML) estimates. We develop this distinction to address: (i) The difference between response estimates based on ML and the conditional means from a Bayesian approach and the implications for estimates of intersubject variability. (ii) The relationship between fixed- and random-effect analyses. (iii) The specificity and sensitivity of Bayesian inference and, finally, (iv) the relative importance of the number of scans and subjects. The forgoing is concerned with within- and between-subject variability in multisubject hierarchical fMRI studies. In the second half of this paper we turn to Bayesian inference at the first (within-voxel) level, using PET data to show how priors can be derived from the (between-voxel) distribution of activations over the brain. This application uses exactly the same ideas and formalism but, in this instance, the second level is provided by observations over voxels as opposed to subjects. The ensuing posterior probability maps (PPMs) have enhanced anatomical precision and greater face validity, in relation to underlying anatomy. Furthermore, in comparison to conventional SPMs they are not confounded by the multiple comparison problem that, in a classical context, dictates high thresholds and low sensitivity. We conclude with some general comments on Bayesian approaches to image analysis and on some unresolved issues. © 2002 Elsevier Science (USA).","author":[{"dropping-particle":"","family":"Friston","given":"K. J.","non-dropping-particle":"","parse-names":false,"suffix":""},{"dropping-particle":"","family":"Glaser","given":"D. E.","non-dropping-particle":"","parse-names":false,"suffix":""},{"dropping-particle":"","family":"Henson","given":"R. N.A.","non-dropping-particle":"","parse-names":false,"suffix":""},{"dropping-particle":"","family":"Kiebel","given":"S.","non-dropping-particle":"","parse-names":false,"suffix":""},{"dropping-particle":"","family":"Phillips","given":"C.","non-dropping-particle":"","parse-names":false,"suffix":""},{"dropping-particle":"","family":"Ashburner","given":"J.","non-dropping-particle":"","parse-names":false,"suffix":""}],"container-title":"NeuroImage","id":"ITEM-1","issue":"2","issued":{"date-parts":[["2002","6"]]},"page":"484-512","publisher":"Academic Press Inc.","title":"Classical and Bayesian inference in neuroimaging: Applications","type":"article-journal","volume":"16"},"uris":["http://www.mendeley.com/documents/?uuid=b1a53669-61ff-3e3e-a15e-28ce2beb9bd0"]}],"mendeley":{"formattedCitation":"&lt;sup&gt;1&lt;/sup&gt;","plainTextFormattedCitation":"1","previouslyFormattedCitation":"&lt;sup&gt;1&lt;/sup&gt;"},"properties":{"noteIndex":0},"schema":"https://github.com/citation-style-language/schema/raw/master/csl-citation.json"}</w:instrText>
      </w:r>
      <w:r w:rsidR="00216576">
        <w:rPr>
          <w:rFonts w:ascii="Times New Roman" w:hAnsi="Times New Roman" w:cs="Times New Roman"/>
          <w:noProof/>
          <w:color w:val="000000" w:themeColor="text1"/>
          <w:lang w:val="en-GB"/>
        </w:rPr>
        <w:fldChar w:fldCharType="separate"/>
      </w:r>
      <w:r w:rsidR="00216576" w:rsidRPr="00216576">
        <w:rPr>
          <w:rFonts w:ascii="Times New Roman" w:hAnsi="Times New Roman" w:cs="Times New Roman"/>
          <w:noProof/>
          <w:color w:val="000000" w:themeColor="text1"/>
          <w:vertAlign w:val="superscript"/>
          <w:lang w:val="en-GB"/>
        </w:rPr>
        <w:t>1</w:t>
      </w:r>
      <w:r w:rsidR="00216576">
        <w:rPr>
          <w:rFonts w:ascii="Times New Roman" w:hAnsi="Times New Roman" w:cs="Times New Roman"/>
          <w:noProof/>
          <w:color w:val="000000" w:themeColor="text1"/>
          <w:lang w:val="en-GB"/>
        </w:rPr>
        <w:fldChar w:fldCharType="end"/>
      </w:r>
      <w:r w:rsidRPr="00290267">
        <w:rPr>
          <w:rFonts w:ascii="Times New Roman" w:eastAsia="Calibri" w:hAnsi="Times New Roman" w:cs="Times New Roman"/>
          <w:color w:val="000000" w:themeColor="text1"/>
          <w:lang w:val="en-GB"/>
        </w:rPr>
        <w:t xml:space="preserve">. Data corresponding to action execution task were analysed using a different GLM model with two predictors (MAN_EXE, MOV_EXE), corresponding to 15 s execution blocks, convolved with the HRF. </w:t>
      </w:r>
    </w:p>
    <w:p w:rsidR="006063DF" w:rsidRPr="007D3DC8" w:rsidRDefault="006063DF" w:rsidP="006063DF">
      <w:pPr>
        <w:spacing w:after="0" w:line="360" w:lineRule="auto"/>
        <w:jc w:val="both"/>
        <w:rPr>
          <w:rFonts w:ascii="Times New Roman" w:hAnsi="Times New Roman" w:cs="Times New Roman"/>
          <w:sz w:val="24"/>
          <w:szCs w:val="24"/>
          <w:lang w:val="en-US"/>
        </w:rPr>
      </w:pPr>
    </w:p>
    <w:p w:rsidR="00216576" w:rsidRPr="002C22B9" w:rsidRDefault="00216576" w:rsidP="00216576">
      <w:pPr>
        <w:widowControl w:val="0"/>
        <w:autoSpaceDE w:val="0"/>
        <w:autoSpaceDN w:val="0"/>
        <w:adjustRightInd w:val="0"/>
        <w:spacing w:line="360" w:lineRule="auto"/>
        <w:ind w:left="640" w:hanging="640"/>
        <w:rPr>
          <w:rFonts w:ascii="Times New Roman" w:hAnsi="Times New Roman" w:cs="Times New Roman"/>
          <w:noProof/>
          <w:lang w:val="en-US"/>
        </w:rPr>
      </w:pPr>
      <w:r w:rsidRPr="002C22B9">
        <w:rPr>
          <w:rFonts w:ascii="Times New Roman" w:hAnsi="Times New Roman" w:cs="Times New Roman"/>
          <w:lang w:val="en-GB"/>
        </w:rPr>
        <w:fldChar w:fldCharType="begin" w:fldLock="1"/>
      </w:r>
      <w:r w:rsidRPr="002C22B9">
        <w:rPr>
          <w:rFonts w:ascii="Times New Roman" w:hAnsi="Times New Roman" w:cs="Times New Roman"/>
        </w:rPr>
        <w:instrText xml:space="preserve">ADDIN Mendeley Bibliography CSL_BIBLIOGRAPHY </w:instrText>
      </w:r>
      <w:r w:rsidRPr="002C22B9">
        <w:rPr>
          <w:rFonts w:ascii="Times New Roman" w:hAnsi="Times New Roman" w:cs="Times New Roman"/>
          <w:lang w:val="en-GB"/>
        </w:rPr>
        <w:fldChar w:fldCharType="separate"/>
      </w:r>
      <w:r w:rsidRPr="002C22B9">
        <w:rPr>
          <w:rFonts w:ascii="Times New Roman" w:hAnsi="Times New Roman" w:cs="Times New Roman"/>
          <w:noProof/>
        </w:rPr>
        <w:t>1.</w:t>
      </w:r>
      <w:r w:rsidRPr="002C22B9">
        <w:rPr>
          <w:rFonts w:ascii="Times New Roman" w:hAnsi="Times New Roman" w:cs="Times New Roman"/>
          <w:noProof/>
        </w:rPr>
        <w:tab/>
        <w:t xml:space="preserve">Friston, K. J. </w:t>
      </w:r>
      <w:r w:rsidRPr="002C22B9">
        <w:rPr>
          <w:rFonts w:ascii="Times New Roman" w:hAnsi="Times New Roman" w:cs="Times New Roman"/>
          <w:i/>
          <w:iCs/>
          <w:noProof/>
        </w:rPr>
        <w:t>et al.</w:t>
      </w:r>
      <w:r w:rsidRPr="002C22B9">
        <w:rPr>
          <w:rFonts w:ascii="Times New Roman" w:hAnsi="Times New Roman" w:cs="Times New Roman"/>
          <w:noProof/>
        </w:rPr>
        <w:t xml:space="preserve"> </w:t>
      </w:r>
      <w:r w:rsidRPr="002C22B9">
        <w:rPr>
          <w:rFonts w:ascii="Times New Roman" w:hAnsi="Times New Roman" w:cs="Times New Roman"/>
          <w:noProof/>
          <w:lang w:val="en-US"/>
        </w:rPr>
        <w:t xml:space="preserve">Classical and Bayesian inference in neuroimaging: Applications. </w:t>
      </w:r>
      <w:r w:rsidRPr="002C22B9">
        <w:rPr>
          <w:rFonts w:ascii="Times New Roman" w:hAnsi="Times New Roman" w:cs="Times New Roman"/>
          <w:i/>
          <w:iCs/>
          <w:noProof/>
          <w:lang w:val="en-US"/>
        </w:rPr>
        <w:t>Neuroimage</w:t>
      </w:r>
      <w:r w:rsidRPr="002C22B9">
        <w:rPr>
          <w:rFonts w:ascii="Times New Roman" w:hAnsi="Times New Roman" w:cs="Times New Roman"/>
          <w:noProof/>
          <w:lang w:val="en-US"/>
        </w:rPr>
        <w:t xml:space="preserve"> </w:t>
      </w:r>
      <w:r w:rsidRPr="002C22B9">
        <w:rPr>
          <w:rFonts w:ascii="Times New Roman" w:hAnsi="Times New Roman" w:cs="Times New Roman"/>
          <w:b/>
          <w:bCs/>
          <w:noProof/>
          <w:lang w:val="en-US"/>
        </w:rPr>
        <w:t>16</w:t>
      </w:r>
      <w:r w:rsidRPr="002C22B9">
        <w:rPr>
          <w:rFonts w:ascii="Times New Roman" w:hAnsi="Times New Roman" w:cs="Times New Roman"/>
          <w:noProof/>
          <w:lang w:val="en-US"/>
        </w:rPr>
        <w:t>, 484–512 (2002).</w:t>
      </w:r>
    </w:p>
    <w:p w:rsidR="00F51404" w:rsidRPr="00A43936" w:rsidRDefault="00216576" w:rsidP="00A43936">
      <w:pPr>
        <w:spacing w:line="360" w:lineRule="auto"/>
        <w:jc w:val="both"/>
        <w:rPr>
          <w:rFonts w:ascii="Arial" w:hAnsi="Arial" w:cs="Arial"/>
          <w:lang w:val="en-GB"/>
        </w:rPr>
      </w:pPr>
      <w:r w:rsidRPr="002C22B9">
        <w:rPr>
          <w:rFonts w:ascii="Times New Roman" w:hAnsi="Times New Roman" w:cs="Times New Roman"/>
          <w:lang w:val="en-GB"/>
        </w:rPr>
        <w:fldChar w:fldCharType="end"/>
      </w:r>
    </w:p>
    <w:sectPr w:rsidR="00F51404" w:rsidRPr="00A43936" w:rsidSect="00820DD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3936"/>
    <w:rsid w:val="00216576"/>
    <w:rsid w:val="00290C13"/>
    <w:rsid w:val="002C22B9"/>
    <w:rsid w:val="003D7705"/>
    <w:rsid w:val="005D7F2F"/>
    <w:rsid w:val="006063DF"/>
    <w:rsid w:val="006A1B85"/>
    <w:rsid w:val="006D57B0"/>
    <w:rsid w:val="0070439F"/>
    <w:rsid w:val="007B0E30"/>
    <w:rsid w:val="007E1F12"/>
    <w:rsid w:val="00820DD6"/>
    <w:rsid w:val="00822320"/>
    <w:rsid w:val="00884C33"/>
    <w:rsid w:val="00922B7D"/>
    <w:rsid w:val="00A43936"/>
    <w:rsid w:val="00BD51C2"/>
    <w:rsid w:val="00F514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B1775"/>
  <w15:docId w15:val="{F1EF8238-9F75-F143-B262-3E0EDF57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3936"/>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C22B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C22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6668249">
      <w:bodyDiv w:val="1"/>
      <w:marLeft w:val="0"/>
      <w:marRight w:val="0"/>
      <w:marTop w:val="0"/>
      <w:marBottom w:val="0"/>
      <w:divBdr>
        <w:top w:val="none" w:sz="0" w:space="0" w:color="auto"/>
        <w:left w:val="none" w:sz="0" w:space="0" w:color="auto"/>
        <w:bottom w:val="none" w:sz="0" w:space="0" w:color="auto"/>
        <w:right w:val="none" w:sz="0" w:space="0" w:color="auto"/>
      </w:divBdr>
      <w:divsChild>
        <w:div w:id="110827674">
          <w:marLeft w:val="0"/>
          <w:marRight w:val="0"/>
          <w:marTop w:val="0"/>
          <w:marBottom w:val="0"/>
          <w:divBdr>
            <w:top w:val="none" w:sz="0" w:space="0" w:color="auto"/>
            <w:left w:val="none" w:sz="0" w:space="0" w:color="auto"/>
            <w:bottom w:val="none" w:sz="0" w:space="0" w:color="auto"/>
            <w:right w:val="none" w:sz="0" w:space="0" w:color="auto"/>
          </w:divBdr>
          <w:divsChild>
            <w:div w:id="350839391">
              <w:marLeft w:val="0"/>
              <w:marRight w:val="0"/>
              <w:marTop w:val="0"/>
              <w:marBottom w:val="0"/>
              <w:divBdr>
                <w:top w:val="none" w:sz="0" w:space="0" w:color="auto"/>
                <w:left w:val="none" w:sz="0" w:space="0" w:color="auto"/>
                <w:bottom w:val="none" w:sz="0" w:space="0" w:color="auto"/>
                <w:right w:val="none" w:sz="0" w:space="0" w:color="auto"/>
              </w:divBdr>
              <w:divsChild>
                <w:div w:id="255332644">
                  <w:marLeft w:val="0"/>
                  <w:marRight w:val="0"/>
                  <w:marTop w:val="0"/>
                  <w:marBottom w:val="0"/>
                  <w:divBdr>
                    <w:top w:val="none" w:sz="0" w:space="0" w:color="auto"/>
                    <w:left w:val="none" w:sz="0" w:space="0" w:color="auto"/>
                    <w:bottom w:val="none" w:sz="0" w:space="0" w:color="auto"/>
                    <w:right w:val="none" w:sz="0" w:space="0" w:color="auto"/>
                  </w:divBdr>
                  <w:divsChild>
                    <w:div w:id="16591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558276">
      <w:bodyDiv w:val="1"/>
      <w:marLeft w:val="0"/>
      <w:marRight w:val="0"/>
      <w:marTop w:val="0"/>
      <w:marBottom w:val="0"/>
      <w:divBdr>
        <w:top w:val="none" w:sz="0" w:space="0" w:color="auto"/>
        <w:left w:val="none" w:sz="0" w:space="0" w:color="auto"/>
        <w:bottom w:val="none" w:sz="0" w:space="0" w:color="auto"/>
        <w:right w:val="none" w:sz="0" w:space="0" w:color="auto"/>
      </w:divBdr>
      <w:divsChild>
        <w:div w:id="2011518468">
          <w:marLeft w:val="0"/>
          <w:marRight w:val="0"/>
          <w:marTop w:val="0"/>
          <w:marBottom w:val="0"/>
          <w:divBdr>
            <w:top w:val="none" w:sz="0" w:space="0" w:color="auto"/>
            <w:left w:val="none" w:sz="0" w:space="0" w:color="auto"/>
            <w:bottom w:val="none" w:sz="0" w:space="0" w:color="auto"/>
            <w:right w:val="none" w:sz="0" w:space="0" w:color="auto"/>
          </w:divBdr>
          <w:divsChild>
            <w:div w:id="220603294">
              <w:marLeft w:val="0"/>
              <w:marRight w:val="0"/>
              <w:marTop w:val="0"/>
              <w:marBottom w:val="0"/>
              <w:divBdr>
                <w:top w:val="none" w:sz="0" w:space="0" w:color="auto"/>
                <w:left w:val="none" w:sz="0" w:space="0" w:color="auto"/>
                <w:bottom w:val="none" w:sz="0" w:space="0" w:color="auto"/>
                <w:right w:val="none" w:sz="0" w:space="0" w:color="auto"/>
              </w:divBdr>
              <w:divsChild>
                <w:div w:id="68363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fil.ion.ucl.ac.uk/sp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FC7C6-2A77-9047-BB88-0C601C1B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1288</Words>
  <Characters>7348</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Antonino ERRANTE</dc:creator>
  <cp:keywords/>
  <dc:description/>
  <cp:lastModifiedBy>Antonino Errante</cp:lastModifiedBy>
  <cp:revision>16</cp:revision>
  <dcterms:created xsi:type="dcterms:W3CDTF">2019-09-09T16:09:00Z</dcterms:created>
  <dcterms:modified xsi:type="dcterms:W3CDTF">2020-02-19T15:30:00Z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62c56656-1da5-39cc-b660-469318e4591e</vt:lpwstr>
  </property>
  <property fmtid="{D5CDD505-2E9C-101B-9397-08002B2CF9AE}" pid="24" name="Mendeley Citation Style_1">
    <vt:lpwstr>http://www.zotero.org/styles/nature</vt:lpwstr>
  </property>
</Properties>
</file>