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CA2FD" w14:textId="77777777" w:rsidR="00651253" w:rsidRDefault="00651253" w:rsidP="00651253">
      <w:pPr>
        <w:pStyle w:val="Title"/>
        <w:rPr>
          <w:rFonts w:ascii="Times New Roman" w:hAnsi="Times New Roman"/>
        </w:rPr>
      </w:pPr>
      <w:r w:rsidRPr="000F254E">
        <w:rPr>
          <w:rFonts w:ascii="Times New Roman" w:hAnsi="Times New Roman"/>
        </w:rPr>
        <w:t>Convolutional neural network</w:t>
      </w:r>
      <w:r>
        <w:rPr>
          <w:rFonts w:ascii="Times New Roman" w:hAnsi="Times New Roman"/>
        </w:rPr>
        <w:t xml:space="preserve">s </w:t>
      </w:r>
      <w:r w:rsidRPr="000F254E">
        <w:rPr>
          <w:rFonts w:ascii="Times New Roman" w:hAnsi="Times New Roman"/>
        </w:rPr>
        <w:t xml:space="preserve">improve </w:t>
      </w:r>
      <w:r>
        <w:rPr>
          <w:rFonts w:ascii="Times New Roman" w:hAnsi="Times New Roman"/>
        </w:rPr>
        <w:t xml:space="preserve">fungal </w:t>
      </w:r>
      <w:r w:rsidRPr="000F254E">
        <w:rPr>
          <w:rFonts w:ascii="Times New Roman" w:hAnsi="Times New Roman"/>
        </w:rPr>
        <w:t>classification</w:t>
      </w:r>
    </w:p>
    <w:p w14:paraId="3185D114" w14:textId="77777777" w:rsidR="00651253" w:rsidRPr="000F254E" w:rsidRDefault="00651253" w:rsidP="00651253">
      <w:pPr>
        <w:pStyle w:val="Author-Group"/>
        <w:rPr>
          <w:rFonts w:ascii="Times New Roman" w:hAnsi="Times New Roman"/>
          <w:sz w:val="20"/>
          <w:szCs w:val="20"/>
        </w:rPr>
      </w:pPr>
      <w:r w:rsidRPr="000F254E">
        <w:rPr>
          <w:rFonts w:ascii="Times New Roman" w:hAnsi="Times New Roman"/>
          <w:sz w:val="20"/>
          <w:szCs w:val="20"/>
        </w:rPr>
        <w:t>Duong Vu</w:t>
      </w:r>
      <w:r w:rsidRPr="000F254E">
        <w:rPr>
          <w:rFonts w:ascii="Times New Roman" w:hAnsi="Times New Roman"/>
          <w:sz w:val="20"/>
          <w:szCs w:val="20"/>
          <w:vertAlign w:val="superscript"/>
        </w:rPr>
        <w:t>1,*</w:t>
      </w:r>
    </w:p>
    <w:p w14:paraId="75B2A7D5" w14:textId="77777777" w:rsidR="00651253" w:rsidRDefault="00651253" w:rsidP="00651253">
      <w:pPr>
        <w:pStyle w:val="Author-Affiliation"/>
        <w:rPr>
          <w:rFonts w:ascii="Times New Roman" w:hAnsi="Times New Roman"/>
          <w:sz w:val="20"/>
          <w:szCs w:val="20"/>
        </w:rPr>
      </w:pPr>
      <w:r w:rsidRPr="000F254E">
        <w:rPr>
          <w:rFonts w:ascii="Times New Roman" w:hAnsi="Times New Roman"/>
          <w:sz w:val="20"/>
          <w:szCs w:val="20"/>
          <w:vertAlign w:val="superscript"/>
        </w:rPr>
        <w:t>1</w:t>
      </w:r>
      <w:r w:rsidRPr="000F254E">
        <w:rPr>
          <w:rFonts w:ascii="Times New Roman" w:hAnsi="Times New Roman"/>
          <w:sz w:val="20"/>
          <w:szCs w:val="20"/>
        </w:rPr>
        <w:t xml:space="preserve">Westerdijk Fungal Biodiversity Institute, </w:t>
      </w:r>
      <w:proofErr w:type="spellStart"/>
      <w:r w:rsidRPr="000F254E">
        <w:rPr>
          <w:rFonts w:ascii="Times New Roman" w:hAnsi="Times New Roman"/>
          <w:sz w:val="20"/>
          <w:szCs w:val="20"/>
        </w:rPr>
        <w:t>Uppsalalaan</w:t>
      </w:r>
      <w:proofErr w:type="spellEnd"/>
      <w:r w:rsidRPr="000F254E">
        <w:rPr>
          <w:rFonts w:ascii="Times New Roman" w:hAnsi="Times New Roman"/>
          <w:sz w:val="20"/>
          <w:szCs w:val="20"/>
        </w:rPr>
        <w:t xml:space="preserve"> 8, 3584CT Utrecht, The Netherlands</w:t>
      </w:r>
    </w:p>
    <w:p w14:paraId="61DD7FBA" w14:textId="77777777" w:rsidR="00EE4161" w:rsidRPr="00A33D0C" w:rsidRDefault="00EE4161" w:rsidP="00EE4161">
      <w:pPr>
        <w:pStyle w:val="Heading1"/>
        <w:ind w:left="284" w:hanging="284"/>
        <w:rPr>
          <w:rFonts w:ascii="Times New Roman" w:hAnsi="Times New Roman"/>
          <w:sz w:val="24"/>
          <w:szCs w:val="24"/>
        </w:rPr>
      </w:pPr>
      <w:r w:rsidRPr="00A33D0C">
        <w:rPr>
          <w:rFonts w:ascii="Times New Roman" w:hAnsi="Times New Roman"/>
          <w:sz w:val="24"/>
          <w:szCs w:val="24"/>
        </w:rPr>
        <w:t xml:space="preserve">Evaluation on the yeast dataset </w:t>
      </w:r>
    </w:p>
    <w:p w14:paraId="647DC79B" w14:textId="77777777" w:rsidR="006F621B" w:rsidRDefault="00831855">
      <w:pPr>
        <w:rPr>
          <w:rFonts w:ascii="Times New Roman" w:hAnsi="Times New Roman" w:cs="Times New Roman"/>
          <w:sz w:val="20"/>
          <w:szCs w:val="20"/>
          <w:lang w:val="en-US" w:eastAsia="en-US"/>
        </w:rPr>
      </w:pPr>
      <w:r w:rsidRPr="00F85776">
        <w:rPr>
          <w:rFonts w:ascii="Times New Roman" w:hAnsi="Times New Roman" w:cs="Times New Roman"/>
          <w:sz w:val="20"/>
          <w:szCs w:val="20"/>
          <w:lang w:val="en-US" w:eastAsia="en-US"/>
        </w:rPr>
        <w:t>This section</w:t>
      </w:r>
      <w:r w:rsidR="00536F47" w:rsidRPr="00F85776">
        <w:rPr>
          <w:rFonts w:ascii="Times New Roman" w:hAnsi="Times New Roman" w:cs="Times New Roman"/>
          <w:sz w:val="20"/>
          <w:szCs w:val="20"/>
          <w:lang w:val="en-US" w:eastAsia="en-US"/>
        </w:rPr>
        <w:t xml:space="preserve"> provides </w:t>
      </w:r>
      <w:r w:rsidR="00D00535" w:rsidRPr="00F85776">
        <w:rPr>
          <w:rFonts w:ascii="Times New Roman" w:hAnsi="Times New Roman" w:cs="Times New Roman"/>
          <w:sz w:val="20"/>
          <w:szCs w:val="20"/>
          <w:lang w:val="en-US" w:eastAsia="en-US"/>
        </w:rPr>
        <w:t>supporting results</w:t>
      </w:r>
      <w:r w:rsidR="00323982" w:rsidRPr="00F85776">
        <w:rPr>
          <w:rFonts w:ascii="Times New Roman" w:hAnsi="Times New Roman" w:cs="Times New Roman"/>
          <w:sz w:val="20"/>
          <w:szCs w:val="20"/>
          <w:lang w:val="en-US" w:eastAsia="en-US"/>
        </w:rPr>
        <w:t xml:space="preserve"> </w:t>
      </w:r>
      <w:r w:rsidR="003812ED" w:rsidRPr="00F85776">
        <w:rPr>
          <w:rFonts w:ascii="Times New Roman" w:hAnsi="Times New Roman" w:cs="Times New Roman"/>
          <w:sz w:val="20"/>
          <w:szCs w:val="20"/>
          <w:lang w:val="en-US" w:eastAsia="en-US"/>
        </w:rPr>
        <w:t xml:space="preserve">for the performance of CNN, DBN, RDP, and BLAST </w:t>
      </w:r>
      <w:r w:rsidR="00323982" w:rsidRPr="00F85776">
        <w:rPr>
          <w:rFonts w:ascii="Times New Roman" w:hAnsi="Times New Roman" w:cs="Times New Roman"/>
          <w:sz w:val="20"/>
          <w:szCs w:val="20"/>
          <w:lang w:val="en-US" w:eastAsia="en-US"/>
        </w:rPr>
        <w:t>on the yeast dataset.</w:t>
      </w:r>
    </w:p>
    <w:p w14:paraId="6495DA72" w14:textId="21E91508" w:rsidR="00CA0AC4" w:rsidRPr="006F621B" w:rsidRDefault="00A02CBA">
      <w:pPr>
        <w:rPr>
          <w:rFonts w:ascii="Times New Roman" w:hAnsi="Times New Roman" w:cs="Times New Roman"/>
          <w:sz w:val="20"/>
          <w:szCs w:val="20"/>
          <w:lang w:val="en-US" w:eastAsia="en-US"/>
        </w:rPr>
      </w:pPr>
      <w:r>
        <w:rPr>
          <w:rFonts w:ascii="Times New Roman" w:hAnsi="Times New Roman" w:cs="Times New Roman"/>
          <w:noProof/>
          <w:sz w:val="16"/>
        </w:rPr>
        <w:drawing>
          <wp:inline distT="0" distB="0" distL="0" distR="0" wp14:anchorId="05D88E81" wp14:editId="47832FC3">
            <wp:extent cx="5760720" cy="65131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Figure1_yeast_merits_cropped.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6513195"/>
                    </a:xfrm>
                    <a:prstGeom prst="rect">
                      <a:avLst/>
                    </a:prstGeom>
                  </pic:spPr>
                </pic:pic>
              </a:graphicData>
            </a:graphic>
          </wp:inline>
        </w:drawing>
      </w:r>
      <w:r w:rsidR="00217FF2">
        <w:rPr>
          <w:rFonts w:ascii="Times New Roman" w:hAnsi="Times New Roman" w:cs="Times New Roman"/>
          <w:sz w:val="16"/>
        </w:rPr>
        <w:t>Supplementary Figure</w:t>
      </w:r>
      <w:r w:rsidR="00DB1A9A" w:rsidRPr="00DB1A9A">
        <w:rPr>
          <w:rFonts w:ascii="Times New Roman" w:hAnsi="Times New Roman" w:cs="Times New Roman"/>
          <w:sz w:val="16"/>
        </w:rPr>
        <w:t xml:space="preserve"> 1.</w:t>
      </w:r>
      <w:r w:rsidR="003B1AA6">
        <w:rPr>
          <w:rFonts w:ascii="Times New Roman" w:hAnsi="Times New Roman" w:cs="Times New Roman"/>
          <w:sz w:val="16"/>
        </w:rPr>
        <w:t xml:space="preserve"> The accuracy, precision and r</w:t>
      </w:r>
      <w:r w:rsidR="00DB1A9A">
        <w:rPr>
          <w:rFonts w:ascii="Times New Roman" w:hAnsi="Times New Roman" w:cs="Times New Roman"/>
          <w:sz w:val="16"/>
        </w:rPr>
        <w:t xml:space="preserve">ecall scores </w:t>
      </w:r>
      <w:r w:rsidR="00217FF2">
        <w:rPr>
          <w:rFonts w:ascii="Times New Roman" w:hAnsi="Times New Roman" w:cs="Times New Roman"/>
          <w:sz w:val="16"/>
        </w:rPr>
        <w:t xml:space="preserve">of the yeast test datasets </w:t>
      </w:r>
      <w:r w:rsidR="00DB1A9A">
        <w:rPr>
          <w:rFonts w:ascii="Times New Roman" w:hAnsi="Times New Roman" w:cs="Times New Roman"/>
          <w:sz w:val="16"/>
        </w:rPr>
        <w:t>obtained by CNN, DBN, RDP, BLAST at all taxonomic levels</w:t>
      </w:r>
      <w:r w:rsidR="00217FF2">
        <w:rPr>
          <w:rFonts w:ascii="Times New Roman" w:hAnsi="Times New Roman" w:cs="Times New Roman"/>
          <w:sz w:val="16"/>
        </w:rPr>
        <w:t xml:space="preserve"> with </w:t>
      </w:r>
      <w:r w:rsidR="00217FF2" w:rsidRPr="00217FF2">
        <w:rPr>
          <w:rFonts w:ascii="Times New Roman" w:hAnsi="Times New Roman" w:cs="Times New Roman"/>
          <w:i/>
          <w:sz w:val="16"/>
        </w:rPr>
        <w:t>k</w:t>
      </w:r>
      <w:r w:rsidR="00217FF2">
        <w:rPr>
          <w:rFonts w:ascii="Times New Roman" w:hAnsi="Times New Roman" w:cs="Times New Roman"/>
          <w:sz w:val="16"/>
        </w:rPr>
        <w:t>=4, 6, 8</w:t>
      </w:r>
      <w:r w:rsidR="00DB1A9A">
        <w:rPr>
          <w:rFonts w:ascii="Times New Roman" w:hAnsi="Times New Roman" w:cs="Times New Roman"/>
          <w:sz w:val="16"/>
        </w:rPr>
        <w:t>.</w:t>
      </w:r>
    </w:p>
    <w:p w14:paraId="63EA3A34" w14:textId="77777777" w:rsidR="00F51DA5" w:rsidRDefault="00F51DA5">
      <w:pPr>
        <w:rPr>
          <w:rFonts w:ascii="Times New Roman" w:hAnsi="Times New Roman" w:cs="Times New Roman"/>
          <w:sz w:val="16"/>
        </w:rPr>
      </w:pPr>
    </w:p>
    <w:p w14:paraId="294C6380" w14:textId="1A952594" w:rsidR="003F607C" w:rsidRDefault="00363FCB" w:rsidP="003F607C">
      <w:pPr>
        <w:rPr>
          <w:rFonts w:ascii="Times New Roman" w:hAnsi="Times New Roman" w:cs="Times New Roman"/>
          <w:sz w:val="16"/>
        </w:rPr>
      </w:pPr>
      <w:r>
        <w:rPr>
          <w:rFonts w:ascii="Times New Roman" w:hAnsi="Times New Roman" w:cs="Times New Roman"/>
          <w:noProof/>
          <w:sz w:val="16"/>
        </w:rPr>
        <w:lastRenderedPageBreak/>
        <w:drawing>
          <wp:inline distT="0" distB="0" distL="0" distR="0" wp14:anchorId="66CF51DD" wp14:editId="7116B5CB">
            <wp:extent cx="5373624" cy="479145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Figure2_confusionmatrix_yeast_order_cropped.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3624" cy="4791456"/>
                    </a:xfrm>
                    <a:prstGeom prst="rect">
                      <a:avLst/>
                    </a:prstGeom>
                  </pic:spPr>
                </pic:pic>
              </a:graphicData>
            </a:graphic>
          </wp:inline>
        </w:drawing>
      </w:r>
      <w:r w:rsidR="003804CD">
        <w:rPr>
          <w:rFonts w:ascii="Times New Roman" w:hAnsi="Times New Roman" w:cs="Times New Roman"/>
          <w:sz w:val="16"/>
        </w:rPr>
        <w:t>Supplementary Figure 2</w:t>
      </w:r>
      <w:r w:rsidR="003F607C">
        <w:rPr>
          <w:rFonts w:ascii="Times New Roman" w:hAnsi="Times New Roman" w:cs="Times New Roman"/>
          <w:sz w:val="16"/>
        </w:rPr>
        <w:t>. The confusion matrices obtained by all classifiers at the order level</w:t>
      </w:r>
      <w:r w:rsidR="00B73965">
        <w:rPr>
          <w:rFonts w:ascii="Times New Roman" w:hAnsi="Times New Roman" w:cs="Times New Roman"/>
          <w:sz w:val="16"/>
        </w:rPr>
        <w:t xml:space="preserve"> on the yeast dataset</w:t>
      </w:r>
      <w:r w:rsidR="00B27C49">
        <w:rPr>
          <w:rFonts w:ascii="Times New Roman" w:hAnsi="Times New Roman" w:cs="Times New Roman"/>
          <w:sz w:val="16"/>
        </w:rPr>
        <w:t xml:space="preserve"> with </w:t>
      </w:r>
      <w:r w:rsidR="00B27C49" w:rsidRPr="00B27C49">
        <w:rPr>
          <w:rFonts w:ascii="Times New Roman" w:hAnsi="Times New Roman" w:cs="Times New Roman"/>
          <w:i/>
          <w:sz w:val="16"/>
        </w:rPr>
        <w:t>k</w:t>
      </w:r>
      <w:r w:rsidR="00B27C49">
        <w:rPr>
          <w:rFonts w:ascii="Times New Roman" w:hAnsi="Times New Roman" w:cs="Times New Roman"/>
          <w:sz w:val="16"/>
        </w:rPr>
        <w:t>=6</w:t>
      </w:r>
      <w:r w:rsidR="003F607C">
        <w:rPr>
          <w:rFonts w:ascii="Times New Roman" w:hAnsi="Times New Roman" w:cs="Times New Roman"/>
          <w:sz w:val="16"/>
        </w:rPr>
        <w:t>.</w:t>
      </w:r>
    </w:p>
    <w:p w14:paraId="65B2C1A3" w14:textId="63B86F44" w:rsidR="00EB633F" w:rsidRDefault="00363FCB">
      <w:pPr>
        <w:rPr>
          <w:rFonts w:ascii="Times New Roman" w:hAnsi="Times New Roman" w:cs="Times New Roman"/>
          <w:sz w:val="16"/>
        </w:rPr>
      </w:pPr>
      <w:r>
        <w:rPr>
          <w:rFonts w:ascii="Times New Roman" w:hAnsi="Times New Roman" w:cs="Times New Roman"/>
          <w:noProof/>
          <w:sz w:val="16"/>
        </w:rPr>
        <w:lastRenderedPageBreak/>
        <w:drawing>
          <wp:inline distT="0" distB="0" distL="0" distR="0" wp14:anchorId="359181A9" wp14:editId="525A1A09">
            <wp:extent cx="5760720" cy="51238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Figure3_confusionmatrix_yeast_family_cropped.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5123815"/>
                    </a:xfrm>
                    <a:prstGeom prst="rect">
                      <a:avLst/>
                    </a:prstGeom>
                  </pic:spPr>
                </pic:pic>
              </a:graphicData>
            </a:graphic>
          </wp:inline>
        </w:drawing>
      </w:r>
      <w:r w:rsidR="003804CD">
        <w:rPr>
          <w:rFonts w:ascii="Times New Roman" w:hAnsi="Times New Roman" w:cs="Times New Roman"/>
          <w:sz w:val="16"/>
        </w:rPr>
        <w:t>Supplementary Figure 3</w:t>
      </w:r>
      <w:r w:rsidR="004068A4">
        <w:rPr>
          <w:rFonts w:ascii="Times New Roman" w:hAnsi="Times New Roman" w:cs="Times New Roman"/>
          <w:sz w:val="16"/>
        </w:rPr>
        <w:t>. The confusion matrices obtained by all classifiers at the family level</w:t>
      </w:r>
      <w:r w:rsidR="003D1808">
        <w:rPr>
          <w:rFonts w:ascii="Times New Roman" w:hAnsi="Times New Roman" w:cs="Times New Roman"/>
          <w:sz w:val="16"/>
        </w:rPr>
        <w:t xml:space="preserve"> on the yeast dataset</w:t>
      </w:r>
      <w:r w:rsidR="00B27C49">
        <w:rPr>
          <w:rFonts w:ascii="Times New Roman" w:hAnsi="Times New Roman" w:cs="Times New Roman"/>
          <w:sz w:val="16"/>
        </w:rPr>
        <w:t xml:space="preserve"> with </w:t>
      </w:r>
      <w:r w:rsidR="00B27C49" w:rsidRPr="00B27C49">
        <w:rPr>
          <w:rFonts w:ascii="Times New Roman" w:hAnsi="Times New Roman" w:cs="Times New Roman"/>
          <w:i/>
          <w:sz w:val="16"/>
        </w:rPr>
        <w:t>k</w:t>
      </w:r>
      <w:r w:rsidR="00B27C49">
        <w:rPr>
          <w:rFonts w:ascii="Times New Roman" w:hAnsi="Times New Roman" w:cs="Times New Roman"/>
          <w:sz w:val="16"/>
        </w:rPr>
        <w:t>=6</w:t>
      </w:r>
      <w:r w:rsidR="004068A4">
        <w:rPr>
          <w:rFonts w:ascii="Times New Roman" w:hAnsi="Times New Roman" w:cs="Times New Roman"/>
          <w:sz w:val="16"/>
        </w:rPr>
        <w:t>.</w:t>
      </w:r>
    </w:p>
    <w:p w14:paraId="15BB8207" w14:textId="76BE53BE" w:rsidR="003804CD" w:rsidRDefault="00363FCB">
      <w:pPr>
        <w:rPr>
          <w:rFonts w:ascii="Times New Roman" w:hAnsi="Times New Roman" w:cs="Times New Roman"/>
          <w:sz w:val="16"/>
        </w:rPr>
      </w:pPr>
      <w:r>
        <w:rPr>
          <w:rFonts w:ascii="Times New Roman" w:hAnsi="Times New Roman" w:cs="Times New Roman"/>
          <w:noProof/>
          <w:sz w:val="16"/>
        </w:rPr>
        <w:lastRenderedPageBreak/>
        <w:drawing>
          <wp:inline distT="0" distB="0" distL="0" distR="0" wp14:anchorId="7E9F8B64" wp14:editId="25B0DE21">
            <wp:extent cx="5711952" cy="7708392"/>
            <wp:effectExtent l="0" t="0" r="317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Figure4_classificationresults_yeast_class_order_family_cropped.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1952" cy="7708392"/>
                    </a:xfrm>
                    <a:prstGeom prst="rect">
                      <a:avLst/>
                    </a:prstGeom>
                  </pic:spPr>
                </pic:pic>
              </a:graphicData>
            </a:graphic>
          </wp:inline>
        </w:drawing>
      </w:r>
    </w:p>
    <w:p w14:paraId="55780B07" w14:textId="77777777" w:rsidR="00EB633F" w:rsidRDefault="00C51CF0">
      <w:pPr>
        <w:rPr>
          <w:rFonts w:ascii="Times New Roman" w:hAnsi="Times New Roman" w:cs="Times New Roman"/>
          <w:sz w:val="16"/>
        </w:rPr>
      </w:pPr>
      <w:r>
        <w:rPr>
          <w:rFonts w:ascii="Times New Roman" w:hAnsi="Times New Roman" w:cs="Times New Roman"/>
          <w:sz w:val="16"/>
        </w:rPr>
        <w:t>Supplementary Figure 4. The recall, p</w:t>
      </w:r>
      <w:r w:rsidR="003804CD">
        <w:rPr>
          <w:rFonts w:ascii="Times New Roman" w:hAnsi="Times New Roman" w:cs="Times New Roman"/>
          <w:sz w:val="16"/>
        </w:rPr>
        <w:t xml:space="preserve">recision, and </w:t>
      </w:r>
      <w:r w:rsidR="003804CD" w:rsidRPr="00EB633F">
        <w:rPr>
          <w:rFonts w:ascii="Times New Roman" w:hAnsi="Times New Roman" w:cs="Times New Roman"/>
          <w:i/>
          <w:sz w:val="16"/>
        </w:rPr>
        <w:t>F</w:t>
      </w:r>
      <w:r>
        <w:rPr>
          <w:rFonts w:ascii="Times New Roman" w:hAnsi="Times New Roman" w:cs="Times New Roman"/>
          <w:i/>
          <w:sz w:val="16"/>
        </w:rPr>
        <w:t>-</w:t>
      </w:r>
      <w:r w:rsidR="003804CD">
        <w:rPr>
          <w:rFonts w:ascii="Times New Roman" w:hAnsi="Times New Roman" w:cs="Times New Roman"/>
          <w:sz w:val="16"/>
        </w:rPr>
        <w:t xml:space="preserve">scores </w:t>
      </w:r>
      <w:r w:rsidR="00967EF9">
        <w:rPr>
          <w:rFonts w:ascii="Times New Roman" w:hAnsi="Times New Roman" w:cs="Times New Roman"/>
          <w:sz w:val="16"/>
        </w:rPr>
        <w:t xml:space="preserve">together with the number of the sequences (on the secondary axis) </w:t>
      </w:r>
      <w:r w:rsidR="003804CD">
        <w:rPr>
          <w:rFonts w:ascii="Times New Roman" w:hAnsi="Times New Roman" w:cs="Times New Roman"/>
          <w:sz w:val="16"/>
        </w:rPr>
        <w:t xml:space="preserve">of each taxon name obtained by all classifiers at the family, order and class levels on the yeast dataset with </w:t>
      </w:r>
      <w:r w:rsidR="003804CD" w:rsidRPr="003804CD">
        <w:rPr>
          <w:rFonts w:ascii="Times New Roman" w:hAnsi="Times New Roman" w:cs="Times New Roman"/>
          <w:i/>
          <w:sz w:val="16"/>
        </w:rPr>
        <w:t>k</w:t>
      </w:r>
      <w:r w:rsidR="003804CD">
        <w:rPr>
          <w:rFonts w:ascii="Times New Roman" w:hAnsi="Times New Roman" w:cs="Times New Roman"/>
          <w:sz w:val="16"/>
        </w:rPr>
        <w:t>=6.</w:t>
      </w:r>
    </w:p>
    <w:p w14:paraId="794BE621" w14:textId="77777777" w:rsidR="00EB633F" w:rsidRDefault="00EB633F">
      <w:pPr>
        <w:rPr>
          <w:rFonts w:ascii="Times New Roman" w:hAnsi="Times New Roman" w:cs="Times New Roman"/>
          <w:sz w:val="16"/>
        </w:rPr>
      </w:pPr>
    </w:p>
    <w:p w14:paraId="6FC870FA" w14:textId="58393D3F" w:rsidR="003804CD" w:rsidRDefault="00363FCB" w:rsidP="00EB633F">
      <w:pPr>
        <w:rPr>
          <w:rFonts w:ascii="Times New Roman" w:hAnsi="Times New Roman" w:cs="Times New Roman"/>
          <w:sz w:val="16"/>
        </w:rPr>
      </w:pPr>
      <w:r>
        <w:rPr>
          <w:rFonts w:ascii="Times New Roman" w:hAnsi="Times New Roman" w:cs="Times New Roman"/>
          <w:noProof/>
          <w:sz w:val="16"/>
        </w:rPr>
        <w:lastRenderedPageBreak/>
        <w:drawing>
          <wp:inline distT="0" distB="0" distL="0" distR="0" wp14:anchorId="26EF729B" wp14:editId="14191B32">
            <wp:extent cx="5748528" cy="6013704"/>
            <wp:effectExtent l="0" t="0" r="508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Figure5_proba_cropped.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8528" cy="6013704"/>
                    </a:xfrm>
                    <a:prstGeom prst="rect">
                      <a:avLst/>
                    </a:prstGeom>
                  </pic:spPr>
                </pic:pic>
              </a:graphicData>
            </a:graphic>
          </wp:inline>
        </w:drawing>
      </w:r>
    </w:p>
    <w:p w14:paraId="77A323B9" w14:textId="77777777" w:rsidR="00FC7840" w:rsidRPr="000F254E" w:rsidRDefault="00FC7840" w:rsidP="00FC7840">
      <w:pPr>
        <w:jc w:val="both"/>
        <w:rPr>
          <w:rFonts w:ascii="Times New Roman" w:hAnsi="Times New Roman" w:cs="Times New Roman"/>
          <w:sz w:val="16"/>
          <w:szCs w:val="16"/>
        </w:rPr>
      </w:pPr>
      <w:r>
        <w:rPr>
          <w:rFonts w:ascii="Times New Roman" w:hAnsi="Times New Roman" w:cs="Times New Roman"/>
          <w:sz w:val="16"/>
        </w:rPr>
        <w:t xml:space="preserve">Supplementary </w:t>
      </w:r>
      <w:r w:rsidRPr="000F254E">
        <w:rPr>
          <w:rFonts w:ascii="Times New Roman" w:hAnsi="Times New Roman" w:cs="Times New Roman"/>
          <w:sz w:val="16"/>
          <w:szCs w:val="16"/>
        </w:rPr>
        <w:t xml:space="preserve">Figure </w:t>
      </w:r>
      <w:r>
        <w:rPr>
          <w:rFonts w:ascii="Times New Roman" w:hAnsi="Times New Roman" w:cs="Times New Roman"/>
          <w:sz w:val="16"/>
          <w:szCs w:val="16"/>
        </w:rPr>
        <w:t>5</w:t>
      </w:r>
      <w:r w:rsidRPr="000F254E">
        <w:rPr>
          <w:rFonts w:ascii="Times New Roman" w:hAnsi="Times New Roman" w:cs="Times New Roman"/>
          <w:sz w:val="16"/>
          <w:szCs w:val="16"/>
        </w:rPr>
        <w:t xml:space="preserve">. The numbers of true and false predictions of the intervals </w:t>
      </w:r>
      <m:oMath>
        <m:d>
          <m:dPr>
            <m:begChr m:val="["/>
            <m:endChr m:val="]"/>
            <m:ctrlPr>
              <w:rPr>
                <w:rFonts w:ascii="Cambria Math" w:hAnsi="Cambria Math" w:cs="Times New Roman"/>
                <w:i/>
                <w:sz w:val="16"/>
                <w:szCs w:val="16"/>
              </w:rPr>
            </m:ctrlPr>
          </m:dPr>
          <m:e>
            <m:r>
              <w:rPr>
                <w:rFonts w:ascii="Cambria Math" w:hAnsi="Cambria Math" w:cs="Times New Roman"/>
                <w:sz w:val="16"/>
                <w:szCs w:val="16"/>
              </w:rPr>
              <m:t>i/100,(i+1)/100</m:t>
            </m:r>
          </m:e>
        </m:d>
      </m:oMath>
      <w:r w:rsidRPr="000F254E">
        <w:rPr>
          <w:rFonts w:ascii="Times New Roman" w:hAnsi="Times New Roman" w:cs="Times New Roman"/>
          <w:sz w:val="16"/>
          <w:szCs w:val="16"/>
        </w:rPr>
        <w:t xml:space="preserve"> with </w:t>
      </w:r>
      <m:oMath>
        <m:r>
          <w:rPr>
            <w:rFonts w:ascii="Cambria Math" w:hAnsi="Cambria Math" w:cs="Times New Roman"/>
            <w:sz w:val="16"/>
            <w:szCs w:val="16"/>
          </w:rPr>
          <m:t>95≤</m:t>
        </m:r>
      </m:oMath>
      <w:r w:rsidRPr="000F254E">
        <w:rPr>
          <w:rFonts w:ascii="Times New Roman" w:hAnsi="Times New Roman" w:cs="Times New Roman"/>
          <w:i/>
          <w:sz w:val="16"/>
          <w:szCs w:val="16"/>
        </w:rPr>
        <w:t>i</w:t>
      </w:r>
      <m:oMath>
        <m:r>
          <w:rPr>
            <w:rFonts w:ascii="Cambria Math" w:hAnsi="Cambria Math" w:cs="Times New Roman"/>
            <w:sz w:val="16"/>
            <w:szCs w:val="16"/>
          </w:rPr>
          <m:t>≤100</m:t>
        </m:r>
      </m:oMath>
      <w:r w:rsidRPr="000F254E">
        <w:rPr>
          <w:rFonts w:ascii="Times New Roman" w:hAnsi="Times New Roman" w:cs="Times New Roman"/>
          <w:sz w:val="16"/>
          <w:szCs w:val="16"/>
        </w:rPr>
        <w:t>, obtained by the CNN and DBN classifiers.</w:t>
      </w:r>
    </w:p>
    <w:p w14:paraId="489E689E" w14:textId="77777777" w:rsidR="00FC7840" w:rsidRDefault="00FC7840" w:rsidP="00EB633F">
      <w:pPr>
        <w:rPr>
          <w:rFonts w:ascii="Times New Roman" w:hAnsi="Times New Roman" w:cs="Times New Roman"/>
          <w:sz w:val="16"/>
        </w:rPr>
      </w:pPr>
    </w:p>
    <w:p w14:paraId="00204B58" w14:textId="77777777" w:rsidR="00FC7840" w:rsidRDefault="00FC7840" w:rsidP="00EB633F">
      <w:pPr>
        <w:rPr>
          <w:rFonts w:ascii="Times New Roman" w:hAnsi="Times New Roman" w:cs="Times New Roman"/>
          <w:sz w:val="16"/>
        </w:rPr>
      </w:pPr>
    </w:p>
    <w:p w14:paraId="71F72F8E" w14:textId="77777777" w:rsidR="00FC7840" w:rsidRDefault="00FC7840" w:rsidP="00EB633F">
      <w:pPr>
        <w:rPr>
          <w:rFonts w:ascii="Times New Roman" w:hAnsi="Times New Roman" w:cs="Times New Roman"/>
          <w:sz w:val="16"/>
        </w:rPr>
      </w:pPr>
    </w:p>
    <w:p w14:paraId="32E84A75" w14:textId="77777777" w:rsidR="00FC7840" w:rsidRDefault="00FC7840" w:rsidP="00EB633F">
      <w:pPr>
        <w:rPr>
          <w:rFonts w:ascii="Times New Roman" w:hAnsi="Times New Roman" w:cs="Times New Roman"/>
          <w:sz w:val="16"/>
        </w:rPr>
      </w:pPr>
    </w:p>
    <w:p w14:paraId="147D33B6" w14:textId="77777777" w:rsidR="00FC7840" w:rsidRDefault="00FC7840" w:rsidP="00EB633F">
      <w:pPr>
        <w:rPr>
          <w:rFonts w:ascii="Times New Roman" w:hAnsi="Times New Roman" w:cs="Times New Roman"/>
          <w:sz w:val="16"/>
        </w:rPr>
      </w:pPr>
    </w:p>
    <w:p w14:paraId="2235925A" w14:textId="77777777" w:rsidR="00FC7840" w:rsidRDefault="00FC7840" w:rsidP="00EB633F">
      <w:pPr>
        <w:rPr>
          <w:rFonts w:ascii="Times New Roman" w:hAnsi="Times New Roman" w:cs="Times New Roman"/>
          <w:sz w:val="16"/>
        </w:rPr>
      </w:pPr>
    </w:p>
    <w:p w14:paraId="7C3C5A3D" w14:textId="77777777" w:rsidR="00FC7840" w:rsidRDefault="00FC7840" w:rsidP="00EB633F">
      <w:pPr>
        <w:rPr>
          <w:rFonts w:ascii="Times New Roman" w:hAnsi="Times New Roman" w:cs="Times New Roman"/>
          <w:sz w:val="16"/>
        </w:rPr>
      </w:pPr>
    </w:p>
    <w:p w14:paraId="325EC44E" w14:textId="77777777" w:rsidR="00FC7840" w:rsidRDefault="00FC7840" w:rsidP="00EB633F">
      <w:pPr>
        <w:rPr>
          <w:rFonts w:ascii="Times New Roman" w:hAnsi="Times New Roman" w:cs="Times New Roman"/>
          <w:sz w:val="16"/>
        </w:rPr>
      </w:pPr>
    </w:p>
    <w:p w14:paraId="789DBEC5" w14:textId="77777777" w:rsidR="00FC7840" w:rsidRDefault="00FC7840" w:rsidP="00EB633F">
      <w:pPr>
        <w:rPr>
          <w:rFonts w:ascii="Times New Roman" w:hAnsi="Times New Roman" w:cs="Times New Roman"/>
          <w:sz w:val="16"/>
        </w:rPr>
      </w:pPr>
    </w:p>
    <w:p w14:paraId="56AC94FC" w14:textId="77777777" w:rsidR="00FC7840" w:rsidRDefault="00FC7840" w:rsidP="00EB633F">
      <w:pPr>
        <w:rPr>
          <w:rFonts w:ascii="Times New Roman" w:hAnsi="Times New Roman" w:cs="Times New Roman"/>
          <w:sz w:val="16"/>
        </w:rPr>
      </w:pPr>
    </w:p>
    <w:p w14:paraId="35DC667B" w14:textId="28A73318" w:rsidR="006543B3" w:rsidRDefault="00363FCB" w:rsidP="00EE4161">
      <w:pPr>
        <w:rPr>
          <w:rFonts w:ascii="Times New Roman" w:hAnsi="Times New Roman" w:cs="Times New Roman"/>
          <w:sz w:val="16"/>
          <w:szCs w:val="20"/>
        </w:rPr>
      </w:pPr>
      <w:r>
        <w:rPr>
          <w:rFonts w:ascii="Times New Roman" w:hAnsi="Times New Roman" w:cs="Times New Roman"/>
          <w:noProof/>
          <w:sz w:val="16"/>
        </w:rPr>
        <w:lastRenderedPageBreak/>
        <w:drawing>
          <wp:inline distT="0" distB="0" distL="0" distR="0" wp14:anchorId="315FEFD1" wp14:editId="0021190A">
            <wp:extent cx="5751576" cy="5550408"/>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Figure6_proba_blastscore_cropped.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1576" cy="5550408"/>
                    </a:xfrm>
                    <a:prstGeom prst="rect">
                      <a:avLst/>
                    </a:prstGeom>
                  </pic:spPr>
                </pic:pic>
              </a:graphicData>
            </a:graphic>
          </wp:inline>
        </w:drawing>
      </w:r>
      <w:r w:rsidR="00AD02C5">
        <w:rPr>
          <w:rFonts w:ascii="Times New Roman" w:hAnsi="Times New Roman" w:cs="Times New Roman"/>
          <w:sz w:val="16"/>
        </w:rPr>
        <w:t xml:space="preserve">Supplementary </w:t>
      </w:r>
      <w:r w:rsidR="00AD02C5" w:rsidRPr="000F254E">
        <w:rPr>
          <w:rFonts w:ascii="Times New Roman" w:hAnsi="Times New Roman" w:cs="Times New Roman"/>
          <w:sz w:val="16"/>
          <w:szCs w:val="20"/>
        </w:rPr>
        <w:t xml:space="preserve">Figure </w:t>
      </w:r>
      <w:r w:rsidR="00AD02C5">
        <w:rPr>
          <w:rFonts w:ascii="Times New Roman" w:hAnsi="Times New Roman" w:cs="Times New Roman"/>
          <w:sz w:val="16"/>
          <w:szCs w:val="20"/>
        </w:rPr>
        <w:t>6</w:t>
      </w:r>
      <w:r w:rsidR="00AD02C5" w:rsidRPr="000F254E">
        <w:rPr>
          <w:rFonts w:ascii="Times New Roman" w:hAnsi="Times New Roman" w:cs="Times New Roman"/>
          <w:sz w:val="16"/>
          <w:szCs w:val="20"/>
        </w:rPr>
        <w:t>. The classification probability and BLAST similarity scores of the yeast dataset produced</w:t>
      </w:r>
      <w:r w:rsidR="00EE4161">
        <w:rPr>
          <w:rFonts w:ascii="Times New Roman" w:hAnsi="Times New Roman" w:cs="Times New Roman"/>
          <w:sz w:val="16"/>
          <w:szCs w:val="20"/>
        </w:rPr>
        <w:t xml:space="preserve"> by the CNN and DBN classifiers.</w:t>
      </w:r>
    </w:p>
    <w:p w14:paraId="63545BD7" w14:textId="77777777" w:rsidR="00EE4161" w:rsidRPr="00EE4161" w:rsidRDefault="00EE4161" w:rsidP="00EE4161">
      <w:pPr>
        <w:pStyle w:val="Heading1"/>
        <w:ind w:left="284" w:hanging="284"/>
        <w:rPr>
          <w:rFonts w:ascii="Times New Roman" w:hAnsi="Times New Roman"/>
          <w:sz w:val="24"/>
          <w:szCs w:val="24"/>
        </w:rPr>
      </w:pPr>
      <w:r>
        <w:rPr>
          <w:rFonts w:ascii="Times New Roman" w:hAnsi="Times New Roman"/>
          <w:sz w:val="24"/>
          <w:szCs w:val="24"/>
        </w:rPr>
        <w:t>Evaluation on the mold dataset</w:t>
      </w:r>
      <w:r w:rsidRPr="009A0D51">
        <w:rPr>
          <w:rFonts w:ascii="Times New Roman" w:hAnsi="Times New Roman"/>
          <w:sz w:val="24"/>
          <w:szCs w:val="24"/>
        </w:rPr>
        <w:t xml:space="preserve"> </w:t>
      </w:r>
    </w:p>
    <w:p w14:paraId="36543B2C" w14:textId="4B9BE1D4" w:rsidR="001D6BC9" w:rsidRDefault="001D6BC9" w:rsidP="00C51CF0">
      <w:pPr>
        <w:pStyle w:val="para-first"/>
      </w:pPr>
      <w:r>
        <w:rPr>
          <w:sz w:val="20"/>
          <w:szCs w:val="20"/>
        </w:rPr>
        <w:t xml:space="preserve">In this section, we </w:t>
      </w:r>
      <w:r w:rsidR="004B0B82">
        <w:rPr>
          <w:sz w:val="20"/>
          <w:szCs w:val="20"/>
        </w:rPr>
        <w:t>appl</w:t>
      </w:r>
      <w:r w:rsidR="00AD20DA">
        <w:rPr>
          <w:sz w:val="20"/>
          <w:szCs w:val="20"/>
        </w:rPr>
        <w:t>ied</w:t>
      </w:r>
      <w:r w:rsidR="004B0B82">
        <w:rPr>
          <w:sz w:val="20"/>
          <w:szCs w:val="20"/>
        </w:rPr>
        <w:t xml:space="preserve"> CNN, DBN, RDP and BLAST classification on the</w:t>
      </w:r>
      <w:r>
        <w:rPr>
          <w:sz w:val="20"/>
          <w:szCs w:val="20"/>
        </w:rPr>
        <w:t xml:space="preserve"> released</w:t>
      </w:r>
      <w:r w:rsidR="004B0B82">
        <w:rPr>
          <w:sz w:val="20"/>
          <w:szCs w:val="20"/>
        </w:rPr>
        <w:t xml:space="preserve"> </w:t>
      </w:r>
      <w:r w:rsidR="00C51CF0">
        <w:rPr>
          <w:sz w:val="20"/>
          <w:szCs w:val="20"/>
        </w:rPr>
        <w:t>filamentous fungal (mo</w:t>
      </w:r>
      <w:r w:rsidR="004B0B82" w:rsidRPr="00482786">
        <w:rPr>
          <w:sz w:val="20"/>
          <w:szCs w:val="20"/>
        </w:rPr>
        <w:t xml:space="preserve">ld) </w:t>
      </w:r>
      <w:r>
        <w:rPr>
          <w:sz w:val="20"/>
          <w:szCs w:val="20"/>
        </w:rPr>
        <w:t xml:space="preserve"> dataset </w:t>
      </w:r>
      <w:r w:rsidR="00C51CF0">
        <w:rPr>
          <w:sz w:val="20"/>
          <w:szCs w:val="20"/>
        </w:rPr>
        <w:t>representing 40</w:t>
      </w:r>
      <w:r w:rsidR="007D07EF">
        <w:rPr>
          <w:sz w:val="20"/>
          <w:szCs w:val="20"/>
        </w:rPr>
        <w:t xml:space="preserve"> </w:t>
      </w:r>
      <w:r w:rsidR="00C51CF0">
        <w:rPr>
          <w:sz w:val="20"/>
          <w:szCs w:val="20"/>
        </w:rPr>
        <w:t>% cultur</w:t>
      </w:r>
      <w:r w:rsidR="00494425">
        <w:rPr>
          <w:sz w:val="20"/>
          <w:szCs w:val="20"/>
        </w:rPr>
        <w:t>ed</w:t>
      </w:r>
      <w:r w:rsidR="00C51CF0">
        <w:rPr>
          <w:sz w:val="20"/>
          <w:szCs w:val="20"/>
        </w:rPr>
        <w:t xml:space="preserve"> mo</w:t>
      </w:r>
      <w:r w:rsidR="00610621">
        <w:rPr>
          <w:sz w:val="20"/>
          <w:szCs w:val="20"/>
        </w:rPr>
        <w:t xml:space="preserve">lds </w:t>
      </w:r>
      <w:r>
        <w:rPr>
          <w:sz w:val="20"/>
          <w:szCs w:val="20"/>
        </w:rPr>
        <w:t>consisting</w:t>
      </w:r>
      <w:r w:rsidRPr="00482786">
        <w:rPr>
          <w:sz w:val="20"/>
          <w:szCs w:val="20"/>
        </w:rPr>
        <w:t xml:space="preserve"> 11</w:t>
      </w:r>
      <w:r w:rsidR="00B2312E">
        <w:rPr>
          <w:sz w:val="20"/>
          <w:szCs w:val="20"/>
        </w:rPr>
        <w:t>,</w:t>
      </w:r>
      <w:r w:rsidRPr="00482786">
        <w:rPr>
          <w:sz w:val="20"/>
          <w:szCs w:val="20"/>
        </w:rPr>
        <w:t>715 ITS barcode sequences of 6</w:t>
      </w:r>
      <w:r w:rsidR="00B2312E">
        <w:rPr>
          <w:sz w:val="20"/>
          <w:szCs w:val="20"/>
        </w:rPr>
        <w:t>,</w:t>
      </w:r>
      <w:r w:rsidRPr="00482786">
        <w:rPr>
          <w:sz w:val="20"/>
          <w:szCs w:val="20"/>
        </w:rPr>
        <w:t>042 species, 1</w:t>
      </w:r>
      <w:r w:rsidR="00B2312E">
        <w:rPr>
          <w:sz w:val="20"/>
          <w:szCs w:val="20"/>
        </w:rPr>
        <w:t>,</w:t>
      </w:r>
      <w:r w:rsidRPr="00482786">
        <w:rPr>
          <w:sz w:val="20"/>
          <w:szCs w:val="20"/>
        </w:rPr>
        <w:t>619 genera, 346 fam</w:t>
      </w:r>
      <w:r>
        <w:rPr>
          <w:sz w:val="20"/>
          <w:szCs w:val="20"/>
        </w:rPr>
        <w:t xml:space="preserve">ilies, 114 orders, and 36 class </w:t>
      </w:r>
      <w:r w:rsidR="00143F71">
        <w:rPr>
          <w:sz w:val="20"/>
          <w:szCs w:val="20"/>
        </w:rPr>
        <w:t>[</w:t>
      </w:r>
      <w:r w:rsidR="00750854">
        <w:rPr>
          <w:sz w:val="20"/>
          <w:szCs w:val="20"/>
        </w:rPr>
        <w:t>1</w:t>
      </w:r>
      <w:r w:rsidR="00143F71">
        <w:rPr>
          <w:sz w:val="20"/>
          <w:szCs w:val="20"/>
        </w:rPr>
        <w:t>]</w:t>
      </w:r>
      <w:r w:rsidRPr="00482786">
        <w:rPr>
          <w:sz w:val="20"/>
          <w:szCs w:val="20"/>
        </w:rPr>
        <w:t xml:space="preserve"> </w:t>
      </w:r>
      <w:r w:rsidR="00143F71">
        <w:rPr>
          <w:sz w:val="20"/>
          <w:szCs w:val="20"/>
        </w:rPr>
        <w:t>(</w:t>
      </w:r>
      <w:hyperlink r:id="rId11" w:history="1">
        <w:r w:rsidRPr="00482786">
          <w:rPr>
            <w:rStyle w:val="Hyperlink"/>
            <w:sz w:val="20"/>
            <w:szCs w:val="20"/>
          </w:rPr>
          <w:t>https://www.ncbi.nlm.nih.gov/bioproject/PRJNA422523</w:t>
        </w:r>
      </w:hyperlink>
      <w:r w:rsidRPr="00482786">
        <w:rPr>
          <w:sz w:val="20"/>
          <w:szCs w:val="20"/>
        </w:rPr>
        <w:t>)</w:t>
      </w:r>
      <w:r>
        <w:rPr>
          <w:sz w:val="20"/>
          <w:szCs w:val="20"/>
        </w:rPr>
        <w:t xml:space="preserve">. </w:t>
      </w:r>
      <w:r w:rsidR="00C51CF0">
        <w:rPr>
          <w:sz w:val="20"/>
        </w:rPr>
        <w:t>Like the yeast dataset, the mo</w:t>
      </w:r>
      <w:r>
        <w:rPr>
          <w:sz w:val="20"/>
        </w:rPr>
        <w:t>ld sequences were not distributed equally either, in which 17</w:t>
      </w:r>
      <w:r w:rsidR="007D07EF">
        <w:rPr>
          <w:sz w:val="20"/>
        </w:rPr>
        <w:t xml:space="preserve"> </w:t>
      </w:r>
      <w:r>
        <w:rPr>
          <w:sz w:val="20"/>
        </w:rPr>
        <w:t>%, 25</w:t>
      </w:r>
      <w:r w:rsidR="007D07EF">
        <w:rPr>
          <w:sz w:val="20"/>
        </w:rPr>
        <w:t xml:space="preserve"> </w:t>
      </w:r>
      <w:r>
        <w:rPr>
          <w:sz w:val="20"/>
        </w:rPr>
        <w:t>%, 22</w:t>
      </w:r>
      <w:r w:rsidR="007D07EF">
        <w:rPr>
          <w:sz w:val="20"/>
        </w:rPr>
        <w:t xml:space="preserve"> </w:t>
      </w:r>
      <w:r>
        <w:rPr>
          <w:sz w:val="20"/>
        </w:rPr>
        <w:t>%, 24</w:t>
      </w:r>
      <w:r w:rsidR="007D07EF">
        <w:rPr>
          <w:sz w:val="20"/>
        </w:rPr>
        <w:t xml:space="preserve"> </w:t>
      </w:r>
      <w:r>
        <w:rPr>
          <w:sz w:val="20"/>
        </w:rPr>
        <w:t>%, and 67</w:t>
      </w:r>
      <w:r w:rsidR="007D07EF">
        <w:rPr>
          <w:sz w:val="20"/>
        </w:rPr>
        <w:t xml:space="preserve"> </w:t>
      </w:r>
      <w:r>
        <w:rPr>
          <w:sz w:val="20"/>
        </w:rPr>
        <w:t xml:space="preserve">% of the sequences at the class, order, family, genus and species level were singleton (see </w:t>
      </w:r>
      <w:r w:rsidR="004B0B82" w:rsidRPr="004B0B82">
        <w:rPr>
          <w:sz w:val="20"/>
        </w:rPr>
        <w:t>Supplementary</w:t>
      </w:r>
      <w:r w:rsidR="004B0B82" w:rsidRPr="004B0B82">
        <w:rPr>
          <w:sz w:val="22"/>
        </w:rPr>
        <w:t xml:space="preserve"> </w:t>
      </w:r>
      <w:r>
        <w:rPr>
          <w:sz w:val="20"/>
        </w:rPr>
        <w:t>Fig. 7A). The first five largest groups at the class, order, family and genus levels consisted of 91</w:t>
      </w:r>
      <w:r w:rsidR="007D07EF">
        <w:rPr>
          <w:sz w:val="20"/>
        </w:rPr>
        <w:t xml:space="preserve"> </w:t>
      </w:r>
      <w:r>
        <w:rPr>
          <w:sz w:val="20"/>
        </w:rPr>
        <w:t>%, 52</w:t>
      </w:r>
      <w:r w:rsidR="007D07EF">
        <w:rPr>
          <w:sz w:val="20"/>
        </w:rPr>
        <w:t xml:space="preserve"> </w:t>
      </w:r>
      <w:r>
        <w:rPr>
          <w:sz w:val="20"/>
        </w:rPr>
        <w:t>%, 30</w:t>
      </w:r>
      <w:r w:rsidR="007D07EF">
        <w:rPr>
          <w:sz w:val="20"/>
        </w:rPr>
        <w:t xml:space="preserve"> </w:t>
      </w:r>
      <w:r>
        <w:rPr>
          <w:sz w:val="20"/>
        </w:rPr>
        <w:t>%, and 18</w:t>
      </w:r>
      <w:r w:rsidR="007D07EF">
        <w:rPr>
          <w:sz w:val="20"/>
        </w:rPr>
        <w:t xml:space="preserve"> </w:t>
      </w:r>
      <w:r>
        <w:rPr>
          <w:sz w:val="20"/>
        </w:rPr>
        <w:t xml:space="preserve">% of the sequences of dataset, respectively. The median similarity scores of sequences within a group at each level were also varied, specifically at higher taxonomic levels, as seen in </w:t>
      </w:r>
      <w:r w:rsidR="004B0B82" w:rsidRPr="004B0B82">
        <w:rPr>
          <w:sz w:val="20"/>
        </w:rPr>
        <w:t>Supplementary</w:t>
      </w:r>
      <w:r w:rsidR="004B0B82">
        <w:rPr>
          <w:sz w:val="20"/>
        </w:rPr>
        <w:t xml:space="preserve"> </w:t>
      </w:r>
      <w:r>
        <w:rPr>
          <w:sz w:val="20"/>
        </w:rPr>
        <w:t xml:space="preserve">Fig. 7B. </w:t>
      </w:r>
      <w:r w:rsidR="004B0B82" w:rsidRPr="004B0B82">
        <w:rPr>
          <w:sz w:val="20"/>
        </w:rPr>
        <w:t>Supplementary</w:t>
      </w:r>
      <w:r w:rsidR="004B0B82">
        <w:rPr>
          <w:sz w:val="20"/>
        </w:rPr>
        <w:t xml:space="preserve"> </w:t>
      </w:r>
      <w:r>
        <w:rPr>
          <w:sz w:val="20"/>
        </w:rPr>
        <w:t xml:space="preserve">Fig. 7C shows the best thresholds predicted to separate the sequences that were 0.998 with </w:t>
      </w:r>
      <w:r w:rsidRPr="000B7F2A">
        <w:rPr>
          <w:i/>
          <w:sz w:val="20"/>
        </w:rPr>
        <w:t>F</w:t>
      </w:r>
      <w:r>
        <w:rPr>
          <w:sz w:val="20"/>
        </w:rPr>
        <w:t>-measure of 75</w:t>
      </w:r>
      <w:r w:rsidR="007D07EF">
        <w:rPr>
          <w:sz w:val="20"/>
        </w:rPr>
        <w:t xml:space="preserve"> </w:t>
      </w:r>
      <w:r>
        <w:rPr>
          <w:sz w:val="20"/>
        </w:rPr>
        <w:t xml:space="preserve">% at the species level, 0.968 with </w:t>
      </w:r>
      <w:r w:rsidRPr="000B7F2A">
        <w:rPr>
          <w:i/>
          <w:sz w:val="20"/>
        </w:rPr>
        <w:t>F-</w:t>
      </w:r>
      <w:r>
        <w:rPr>
          <w:sz w:val="20"/>
        </w:rPr>
        <w:t>measure of 60</w:t>
      </w:r>
      <w:r w:rsidR="007D07EF">
        <w:rPr>
          <w:sz w:val="20"/>
        </w:rPr>
        <w:t xml:space="preserve"> </w:t>
      </w:r>
      <w:r>
        <w:rPr>
          <w:sz w:val="20"/>
        </w:rPr>
        <w:t xml:space="preserve">% at the genus level, 0.965 with </w:t>
      </w:r>
      <w:r w:rsidRPr="000B7F2A">
        <w:rPr>
          <w:i/>
          <w:sz w:val="20"/>
        </w:rPr>
        <w:t>F</w:t>
      </w:r>
      <w:r>
        <w:rPr>
          <w:sz w:val="20"/>
        </w:rPr>
        <w:t>-measure of 57</w:t>
      </w:r>
      <w:r w:rsidR="007D07EF">
        <w:rPr>
          <w:sz w:val="20"/>
        </w:rPr>
        <w:t xml:space="preserve"> </w:t>
      </w:r>
      <w:r>
        <w:rPr>
          <w:sz w:val="20"/>
        </w:rPr>
        <w:t xml:space="preserve">% at the family level, 0.952 with </w:t>
      </w:r>
      <w:r w:rsidRPr="000B7F2A">
        <w:rPr>
          <w:i/>
          <w:sz w:val="20"/>
        </w:rPr>
        <w:t>F</w:t>
      </w:r>
      <w:r>
        <w:rPr>
          <w:sz w:val="20"/>
        </w:rPr>
        <w:t>-measure of 52</w:t>
      </w:r>
      <w:r w:rsidR="007D07EF">
        <w:rPr>
          <w:sz w:val="20"/>
        </w:rPr>
        <w:t xml:space="preserve"> </w:t>
      </w:r>
      <w:r>
        <w:rPr>
          <w:sz w:val="20"/>
        </w:rPr>
        <w:t xml:space="preserve">%, and 0.946 with </w:t>
      </w:r>
      <w:r w:rsidRPr="000B7F2A">
        <w:rPr>
          <w:i/>
          <w:sz w:val="20"/>
        </w:rPr>
        <w:t>F</w:t>
      </w:r>
      <w:r>
        <w:rPr>
          <w:sz w:val="20"/>
        </w:rPr>
        <w:t>-measures of 49</w:t>
      </w:r>
      <w:r w:rsidR="007D07EF">
        <w:rPr>
          <w:sz w:val="20"/>
        </w:rPr>
        <w:t xml:space="preserve"> </w:t>
      </w:r>
      <w:r>
        <w:rPr>
          <w:sz w:val="20"/>
        </w:rPr>
        <w:t xml:space="preserve">%. The optimal threshold at the species level was high because it was known in </w:t>
      </w:r>
      <w:r w:rsidR="0014798F">
        <w:rPr>
          <w:sz w:val="20"/>
        </w:rPr>
        <w:t>[</w:t>
      </w:r>
      <w:r w:rsidR="00750854">
        <w:rPr>
          <w:sz w:val="20"/>
        </w:rPr>
        <w:t>1</w:t>
      </w:r>
      <w:r w:rsidR="0014798F">
        <w:rPr>
          <w:sz w:val="20"/>
        </w:rPr>
        <w:t xml:space="preserve">] </w:t>
      </w:r>
      <w:r w:rsidR="000428F5">
        <w:rPr>
          <w:sz w:val="20"/>
        </w:rPr>
        <w:t>that ~17</w:t>
      </w:r>
      <w:r w:rsidR="00D52C82">
        <w:rPr>
          <w:sz w:val="20"/>
        </w:rPr>
        <w:t xml:space="preserve"> </w:t>
      </w:r>
      <w:r w:rsidR="00C51CF0">
        <w:rPr>
          <w:sz w:val="20"/>
        </w:rPr>
        <w:t>% mo</w:t>
      </w:r>
      <w:r>
        <w:rPr>
          <w:sz w:val="20"/>
        </w:rPr>
        <w:t xml:space="preserve">ld species could not be separated by ITS. At higher taxonomic levels, the best </w:t>
      </w:r>
      <w:r w:rsidRPr="000B7F2A">
        <w:rPr>
          <w:i/>
          <w:sz w:val="20"/>
        </w:rPr>
        <w:t>F</w:t>
      </w:r>
      <w:r>
        <w:rPr>
          <w:sz w:val="20"/>
        </w:rPr>
        <w:t xml:space="preserve">-measures obtained were low, as the sequences were not </w:t>
      </w:r>
      <w:r w:rsidR="00C51CF0">
        <w:rPr>
          <w:sz w:val="20"/>
        </w:rPr>
        <w:t xml:space="preserve">equally </w:t>
      </w:r>
      <w:r>
        <w:rPr>
          <w:sz w:val="20"/>
        </w:rPr>
        <w:t xml:space="preserve">distributed as seen in </w:t>
      </w:r>
      <w:r w:rsidR="004B0B82" w:rsidRPr="004B0B82">
        <w:rPr>
          <w:sz w:val="20"/>
        </w:rPr>
        <w:t>Supplementary</w:t>
      </w:r>
      <w:r w:rsidR="004B0B82">
        <w:rPr>
          <w:sz w:val="20"/>
        </w:rPr>
        <w:t xml:space="preserve"> </w:t>
      </w:r>
      <w:r>
        <w:rPr>
          <w:sz w:val="20"/>
        </w:rPr>
        <w:t xml:space="preserve">Fig.7D. </w:t>
      </w:r>
    </w:p>
    <w:p w14:paraId="586EC852" w14:textId="77777777" w:rsidR="001D6BC9" w:rsidRDefault="001D6BC9" w:rsidP="00EB633F">
      <w:pPr>
        <w:rPr>
          <w:rFonts w:ascii="Times New Roman" w:hAnsi="Times New Roman" w:cs="Times New Roman"/>
          <w:sz w:val="16"/>
          <w:lang w:val="en-US"/>
        </w:rPr>
      </w:pPr>
    </w:p>
    <w:p w14:paraId="2D07DA9D" w14:textId="77777777" w:rsidR="001D6BC9" w:rsidRDefault="001D6BC9" w:rsidP="00EB633F">
      <w:pPr>
        <w:rPr>
          <w:rFonts w:ascii="Times New Roman" w:hAnsi="Times New Roman" w:cs="Times New Roman"/>
          <w:sz w:val="16"/>
          <w:lang w:val="en-US"/>
        </w:rPr>
      </w:pPr>
    </w:p>
    <w:p w14:paraId="215A974C" w14:textId="77777777" w:rsidR="001D6BC9" w:rsidRDefault="001D6BC9" w:rsidP="00EB633F">
      <w:pPr>
        <w:rPr>
          <w:rFonts w:ascii="Times New Roman" w:hAnsi="Times New Roman" w:cs="Times New Roman"/>
          <w:sz w:val="16"/>
          <w:lang w:val="en-US"/>
        </w:rPr>
      </w:pPr>
    </w:p>
    <w:p w14:paraId="2B6B056B" w14:textId="51803880" w:rsidR="001D6BC9" w:rsidRPr="00952A6D" w:rsidRDefault="00062BFC" w:rsidP="001D6BC9">
      <w:pPr>
        <w:pStyle w:val="para-first"/>
      </w:pPr>
      <w:r>
        <w:rPr>
          <w:noProof/>
        </w:rPr>
        <w:lastRenderedPageBreak/>
        <w:drawing>
          <wp:anchor distT="0" distB="0" distL="114300" distR="114300" simplePos="0" relativeHeight="251658240" behindDoc="0" locked="0" layoutInCell="1" allowOverlap="1" wp14:anchorId="523FE387" wp14:editId="77F42A36">
            <wp:simplePos x="0" y="0"/>
            <wp:positionH relativeFrom="column">
              <wp:posOffset>-635</wp:posOffset>
            </wp:positionH>
            <wp:positionV relativeFrom="paragraph">
              <wp:posOffset>0</wp:posOffset>
            </wp:positionV>
            <wp:extent cx="5760720" cy="5983224"/>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Figure7_mold_cropped.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5983224"/>
                    </a:xfrm>
                    <a:prstGeom prst="rect">
                      <a:avLst/>
                    </a:prstGeom>
                  </pic:spPr>
                </pic:pic>
              </a:graphicData>
            </a:graphic>
          </wp:anchor>
        </w:drawing>
      </w:r>
      <w:r w:rsidR="005D6F15">
        <w:t>Supplementary</w:t>
      </w:r>
      <w:r w:rsidR="005D6F15">
        <w:rPr>
          <w:szCs w:val="12"/>
        </w:rPr>
        <w:t xml:space="preserve"> </w:t>
      </w:r>
      <w:r w:rsidR="001D6BC9">
        <w:rPr>
          <w:szCs w:val="12"/>
        </w:rPr>
        <w:t>Figure 7</w:t>
      </w:r>
      <w:r w:rsidR="001D6BC9" w:rsidRPr="00E75009">
        <w:rPr>
          <w:szCs w:val="12"/>
        </w:rPr>
        <w:t>.</w:t>
      </w:r>
      <w:r w:rsidR="001D6BC9">
        <w:rPr>
          <w:szCs w:val="12"/>
        </w:rPr>
        <w:t xml:space="preserve"> </w:t>
      </w:r>
      <w:r w:rsidR="00C51CF0">
        <w:t xml:space="preserve">A: The </w:t>
      </w:r>
      <w:r w:rsidR="007D07EF">
        <w:t>pro</w:t>
      </w:r>
      <w:r w:rsidR="00C51CF0">
        <w:t>portion of mo</w:t>
      </w:r>
      <w:r w:rsidR="001D6BC9">
        <w:t>ld sequences at all taxonomic levels. The smallest ring represents the class level, followed by the order, family, genus and species levels. B: The variation of the med</w:t>
      </w:r>
      <w:r w:rsidR="00C51CF0">
        <w:t>ian similarity scores of the mo</w:t>
      </w:r>
      <w:r w:rsidR="001D6BC9">
        <w:t>ld groups at all taxonomic levels. C</w:t>
      </w:r>
      <w:r w:rsidR="001D6BC9" w:rsidRPr="000F254E">
        <w:t xml:space="preserve">: </w:t>
      </w:r>
      <w:r w:rsidR="001D6BC9" w:rsidRPr="00AA05F9">
        <w:t>Predicting optimal th</w:t>
      </w:r>
      <w:r w:rsidR="001D6BC9">
        <w:t xml:space="preserve">resholds for the mold </w:t>
      </w:r>
      <w:r w:rsidR="001D6BC9" w:rsidRPr="00AA05F9">
        <w:t>dataset using a series of thresholds (between 0.</w:t>
      </w:r>
      <w:r w:rsidR="001D6BC9">
        <w:t>85 and 1, with a step of 0.001) at all</w:t>
      </w:r>
      <w:r w:rsidR="007D07EF">
        <w:t xml:space="preserve"> </w:t>
      </w:r>
      <w:r w:rsidR="001D6BC9">
        <w:t>taxonomic levels</w:t>
      </w:r>
      <w:r w:rsidR="00C51CF0">
        <w:t>. D: The distribution of the mo</w:t>
      </w:r>
      <w:r w:rsidR="001D6BC9">
        <w:t>ld</w:t>
      </w:r>
      <w:r w:rsidR="001D6BC9" w:rsidRPr="000F254E">
        <w:t xml:space="preserve"> dataset</w:t>
      </w:r>
      <w:r w:rsidR="001D6BC9">
        <w:t xml:space="preserve"> in which </w:t>
      </w:r>
      <w:r w:rsidR="001D6BC9" w:rsidRPr="000F254E">
        <w:t xml:space="preserve">sequences </w:t>
      </w:r>
      <w:r w:rsidR="001D6BC9">
        <w:t>of th</w:t>
      </w:r>
      <w:r w:rsidR="00C51CF0">
        <w:t>e same class have the same colo</w:t>
      </w:r>
      <w:r w:rsidR="001D6BC9">
        <w:t>r</w:t>
      </w:r>
      <w:r w:rsidR="001D6BC9" w:rsidRPr="000F254E">
        <w:t xml:space="preserve">. </w:t>
      </w:r>
      <w:r w:rsidR="001D6BC9">
        <w:t>The four</w:t>
      </w:r>
      <w:r w:rsidR="001D6BC9" w:rsidRPr="00B50ABC">
        <w:t xml:space="preserve"> groups in green, red, blue and pink represent ITS sequences of </w:t>
      </w:r>
      <w:proofErr w:type="spellStart"/>
      <w:r w:rsidR="001D6BC9" w:rsidRPr="00D868AC">
        <w:rPr>
          <w:i/>
        </w:rPr>
        <w:t>Sordariomycetes</w:t>
      </w:r>
      <w:proofErr w:type="spellEnd"/>
      <w:r w:rsidR="001D6BC9">
        <w:t xml:space="preserve"> (3</w:t>
      </w:r>
      <w:r w:rsidR="00B259FE">
        <w:t>,</w:t>
      </w:r>
      <w:r w:rsidR="001D6BC9">
        <w:t>899)</w:t>
      </w:r>
      <w:r w:rsidR="001D6BC9" w:rsidRPr="00B50ABC">
        <w:t xml:space="preserve">, </w:t>
      </w:r>
      <w:proofErr w:type="spellStart"/>
      <w:r w:rsidR="001D6BC9" w:rsidRPr="00D868AC">
        <w:rPr>
          <w:i/>
        </w:rPr>
        <w:t>Eurotiomycetes</w:t>
      </w:r>
      <w:proofErr w:type="spellEnd"/>
      <w:r w:rsidR="001D6BC9">
        <w:t xml:space="preserve"> (2</w:t>
      </w:r>
      <w:r w:rsidR="00B259FE">
        <w:t>,</w:t>
      </w:r>
      <w:r w:rsidR="001D6BC9">
        <w:t>221)</w:t>
      </w:r>
      <w:r w:rsidR="001D6BC9" w:rsidRPr="00B50ABC">
        <w:t xml:space="preserve">, </w:t>
      </w:r>
      <w:proofErr w:type="spellStart"/>
      <w:r w:rsidR="001D6BC9" w:rsidRPr="00D868AC">
        <w:rPr>
          <w:i/>
        </w:rPr>
        <w:t>Dothideomycetes</w:t>
      </w:r>
      <w:proofErr w:type="spellEnd"/>
      <w:r w:rsidR="001D6BC9">
        <w:t xml:space="preserve"> (2</w:t>
      </w:r>
      <w:r w:rsidR="00B259FE">
        <w:t>,</w:t>
      </w:r>
      <w:r w:rsidR="001D6BC9">
        <w:t>150)</w:t>
      </w:r>
      <w:r w:rsidR="001D6BC9" w:rsidRPr="00B50ABC">
        <w:t xml:space="preserve">, </w:t>
      </w:r>
      <w:r w:rsidR="001D6BC9">
        <w:t xml:space="preserve">and </w:t>
      </w:r>
      <w:r w:rsidR="001D6BC9" w:rsidRPr="00D868AC">
        <w:rPr>
          <w:i/>
        </w:rPr>
        <w:t>Agaricomycetes</w:t>
      </w:r>
      <w:r w:rsidR="001D6BC9">
        <w:t xml:space="preserve"> (1</w:t>
      </w:r>
      <w:r w:rsidR="00B259FE">
        <w:t>,</w:t>
      </w:r>
      <w:r w:rsidR="001D6BC9">
        <w:t>511), respectively</w:t>
      </w:r>
      <w:r w:rsidR="001D6BC9">
        <w:rPr>
          <w:szCs w:val="20"/>
        </w:rPr>
        <w:t xml:space="preserve">. The numbers in brackets are the numbers of the sequences in the current group. </w:t>
      </w:r>
      <w:r w:rsidR="004B0B82" w:rsidRPr="0006108C">
        <w:rPr>
          <w:rStyle w:val="para-firstChar"/>
          <w:rFonts w:eastAsiaTheme="minorEastAsia"/>
        </w:rPr>
        <w:t xml:space="preserve">The coordinators of the sequences were generated using </w:t>
      </w:r>
      <w:proofErr w:type="spellStart"/>
      <w:r w:rsidR="004B0B82" w:rsidRPr="0006108C">
        <w:rPr>
          <w:rStyle w:val="para-firstChar"/>
          <w:rFonts w:eastAsiaTheme="minorEastAsia"/>
        </w:rPr>
        <w:t>fMLC</w:t>
      </w:r>
      <w:proofErr w:type="spellEnd"/>
      <w:r w:rsidR="004B0B82" w:rsidRPr="0006108C">
        <w:rPr>
          <w:rStyle w:val="para-firstChar"/>
          <w:rFonts w:eastAsiaTheme="minorEastAsia"/>
        </w:rPr>
        <w:t xml:space="preserve"> </w:t>
      </w:r>
      <w:r w:rsidR="0014798F">
        <w:rPr>
          <w:rStyle w:val="para-firstChar"/>
          <w:rFonts w:eastAsiaTheme="minorEastAsia"/>
        </w:rPr>
        <w:t>[</w:t>
      </w:r>
      <w:r w:rsidR="00750854">
        <w:rPr>
          <w:rStyle w:val="para-firstChar"/>
          <w:rFonts w:eastAsiaTheme="minorEastAsia"/>
        </w:rPr>
        <w:t>2</w:t>
      </w:r>
      <w:r w:rsidR="0014798F">
        <w:rPr>
          <w:rStyle w:val="para-firstChar"/>
          <w:rFonts w:eastAsiaTheme="minorEastAsia"/>
        </w:rPr>
        <w:t>]</w:t>
      </w:r>
      <w:r w:rsidR="00C51CF0">
        <w:rPr>
          <w:rStyle w:val="para-firstChar"/>
          <w:rFonts w:eastAsiaTheme="minorEastAsia"/>
        </w:rPr>
        <w:t>. The sequences were visualiz</w:t>
      </w:r>
      <w:r w:rsidR="004B0B82" w:rsidRPr="0006108C">
        <w:rPr>
          <w:rStyle w:val="para-firstChar"/>
          <w:rFonts w:eastAsiaTheme="minorEastAsia"/>
        </w:rPr>
        <w:t xml:space="preserve">ed using the </w:t>
      </w:r>
      <w:proofErr w:type="spellStart"/>
      <w:r w:rsidR="004B0B82" w:rsidRPr="0006108C">
        <w:rPr>
          <w:rStyle w:val="para-firstChar"/>
          <w:rFonts w:eastAsiaTheme="minorEastAsia"/>
        </w:rPr>
        <w:t>rgl</w:t>
      </w:r>
      <w:proofErr w:type="spellEnd"/>
      <w:r w:rsidR="004B0B82" w:rsidRPr="0006108C">
        <w:rPr>
          <w:rStyle w:val="para-firstChar"/>
          <w:rFonts w:eastAsiaTheme="minorEastAsia"/>
        </w:rPr>
        <w:t xml:space="preserve"> package in R (https://r-forge.r-project.org/projects/rgl/). </w:t>
      </w:r>
      <w:r w:rsidR="001D6BC9">
        <w:rPr>
          <w:szCs w:val="20"/>
        </w:rPr>
        <w:t>E:</w:t>
      </w:r>
      <w:r w:rsidR="00C51CF0">
        <w:t xml:space="preserve"> The MCCs of the mo</w:t>
      </w:r>
      <w:r w:rsidR="001D6BC9">
        <w:t>ld test datasets obtained by all the classifiers at different taxonomic levels.</w:t>
      </w:r>
    </w:p>
    <w:p w14:paraId="025F1B9F" w14:textId="77777777" w:rsidR="00441E1C" w:rsidRDefault="00441E1C" w:rsidP="000A3DAA">
      <w:pPr>
        <w:pStyle w:val="para-first"/>
        <w:rPr>
          <w:sz w:val="20"/>
          <w:szCs w:val="20"/>
        </w:rPr>
      </w:pPr>
    </w:p>
    <w:p w14:paraId="281B2B72" w14:textId="3CB338FD" w:rsidR="000A3DAA" w:rsidRDefault="000A3DAA" w:rsidP="000A3DAA">
      <w:pPr>
        <w:pStyle w:val="para-first"/>
        <w:rPr>
          <w:sz w:val="20"/>
        </w:rPr>
      </w:pPr>
      <w:r>
        <w:rPr>
          <w:sz w:val="20"/>
          <w:szCs w:val="20"/>
        </w:rPr>
        <w:t>To evaluate the qualities of the classifiers, t</w:t>
      </w:r>
      <w:r w:rsidRPr="00482786">
        <w:rPr>
          <w:sz w:val="20"/>
          <w:szCs w:val="20"/>
        </w:rPr>
        <w:t xml:space="preserve">he dataset was </w:t>
      </w:r>
      <w:r>
        <w:rPr>
          <w:sz w:val="20"/>
          <w:szCs w:val="20"/>
        </w:rPr>
        <w:t xml:space="preserve">also </w:t>
      </w:r>
      <w:r w:rsidRPr="00482786">
        <w:rPr>
          <w:sz w:val="20"/>
          <w:szCs w:val="20"/>
        </w:rPr>
        <w:t>split into</w:t>
      </w:r>
      <w:r w:rsidR="00AD20DA">
        <w:rPr>
          <w:sz w:val="20"/>
          <w:szCs w:val="20"/>
        </w:rPr>
        <w:t xml:space="preserve"> two datasets, the </w:t>
      </w:r>
      <w:r w:rsidRPr="00482786">
        <w:rPr>
          <w:sz w:val="20"/>
          <w:szCs w:val="20"/>
        </w:rPr>
        <w:t>training and test datasets</w:t>
      </w:r>
      <w:r w:rsidR="00AD20DA">
        <w:rPr>
          <w:sz w:val="20"/>
          <w:szCs w:val="20"/>
        </w:rPr>
        <w:t>,</w:t>
      </w:r>
      <w:r w:rsidRPr="00482786">
        <w:rPr>
          <w:sz w:val="20"/>
          <w:szCs w:val="20"/>
        </w:rPr>
        <w:t xml:space="preserve"> in a tenfold cross-validation procedure</w:t>
      </w:r>
      <w:r>
        <w:rPr>
          <w:sz w:val="20"/>
          <w:szCs w:val="20"/>
        </w:rPr>
        <w:t>, like for the yeast dataset</w:t>
      </w:r>
      <w:r w:rsidRPr="00482786">
        <w:rPr>
          <w:sz w:val="20"/>
          <w:szCs w:val="20"/>
        </w:rPr>
        <w:t xml:space="preserve">. </w:t>
      </w:r>
      <w:r w:rsidRPr="00482786">
        <w:rPr>
          <w:sz w:val="20"/>
        </w:rPr>
        <w:t xml:space="preserve">On average, there were </w:t>
      </w:r>
      <w:r>
        <w:rPr>
          <w:sz w:val="20"/>
        </w:rPr>
        <w:t>10536</w:t>
      </w:r>
      <w:r w:rsidRPr="00482786">
        <w:rPr>
          <w:sz w:val="20"/>
        </w:rPr>
        <w:t xml:space="preserve"> (90</w:t>
      </w:r>
      <w:r w:rsidR="007D07EF">
        <w:rPr>
          <w:sz w:val="20"/>
        </w:rPr>
        <w:t xml:space="preserve"> </w:t>
      </w:r>
      <w:r w:rsidRPr="00482786">
        <w:rPr>
          <w:sz w:val="20"/>
        </w:rPr>
        <w:t xml:space="preserve">%) sequences of </w:t>
      </w:r>
      <w:r>
        <w:rPr>
          <w:sz w:val="20"/>
        </w:rPr>
        <w:t>5</w:t>
      </w:r>
      <w:r w:rsidR="00B259FE">
        <w:rPr>
          <w:sz w:val="20"/>
        </w:rPr>
        <w:t>,</w:t>
      </w:r>
      <w:r>
        <w:rPr>
          <w:sz w:val="20"/>
        </w:rPr>
        <w:t>643</w:t>
      </w:r>
      <w:r w:rsidRPr="00482786">
        <w:rPr>
          <w:sz w:val="20"/>
        </w:rPr>
        <w:t xml:space="preserve"> (9</w:t>
      </w:r>
      <w:r>
        <w:rPr>
          <w:sz w:val="20"/>
        </w:rPr>
        <w:t>3</w:t>
      </w:r>
      <w:r w:rsidR="007D07EF">
        <w:rPr>
          <w:sz w:val="20"/>
        </w:rPr>
        <w:t xml:space="preserve"> </w:t>
      </w:r>
      <w:r w:rsidRPr="00482786">
        <w:rPr>
          <w:sz w:val="20"/>
        </w:rPr>
        <w:t>%) species, 1</w:t>
      </w:r>
      <w:r w:rsidR="00B259FE">
        <w:rPr>
          <w:sz w:val="20"/>
        </w:rPr>
        <w:t>,</w:t>
      </w:r>
      <w:r>
        <w:rPr>
          <w:sz w:val="20"/>
        </w:rPr>
        <w:t>551</w:t>
      </w:r>
      <w:r w:rsidRPr="00482786">
        <w:rPr>
          <w:sz w:val="20"/>
        </w:rPr>
        <w:t xml:space="preserve"> (9</w:t>
      </w:r>
      <w:r>
        <w:rPr>
          <w:sz w:val="20"/>
        </w:rPr>
        <w:t>6</w:t>
      </w:r>
      <w:r w:rsidR="007D07EF">
        <w:rPr>
          <w:sz w:val="20"/>
        </w:rPr>
        <w:t xml:space="preserve"> </w:t>
      </w:r>
      <w:r w:rsidRPr="00482786">
        <w:rPr>
          <w:sz w:val="20"/>
        </w:rPr>
        <w:t xml:space="preserve">%) genera, </w:t>
      </w:r>
      <w:r>
        <w:rPr>
          <w:sz w:val="20"/>
        </w:rPr>
        <w:t>338</w:t>
      </w:r>
      <w:r w:rsidRPr="00482786">
        <w:rPr>
          <w:sz w:val="20"/>
        </w:rPr>
        <w:t xml:space="preserve"> (</w:t>
      </w:r>
      <w:r>
        <w:rPr>
          <w:sz w:val="20"/>
        </w:rPr>
        <w:t>98</w:t>
      </w:r>
      <w:r w:rsidR="007D07EF">
        <w:rPr>
          <w:sz w:val="20"/>
        </w:rPr>
        <w:t xml:space="preserve"> </w:t>
      </w:r>
      <w:r w:rsidRPr="00482786">
        <w:rPr>
          <w:sz w:val="20"/>
        </w:rPr>
        <w:t>%) families, 1</w:t>
      </w:r>
      <w:r>
        <w:rPr>
          <w:sz w:val="20"/>
        </w:rPr>
        <w:t>11</w:t>
      </w:r>
      <w:r w:rsidRPr="00482786">
        <w:rPr>
          <w:sz w:val="20"/>
        </w:rPr>
        <w:t xml:space="preserve"> (</w:t>
      </w:r>
      <w:r>
        <w:rPr>
          <w:sz w:val="20"/>
        </w:rPr>
        <w:t>97</w:t>
      </w:r>
      <w:r w:rsidR="007D07EF">
        <w:rPr>
          <w:sz w:val="20"/>
        </w:rPr>
        <w:t xml:space="preserve"> </w:t>
      </w:r>
      <w:r w:rsidRPr="00482786">
        <w:rPr>
          <w:sz w:val="20"/>
        </w:rPr>
        <w:t xml:space="preserve">%) orders, and </w:t>
      </w:r>
      <w:r>
        <w:rPr>
          <w:sz w:val="20"/>
        </w:rPr>
        <w:t>35</w:t>
      </w:r>
      <w:r w:rsidRPr="00482786">
        <w:rPr>
          <w:sz w:val="20"/>
        </w:rPr>
        <w:t xml:space="preserve"> (</w:t>
      </w:r>
      <w:r>
        <w:rPr>
          <w:sz w:val="20"/>
        </w:rPr>
        <w:t>97</w:t>
      </w:r>
      <w:r w:rsidR="007D07EF">
        <w:rPr>
          <w:sz w:val="20"/>
        </w:rPr>
        <w:t xml:space="preserve"> </w:t>
      </w:r>
      <w:r w:rsidRPr="00482786">
        <w:rPr>
          <w:sz w:val="20"/>
        </w:rPr>
        <w:t xml:space="preserve">%) classes for training and </w:t>
      </w:r>
      <w:r>
        <w:rPr>
          <w:sz w:val="20"/>
        </w:rPr>
        <w:t>1171</w:t>
      </w:r>
      <w:r w:rsidRPr="00482786">
        <w:rPr>
          <w:sz w:val="20"/>
        </w:rPr>
        <w:t xml:space="preserve"> sequences for testing of which </w:t>
      </w:r>
      <w:r>
        <w:rPr>
          <w:sz w:val="20"/>
        </w:rPr>
        <w:t>394</w:t>
      </w:r>
      <w:r w:rsidRPr="00482786">
        <w:rPr>
          <w:sz w:val="20"/>
        </w:rPr>
        <w:t xml:space="preserve"> (</w:t>
      </w:r>
      <w:r>
        <w:rPr>
          <w:sz w:val="20"/>
        </w:rPr>
        <w:t>3</w:t>
      </w:r>
      <w:r w:rsidRPr="00482786">
        <w:rPr>
          <w:sz w:val="20"/>
        </w:rPr>
        <w:t>.</w:t>
      </w:r>
      <w:r>
        <w:rPr>
          <w:sz w:val="20"/>
        </w:rPr>
        <w:t>4</w:t>
      </w:r>
      <w:r w:rsidR="007D07EF">
        <w:rPr>
          <w:sz w:val="20"/>
        </w:rPr>
        <w:t xml:space="preserve"> </w:t>
      </w:r>
      <w:r w:rsidRPr="00482786">
        <w:rPr>
          <w:sz w:val="20"/>
        </w:rPr>
        <w:t xml:space="preserve">%), </w:t>
      </w:r>
      <w:r>
        <w:rPr>
          <w:sz w:val="20"/>
        </w:rPr>
        <w:t>68</w:t>
      </w:r>
      <w:r w:rsidRPr="00482786">
        <w:rPr>
          <w:sz w:val="20"/>
        </w:rPr>
        <w:t xml:space="preserve"> (0.</w:t>
      </w:r>
      <w:r>
        <w:rPr>
          <w:sz w:val="20"/>
        </w:rPr>
        <w:t>5</w:t>
      </w:r>
      <w:r w:rsidRPr="00482786">
        <w:rPr>
          <w:sz w:val="20"/>
        </w:rPr>
        <w:t>8</w:t>
      </w:r>
      <w:r w:rsidR="007D07EF">
        <w:rPr>
          <w:sz w:val="20"/>
        </w:rPr>
        <w:t xml:space="preserve"> </w:t>
      </w:r>
      <w:r w:rsidRPr="00482786">
        <w:rPr>
          <w:sz w:val="20"/>
        </w:rPr>
        <w:t xml:space="preserve">%), </w:t>
      </w:r>
      <w:r>
        <w:rPr>
          <w:sz w:val="20"/>
        </w:rPr>
        <w:t>8 (0.07</w:t>
      </w:r>
      <w:r w:rsidR="007D07EF">
        <w:rPr>
          <w:sz w:val="20"/>
        </w:rPr>
        <w:t xml:space="preserve"> </w:t>
      </w:r>
      <w:r>
        <w:rPr>
          <w:sz w:val="20"/>
        </w:rPr>
        <w:t>%)</w:t>
      </w:r>
      <w:r w:rsidRPr="00482786">
        <w:rPr>
          <w:sz w:val="20"/>
        </w:rPr>
        <w:t xml:space="preserve">, </w:t>
      </w:r>
      <w:r>
        <w:rPr>
          <w:sz w:val="20"/>
        </w:rPr>
        <w:t>3</w:t>
      </w:r>
      <w:r w:rsidRPr="00482786">
        <w:rPr>
          <w:sz w:val="20"/>
        </w:rPr>
        <w:t xml:space="preserve">, and </w:t>
      </w:r>
      <w:r>
        <w:rPr>
          <w:sz w:val="20"/>
        </w:rPr>
        <w:t>1</w:t>
      </w:r>
      <w:r w:rsidRPr="00482786">
        <w:rPr>
          <w:sz w:val="20"/>
        </w:rPr>
        <w:t xml:space="preserve"> sequences in the test</w:t>
      </w:r>
      <w:r>
        <w:rPr>
          <w:sz w:val="20"/>
        </w:rPr>
        <w:t xml:space="preserve"> </w:t>
      </w:r>
      <w:r w:rsidRPr="00482786">
        <w:rPr>
          <w:sz w:val="20"/>
        </w:rPr>
        <w:t>dataset had no labels in the train dataset at the species, genus, family, order, and class level respectively.</w:t>
      </w:r>
      <w:r>
        <w:rPr>
          <w:sz w:val="20"/>
        </w:rPr>
        <w:t xml:space="preserve"> For CNN and DBN, </w:t>
      </w:r>
      <w:r w:rsidRPr="00E401C5">
        <w:rPr>
          <w:i/>
          <w:sz w:val="20"/>
        </w:rPr>
        <w:t>k</w:t>
      </w:r>
      <w:r>
        <w:rPr>
          <w:sz w:val="20"/>
        </w:rPr>
        <w:t xml:space="preserve"> was set to 6. The RDP classifier did not work at the species level due to memory constraints. </w:t>
      </w:r>
      <w:r w:rsidR="00AA1692" w:rsidRPr="004B0B82">
        <w:rPr>
          <w:sz w:val="20"/>
        </w:rPr>
        <w:t>Supplementary</w:t>
      </w:r>
      <w:r w:rsidR="00AA1692">
        <w:rPr>
          <w:sz w:val="20"/>
        </w:rPr>
        <w:t xml:space="preserve"> </w:t>
      </w:r>
      <w:r>
        <w:rPr>
          <w:sz w:val="20"/>
        </w:rPr>
        <w:t>Fig. 7E shows the MCCs obtained by different c</w:t>
      </w:r>
      <w:r w:rsidR="00C51CF0">
        <w:rPr>
          <w:sz w:val="20"/>
        </w:rPr>
        <w:t>lassifiers on the mo</w:t>
      </w:r>
      <w:r>
        <w:rPr>
          <w:sz w:val="20"/>
        </w:rPr>
        <w:t xml:space="preserve">ld dataset at all taxonomic levels. At the species level, the average MCCs obtained by CNN, DBN, RDP and BLAST were 0.73, 0.65, 0 and 0.54 respectively. At the genus level, they were 0.83, 0.81, 0.8 and 0.77. At the family level, they were 0.91, 0.89, 0.88 and 0.81. At the order level, they were 0.94, 0.94, 0.92 and 0.85. At the class level, they were 0.96, 0.96, 0.93 and 0.85. Again, the CNN classifier outperformed the other classifiers. The BLAST classification produced the </w:t>
      </w:r>
      <w:r>
        <w:rPr>
          <w:sz w:val="20"/>
        </w:rPr>
        <w:lastRenderedPageBreak/>
        <w:t>lowest MCCs on this dataset, because the high optimal thresholds predicted excluded all the sequences lying in the border of the groups.</w:t>
      </w:r>
    </w:p>
    <w:p w14:paraId="127C7DBE" w14:textId="32245A3E" w:rsidR="00EE5D51" w:rsidRDefault="000A3DAA" w:rsidP="000A3DAA">
      <w:pPr>
        <w:pStyle w:val="para-first"/>
        <w:rPr>
          <w:sz w:val="20"/>
          <w:szCs w:val="20"/>
        </w:rPr>
      </w:pPr>
      <w:r>
        <w:rPr>
          <w:sz w:val="20"/>
        </w:rPr>
        <w:t xml:space="preserve">To see how all the taxa were handled by the classifiers, the </w:t>
      </w:r>
      <w:r w:rsidR="00C51CF0">
        <w:rPr>
          <w:sz w:val="20"/>
          <w:szCs w:val="20"/>
        </w:rPr>
        <w:t>recall, p</w:t>
      </w:r>
      <w:r>
        <w:rPr>
          <w:sz w:val="20"/>
          <w:szCs w:val="20"/>
        </w:rPr>
        <w:t xml:space="preserve">recision and </w:t>
      </w:r>
      <w:r w:rsidRPr="001B2EB1">
        <w:rPr>
          <w:i/>
          <w:sz w:val="20"/>
          <w:szCs w:val="20"/>
        </w:rPr>
        <w:t>F</w:t>
      </w:r>
      <w:r>
        <w:rPr>
          <w:sz w:val="20"/>
          <w:szCs w:val="20"/>
        </w:rPr>
        <w:t>-scores of each group at different taxonomic levels obtained by all classifiers were studied (see Supplementary Fig.</w:t>
      </w:r>
      <w:r w:rsidR="00350C06">
        <w:rPr>
          <w:sz w:val="20"/>
          <w:szCs w:val="20"/>
        </w:rPr>
        <w:t xml:space="preserve"> 8 and Fig. 9</w:t>
      </w:r>
      <w:r>
        <w:rPr>
          <w:sz w:val="20"/>
          <w:szCs w:val="20"/>
        </w:rPr>
        <w:t xml:space="preserve">). Like the yeast dataset, at the family and higher taxonomic levels, the CNN and DBN also produced the same </w:t>
      </w:r>
      <w:r w:rsidRPr="002C7716">
        <w:rPr>
          <w:i/>
          <w:sz w:val="20"/>
          <w:szCs w:val="20"/>
        </w:rPr>
        <w:t>F</w:t>
      </w:r>
      <w:r>
        <w:rPr>
          <w:sz w:val="20"/>
          <w:szCs w:val="20"/>
        </w:rPr>
        <w:t xml:space="preserve">-score as BLAST for classes containing more than ten sequences. For small classes containing less than ten sequences, BLAST worked better. </w:t>
      </w:r>
      <w:r w:rsidR="00350C06">
        <w:rPr>
          <w:sz w:val="20"/>
          <w:szCs w:val="20"/>
        </w:rPr>
        <w:t xml:space="preserve">At the genus and species </w:t>
      </w:r>
      <w:r w:rsidR="00117DC9">
        <w:rPr>
          <w:sz w:val="20"/>
          <w:szCs w:val="20"/>
        </w:rPr>
        <w:t>levels where the distribution</w:t>
      </w:r>
      <w:r w:rsidR="00C51CF0">
        <w:rPr>
          <w:sz w:val="20"/>
          <w:szCs w:val="20"/>
        </w:rPr>
        <w:t>s</w:t>
      </w:r>
      <w:r w:rsidR="00117DC9">
        <w:rPr>
          <w:sz w:val="20"/>
          <w:szCs w:val="20"/>
        </w:rPr>
        <w:t xml:space="preserve"> of</w:t>
      </w:r>
      <w:r w:rsidR="00350C06">
        <w:rPr>
          <w:sz w:val="20"/>
          <w:szCs w:val="20"/>
        </w:rPr>
        <w:t xml:space="preserve"> the sequences w</w:t>
      </w:r>
      <w:r w:rsidR="00C51CF0">
        <w:rPr>
          <w:sz w:val="20"/>
          <w:szCs w:val="20"/>
        </w:rPr>
        <w:t>ere</w:t>
      </w:r>
      <w:r w:rsidR="00117DC9">
        <w:rPr>
          <w:sz w:val="20"/>
          <w:szCs w:val="20"/>
        </w:rPr>
        <w:t xml:space="preserve"> more equal</w:t>
      </w:r>
      <w:r w:rsidR="00C51CF0">
        <w:rPr>
          <w:sz w:val="20"/>
          <w:szCs w:val="20"/>
        </w:rPr>
        <w:t>, the recall, p</w:t>
      </w:r>
      <w:r w:rsidR="00350C06">
        <w:rPr>
          <w:sz w:val="20"/>
          <w:szCs w:val="20"/>
        </w:rPr>
        <w:t xml:space="preserve">recision, and </w:t>
      </w:r>
      <w:r w:rsidR="00350C06" w:rsidRPr="00A8431C">
        <w:rPr>
          <w:i/>
          <w:sz w:val="20"/>
          <w:szCs w:val="20"/>
        </w:rPr>
        <w:t>F</w:t>
      </w:r>
      <w:r w:rsidR="00350C06">
        <w:rPr>
          <w:sz w:val="20"/>
          <w:szCs w:val="20"/>
        </w:rPr>
        <w:t xml:space="preserve">-scores obtained by all classifiers were about the same. </w:t>
      </w:r>
      <w:r w:rsidR="009841A2" w:rsidRPr="004B0B82">
        <w:rPr>
          <w:sz w:val="20"/>
        </w:rPr>
        <w:t>Supplementary</w:t>
      </w:r>
      <w:r w:rsidR="009841A2">
        <w:rPr>
          <w:sz w:val="20"/>
          <w:szCs w:val="20"/>
        </w:rPr>
        <w:t xml:space="preserve"> </w:t>
      </w:r>
      <w:r>
        <w:rPr>
          <w:sz w:val="20"/>
          <w:szCs w:val="20"/>
        </w:rPr>
        <w:t xml:space="preserve">Fig. </w:t>
      </w:r>
      <w:r w:rsidR="009841A2">
        <w:rPr>
          <w:sz w:val="20"/>
          <w:szCs w:val="20"/>
        </w:rPr>
        <w:t>8</w:t>
      </w:r>
      <w:r w:rsidR="00C51CF0">
        <w:rPr>
          <w:sz w:val="20"/>
          <w:szCs w:val="20"/>
        </w:rPr>
        <w:t xml:space="preserve"> shows the recall, p</w:t>
      </w:r>
      <w:r>
        <w:rPr>
          <w:sz w:val="20"/>
          <w:szCs w:val="20"/>
        </w:rPr>
        <w:t xml:space="preserve">recision and </w:t>
      </w:r>
      <w:r w:rsidRPr="00D759ED">
        <w:rPr>
          <w:i/>
          <w:sz w:val="20"/>
          <w:szCs w:val="20"/>
        </w:rPr>
        <w:t>F</w:t>
      </w:r>
      <w:r>
        <w:rPr>
          <w:sz w:val="20"/>
          <w:szCs w:val="20"/>
        </w:rPr>
        <w:t xml:space="preserve">-score of the first ten largest genera and species obtained by all the classifiers. It can be seen that the genera </w:t>
      </w:r>
      <w:r w:rsidRPr="00F50238">
        <w:rPr>
          <w:i/>
          <w:sz w:val="20"/>
          <w:szCs w:val="20"/>
        </w:rPr>
        <w:t>Chaetomium</w:t>
      </w:r>
      <w:r>
        <w:rPr>
          <w:sz w:val="20"/>
          <w:szCs w:val="20"/>
        </w:rPr>
        <w:t xml:space="preserve"> and </w:t>
      </w:r>
      <w:r w:rsidRPr="00F50238">
        <w:rPr>
          <w:i/>
          <w:sz w:val="20"/>
          <w:szCs w:val="20"/>
        </w:rPr>
        <w:t>Acremonium</w:t>
      </w:r>
      <w:r>
        <w:rPr>
          <w:sz w:val="20"/>
          <w:szCs w:val="20"/>
        </w:rPr>
        <w:t xml:space="preserve"> had a</w:t>
      </w:r>
      <w:r w:rsidR="00C51CF0">
        <w:rPr>
          <w:sz w:val="20"/>
          <w:szCs w:val="20"/>
        </w:rPr>
        <w:t>n</w:t>
      </w:r>
      <w:r>
        <w:rPr>
          <w:sz w:val="20"/>
          <w:szCs w:val="20"/>
        </w:rPr>
        <w:t xml:space="preserve"> </w:t>
      </w:r>
      <w:r w:rsidRPr="00D759ED">
        <w:rPr>
          <w:i/>
          <w:sz w:val="20"/>
          <w:szCs w:val="20"/>
        </w:rPr>
        <w:t>F</w:t>
      </w:r>
      <w:r>
        <w:rPr>
          <w:sz w:val="20"/>
          <w:szCs w:val="20"/>
        </w:rPr>
        <w:t>-score less than 90</w:t>
      </w:r>
      <w:r w:rsidR="007D07EF">
        <w:rPr>
          <w:sz w:val="20"/>
          <w:szCs w:val="20"/>
        </w:rPr>
        <w:t xml:space="preserve"> </w:t>
      </w:r>
      <w:r>
        <w:rPr>
          <w:sz w:val="20"/>
          <w:szCs w:val="20"/>
        </w:rPr>
        <w:t xml:space="preserve">% by all the classifiers. The sequences within these genera were highly divergent. The median and minimum similarity scores of </w:t>
      </w:r>
      <w:r w:rsidRPr="00F50238">
        <w:rPr>
          <w:i/>
          <w:sz w:val="20"/>
          <w:szCs w:val="20"/>
        </w:rPr>
        <w:t>Chaetomium</w:t>
      </w:r>
      <w:r>
        <w:rPr>
          <w:sz w:val="20"/>
          <w:szCs w:val="20"/>
        </w:rPr>
        <w:t xml:space="preserve"> were 94.1% and 84.4</w:t>
      </w:r>
      <w:r w:rsidR="007D07EF">
        <w:rPr>
          <w:sz w:val="20"/>
          <w:szCs w:val="20"/>
        </w:rPr>
        <w:t xml:space="preserve"> </w:t>
      </w:r>
      <w:r>
        <w:rPr>
          <w:sz w:val="20"/>
          <w:szCs w:val="20"/>
        </w:rPr>
        <w:t xml:space="preserve">%. For </w:t>
      </w:r>
      <w:r w:rsidRPr="00F50238">
        <w:rPr>
          <w:i/>
          <w:sz w:val="20"/>
          <w:szCs w:val="20"/>
        </w:rPr>
        <w:t>Acremonium</w:t>
      </w:r>
      <w:r>
        <w:rPr>
          <w:sz w:val="20"/>
          <w:szCs w:val="20"/>
        </w:rPr>
        <w:t>, they were 72.6</w:t>
      </w:r>
      <w:r w:rsidR="007D07EF">
        <w:rPr>
          <w:sz w:val="20"/>
          <w:szCs w:val="20"/>
        </w:rPr>
        <w:t xml:space="preserve"> </w:t>
      </w:r>
      <w:r>
        <w:rPr>
          <w:sz w:val="20"/>
          <w:szCs w:val="20"/>
        </w:rPr>
        <w:t>% and 51.7</w:t>
      </w:r>
      <w:r w:rsidR="007D07EF">
        <w:rPr>
          <w:sz w:val="20"/>
          <w:szCs w:val="20"/>
        </w:rPr>
        <w:t xml:space="preserve"> </w:t>
      </w:r>
      <w:r>
        <w:rPr>
          <w:sz w:val="20"/>
          <w:szCs w:val="20"/>
        </w:rPr>
        <w:t xml:space="preserve">%, respectively. The four species </w:t>
      </w:r>
      <w:r w:rsidRPr="0081758A">
        <w:rPr>
          <w:i/>
          <w:sz w:val="20"/>
          <w:szCs w:val="20"/>
        </w:rPr>
        <w:t xml:space="preserve">Fusarium </w:t>
      </w:r>
      <w:proofErr w:type="spellStart"/>
      <w:r w:rsidRPr="0081758A">
        <w:rPr>
          <w:i/>
          <w:sz w:val="20"/>
          <w:szCs w:val="20"/>
        </w:rPr>
        <w:t>oxysporum</w:t>
      </w:r>
      <w:proofErr w:type="spellEnd"/>
      <w:r w:rsidRPr="0081758A">
        <w:rPr>
          <w:i/>
          <w:sz w:val="20"/>
          <w:szCs w:val="20"/>
        </w:rPr>
        <w:t xml:space="preserve">, Chaetomium </w:t>
      </w:r>
      <w:proofErr w:type="spellStart"/>
      <w:r w:rsidRPr="0081758A">
        <w:rPr>
          <w:i/>
          <w:sz w:val="20"/>
          <w:szCs w:val="20"/>
        </w:rPr>
        <w:t>globosum</w:t>
      </w:r>
      <w:proofErr w:type="spellEnd"/>
      <w:r>
        <w:rPr>
          <w:sz w:val="20"/>
          <w:szCs w:val="20"/>
        </w:rPr>
        <w:t xml:space="preserve">, </w:t>
      </w:r>
      <w:r w:rsidRPr="0081758A">
        <w:rPr>
          <w:i/>
          <w:sz w:val="20"/>
          <w:szCs w:val="20"/>
        </w:rPr>
        <w:t xml:space="preserve">Colletotrichum </w:t>
      </w:r>
      <w:proofErr w:type="spellStart"/>
      <w:r w:rsidRPr="0081758A">
        <w:rPr>
          <w:i/>
          <w:sz w:val="20"/>
          <w:szCs w:val="20"/>
        </w:rPr>
        <w:t>gloeosporioides</w:t>
      </w:r>
      <w:proofErr w:type="spellEnd"/>
      <w:r>
        <w:rPr>
          <w:sz w:val="20"/>
          <w:szCs w:val="20"/>
        </w:rPr>
        <w:t xml:space="preserve">, and </w:t>
      </w:r>
      <w:r w:rsidRPr="0081758A">
        <w:rPr>
          <w:i/>
          <w:sz w:val="20"/>
          <w:szCs w:val="20"/>
        </w:rPr>
        <w:t xml:space="preserve">Penicillium </w:t>
      </w:r>
      <w:proofErr w:type="spellStart"/>
      <w:r w:rsidRPr="0081758A">
        <w:rPr>
          <w:i/>
          <w:sz w:val="20"/>
          <w:szCs w:val="20"/>
        </w:rPr>
        <w:t>chrysogenum</w:t>
      </w:r>
      <w:proofErr w:type="spellEnd"/>
      <w:r>
        <w:rPr>
          <w:sz w:val="20"/>
          <w:szCs w:val="20"/>
        </w:rPr>
        <w:t xml:space="preserve"> had a</w:t>
      </w:r>
      <w:r w:rsidR="002C7716">
        <w:rPr>
          <w:sz w:val="20"/>
          <w:szCs w:val="20"/>
        </w:rPr>
        <w:t>n</w:t>
      </w:r>
      <w:r>
        <w:rPr>
          <w:sz w:val="20"/>
          <w:szCs w:val="20"/>
        </w:rPr>
        <w:t xml:space="preserve"> </w:t>
      </w:r>
      <w:r w:rsidRPr="00D759ED">
        <w:rPr>
          <w:i/>
          <w:sz w:val="20"/>
          <w:szCs w:val="20"/>
        </w:rPr>
        <w:t>F</w:t>
      </w:r>
      <w:r>
        <w:rPr>
          <w:sz w:val="20"/>
          <w:szCs w:val="20"/>
        </w:rPr>
        <w:t>-score of less than 80% by all the classifiers</w:t>
      </w:r>
      <w:r w:rsidR="00C51CF0">
        <w:rPr>
          <w:sz w:val="20"/>
          <w:szCs w:val="20"/>
        </w:rPr>
        <w:t>. It is because they had a low p</w:t>
      </w:r>
      <w:r>
        <w:rPr>
          <w:sz w:val="20"/>
          <w:szCs w:val="20"/>
        </w:rPr>
        <w:t xml:space="preserve">recision score as the species </w:t>
      </w:r>
      <w:r w:rsidR="00C51CF0" w:rsidRPr="0081758A">
        <w:rPr>
          <w:i/>
          <w:sz w:val="20"/>
          <w:szCs w:val="20"/>
        </w:rPr>
        <w:t>Fusarium</w:t>
      </w:r>
      <w:r w:rsidRPr="0081758A">
        <w:rPr>
          <w:i/>
          <w:sz w:val="20"/>
          <w:szCs w:val="20"/>
        </w:rPr>
        <w:t xml:space="preserve"> </w:t>
      </w:r>
      <w:proofErr w:type="spellStart"/>
      <w:r w:rsidRPr="0081758A">
        <w:rPr>
          <w:i/>
          <w:sz w:val="20"/>
          <w:szCs w:val="20"/>
        </w:rPr>
        <w:t>oxysporum</w:t>
      </w:r>
      <w:proofErr w:type="spellEnd"/>
      <w:r>
        <w:rPr>
          <w:i/>
          <w:sz w:val="20"/>
          <w:szCs w:val="20"/>
        </w:rPr>
        <w:t xml:space="preserve"> </w:t>
      </w:r>
      <w:r>
        <w:rPr>
          <w:sz w:val="20"/>
          <w:szCs w:val="20"/>
        </w:rPr>
        <w:t>and</w:t>
      </w:r>
      <w:r w:rsidRPr="0081758A">
        <w:rPr>
          <w:i/>
          <w:sz w:val="20"/>
          <w:szCs w:val="20"/>
        </w:rPr>
        <w:t xml:space="preserve"> </w:t>
      </w:r>
      <w:r w:rsidR="00C51CF0" w:rsidRPr="0081758A">
        <w:rPr>
          <w:i/>
          <w:sz w:val="20"/>
          <w:szCs w:val="20"/>
        </w:rPr>
        <w:t>Chaetomium</w:t>
      </w:r>
      <w:r w:rsidR="00C51CF0">
        <w:rPr>
          <w:i/>
          <w:sz w:val="20"/>
          <w:szCs w:val="20"/>
        </w:rPr>
        <w:t xml:space="preserve"> </w:t>
      </w:r>
      <w:proofErr w:type="spellStart"/>
      <w:r>
        <w:rPr>
          <w:i/>
          <w:sz w:val="20"/>
          <w:szCs w:val="20"/>
        </w:rPr>
        <w:t>g</w:t>
      </w:r>
      <w:r w:rsidRPr="0081758A">
        <w:rPr>
          <w:i/>
          <w:sz w:val="20"/>
          <w:szCs w:val="20"/>
        </w:rPr>
        <w:t>lobosum</w:t>
      </w:r>
      <w:proofErr w:type="spellEnd"/>
      <w:r>
        <w:rPr>
          <w:sz w:val="20"/>
          <w:szCs w:val="20"/>
        </w:rPr>
        <w:t xml:space="preserve"> had a number of varieties in the training dataset while </w:t>
      </w:r>
      <w:r w:rsidR="00C51CF0" w:rsidRPr="0081758A">
        <w:rPr>
          <w:i/>
          <w:sz w:val="20"/>
          <w:szCs w:val="20"/>
        </w:rPr>
        <w:t>Colletotrichum</w:t>
      </w:r>
      <w:r w:rsidRPr="0081758A">
        <w:rPr>
          <w:i/>
          <w:sz w:val="20"/>
          <w:szCs w:val="20"/>
        </w:rPr>
        <w:t xml:space="preserve"> </w:t>
      </w:r>
      <w:proofErr w:type="spellStart"/>
      <w:r w:rsidRPr="0081758A">
        <w:rPr>
          <w:i/>
          <w:sz w:val="20"/>
          <w:szCs w:val="20"/>
        </w:rPr>
        <w:t>gloeosporioides</w:t>
      </w:r>
      <w:proofErr w:type="spellEnd"/>
      <w:r>
        <w:rPr>
          <w:sz w:val="20"/>
          <w:szCs w:val="20"/>
        </w:rPr>
        <w:t xml:space="preserve"> and </w:t>
      </w:r>
      <w:r w:rsidR="00C51CF0" w:rsidRPr="0081758A">
        <w:rPr>
          <w:i/>
          <w:sz w:val="20"/>
          <w:szCs w:val="20"/>
        </w:rPr>
        <w:t>Penicillium</w:t>
      </w:r>
      <w:r>
        <w:rPr>
          <w:i/>
          <w:sz w:val="20"/>
          <w:szCs w:val="20"/>
        </w:rPr>
        <w:t xml:space="preserve"> </w:t>
      </w:r>
      <w:proofErr w:type="spellStart"/>
      <w:r w:rsidRPr="0081758A">
        <w:rPr>
          <w:i/>
          <w:sz w:val="20"/>
          <w:szCs w:val="20"/>
        </w:rPr>
        <w:t>chrysogenum</w:t>
      </w:r>
      <w:proofErr w:type="spellEnd"/>
      <w:r>
        <w:rPr>
          <w:sz w:val="20"/>
          <w:szCs w:val="20"/>
        </w:rPr>
        <w:t xml:space="preserve"> were </w:t>
      </w:r>
      <w:r w:rsidRPr="00BD4DC2">
        <w:rPr>
          <w:sz w:val="20"/>
          <w:szCs w:val="20"/>
        </w:rPr>
        <w:t xml:space="preserve">known to share ITS sequences with their closely related species </w:t>
      </w:r>
      <w:r w:rsidR="0030752F">
        <w:rPr>
          <w:sz w:val="20"/>
          <w:szCs w:val="20"/>
        </w:rPr>
        <w:t>[</w:t>
      </w:r>
      <w:r w:rsidR="00750854">
        <w:rPr>
          <w:sz w:val="20"/>
          <w:szCs w:val="20"/>
        </w:rPr>
        <w:t>3</w:t>
      </w:r>
      <w:r w:rsidR="0030752F">
        <w:rPr>
          <w:sz w:val="20"/>
          <w:szCs w:val="20"/>
        </w:rPr>
        <w:t xml:space="preserve">, </w:t>
      </w:r>
      <w:r w:rsidR="00750854">
        <w:rPr>
          <w:sz w:val="20"/>
          <w:szCs w:val="20"/>
        </w:rPr>
        <w:t>4</w:t>
      </w:r>
      <w:r w:rsidR="0030752F">
        <w:rPr>
          <w:sz w:val="20"/>
          <w:szCs w:val="20"/>
        </w:rPr>
        <w:t>]</w:t>
      </w:r>
      <w:r w:rsidRPr="00BD4DC2">
        <w:rPr>
          <w:sz w:val="20"/>
          <w:szCs w:val="20"/>
        </w:rPr>
        <w:t>.</w:t>
      </w:r>
    </w:p>
    <w:p w14:paraId="355E8663" w14:textId="3D9183DD" w:rsidR="000A3DAA" w:rsidRPr="000B7F2A" w:rsidRDefault="000A3DAA" w:rsidP="000A3DAA">
      <w:pPr>
        <w:pStyle w:val="para-first"/>
        <w:rPr>
          <w:sz w:val="20"/>
        </w:rPr>
      </w:pPr>
      <w:r>
        <w:rPr>
          <w:sz w:val="20"/>
          <w:szCs w:val="20"/>
        </w:rPr>
        <w:t xml:space="preserve"> </w:t>
      </w:r>
    </w:p>
    <w:p w14:paraId="485B965D" w14:textId="4FBDA03F" w:rsidR="00EE5D51" w:rsidRDefault="00DA7F1A" w:rsidP="00EB633F">
      <w:pPr>
        <w:rPr>
          <w:rFonts w:ascii="Times New Roman" w:hAnsi="Times New Roman" w:cs="Times New Roman"/>
          <w:sz w:val="16"/>
        </w:rPr>
      </w:pPr>
      <w:r>
        <w:rPr>
          <w:rFonts w:ascii="Times New Roman" w:hAnsi="Times New Roman" w:cs="Times New Roman"/>
          <w:noProof/>
          <w:sz w:val="16"/>
        </w:rPr>
        <w:drawing>
          <wp:inline distT="0" distB="0" distL="0" distR="0" wp14:anchorId="38B96256" wp14:editId="0B188A87">
            <wp:extent cx="5742432" cy="494385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8_classificationresults_mould_class_order_family_cropped.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42432" cy="4943856"/>
                    </a:xfrm>
                    <a:prstGeom prst="rect">
                      <a:avLst/>
                    </a:prstGeom>
                  </pic:spPr>
                </pic:pic>
              </a:graphicData>
            </a:graphic>
          </wp:inline>
        </w:drawing>
      </w:r>
    </w:p>
    <w:p w14:paraId="4A92A30B" w14:textId="7A24E568" w:rsidR="008310A7" w:rsidRDefault="008310A7" w:rsidP="00EB633F">
      <w:pPr>
        <w:rPr>
          <w:rStyle w:val="para-firstChar"/>
          <w:rFonts w:eastAsiaTheme="minorEastAsia"/>
        </w:rPr>
      </w:pPr>
      <w:r>
        <w:rPr>
          <w:rFonts w:ascii="Times New Roman" w:hAnsi="Times New Roman" w:cs="Times New Roman"/>
          <w:sz w:val="16"/>
        </w:rPr>
        <w:t xml:space="preserve">Supplementary Figure </w:t>
      </w:r>
      <w:r w:rsidR="004B0B82">
        <w:rPr>
          <w:rFonts w:ascii="Times New Roman" w:hAnsi="Times New Roman" w:cs="Times New Roman"/>
          <w:sz w:val="16"/>
        </w:rPr>
        <w:t>8</w:t>
      </w:r>
      <w:r w:rsidR="00A256B9">
        <w:rPr>
          <w:rFonts w:ascii="Times New Roman" w:hAnsi="Times New Roman" w:cs="Times New Roman"/>
          <w:sz w:val="16"/>
        </w:rPr>
        <w:t>. The recall, p</w:t>
      </w:r>
      <w:r>
        <w:rPr>
          <w:rFonts w:ascii="Times New Roman" w:hAnsi="Times New Roman" w:cs="Times New Roman"/>
          <w:sz w:val="16"/>
        </w:rPr>
        <w:t xml:space="preserve">recision, and </w:t>
      </w:r>
      <w:r w:rsidRPr="00EB633F">
        <w:rPr>
          <w:rFonts w:ascii="Times New Roman" w:hAnsi="Times New Roman" w:cs="Times New Roman"/>
          <w:i/>
          <w:sz w:val="16"/>
        </w:rPr>
        <w:t>F</w:t>
      </w:r>
      <w:r w:rsidR="00A256B9">
        <w:rPr>
          <w:rFonts w:ascii="Times New Roman" w:hAnsi="Times New Roman" w:cs="Times New Roman"/>
          <w:i/>
          <w:sz w:val="16"/>
        </w:rPr>
        <w:t>-</w:t>
      </w:r>
      <w:r>
        <w:rPr>
          <w:rFonts w:ascii="Times New Roman" w:hAnsi="Times New Roman" w:cs="Times New Roman"/>
          <w:sz w:val="16"/>
        </w:rPr>
        <w:t xml:space="preserve">scores together with the number of the sequences (on the secondary axis) of each taxon name obtained by all classifiers at the family, order and class levels on the mould dataset with </w:t>
      </w:r>
      <w:r w:rsidRPr="003804CD">
        <w:rPr>
          <w:rFonts w:ascii="Times New Roman" w:hAnsi="Times New Roman" w:cs="Times New Roman"/>
          <w:i/>
          <w:sz w:val="16"/>
        </w:rPr>
        <w:t>k</w:t>
      </w:r>
      <w:r>
        <w:rPr>
          <w:rFonts w:ascii="Times New Roman" w:hAnsi="Times New Roman" w:cs="Times New Roman"/>
          <w:sz w:val="16"/>
        </w:rPr>
        <w:t>=6.</w:t>
      </w:r>
      <w:r w:rsidR="00441E1C">
        <w:rPr>
          <w:rFonts w:ascii="Times New Roman" w:hAnsi="Times New Roman" w:cs="Times New Roman"/>
          <w:noProof/>
          <w:sz w:val="16"/>
        </w:rPr>
        <w:lastRenderedPageBreak/>
        <w:drawing>
          <wp:inline distT="0" distB="0" distL="0" distR="0" wp14:anchorId="13F68CE5" wp14:editId="156AC1C3">
            <wp:extent cx="5748528" cy="4992624"/>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ryFigure9_classificationresults_mould_cropped.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48528" cy="4992624"/>
                    </a:xfrm>
                    <a:prstGeom prst="rect">
                      <a:avLst/>
                    </a:prstGeom>
                  </pic:spPr>
                </pic:pic>
              </a:graphicData>
            </a:graphic>
          </wp:inline>
        </w:drawing>
      </w:r>
      <w:r w:rsidR="004B0B82">
        <w:rPr>
          <w:rFonts w:ascii="Times New Roman" w:hAnsi="Times New Roman" w:cs="Times New Roman"/>
          <w:sz w:val="16"/>
        </w:rPr>
        <w:t>Supplementary</w:t>
      </w:r>
      <w:r w:rsidR="004B0B82">
        <w:rPr>
          <w:rFonts w:ascii="Times New Roman" w:hAnsi="Times New Roman" w:cs="Times New Roman"/>
          <w:noProof/>
          <w:sz w:val="16"/>
        </w:rPr>
        <w:t xml:space="preserve"> </w:t>
      </w:r>
      <w:r w:rsidR="004B0B82">
        <w:rPr>
          <w:rFonts w:ascii="Times New Roman" w:hAnsi="Times New Roman" w:cs="Times New Roman"/>
          <w:sz w:val="16"/>
          <w:szCs w:val="16"/>
        </w:rPr>
        <w:t>Figure 9</w:t>
      </w:r>
      <w:r w:rsidRPr="008310A7">
        <w:rPr>
          <w:rFonts w:ascii="Times New Roman" w:hAnsi="Times New Roman" w:cs="Times New Roman"/>
          <w:sz w:val="16"/>
          <w:szCs w:val="16"/>
        </w:rPr>
        <w:t xml:space="preserve">. </w:t>
      </w:r>
      <w:r w:rsidR="00A256B9">
        <w:rPr>
          <w:rStyle w:val="para-firstChar"/>
          <w:rFonts w:eastAsiaTheme="minorEastAsia"/>
        </w:rPr>
        <w:t>The average recall, p</w:t>
      </w:r>
      <w:r w:rsidRPr="008310A7">
        <w:rPr>
          <w:rStyle w:val="para-firstChar"/>
          <w:rFonts w:eastAsiaTheme="minorEastAsia"/>
        </w:rPr>
        <w:t xml:space="preserve">recision, and </w:t>
      </w:r>
      <w:r w:rsidRPr="00A256B9">
        <w:rPr>
          <w:rStyle w:val="para-firstChar"/>
          <w:rFonts w:eastAsiaTheme="minorEastAsia"/>
          <w:i/>
        </w:rPr>
        <w:t>F</w:t>
      </w:r>
      <w:r w:rsidRPr="008310A7">
        <w:rPr>
          <w:rStyle w:val="para-firstChar"/>
          <w:rFonts w:eastAsiaTheme="minorEastAsia"/>
        </w:rPr>
        <w:t>-scores obtained by different cl</w:t>
      </w:r>
      <w:r w:rsidR="00A256B9">
        <w:rPr>
          <w:rStyle w:val="para-firstChar"/>
          <w:rFonts w:eastAsiaTheme="minorEastAsia"/>
        </w:rPr>
        <w:t>assifiers of the ten largest mo</w:t>
      </w:r>
      <w:r w:rsidRPr="008310A7">
        <w:rPr>
          <w:rStyle w:val="para-firstChar"/>
          <w:rFonts w:eastAsiaTheme="minorEastAsia"/>
        </w:rPr>
        <w:t xml:space="preserve">ld genera  and species (with the number of training sequences ranging from 109 to 629 at the genus level, and from 26 to 88 at the species level) when </w:t>
      </w:r>
      <w:r w:rsidRPr="008310A7">
        <w:rPr>
          <w:rStyle w:val="para-firstChar"/>
          <w:rFonts w:eastAsiaTheme="minorEastAsia"/>
          <w:i/>
        </w:rPr>
        <w:t>k</w:t>
      </w:r>
      <w:r w:rsidRPr="008310A7">
        <w:rPr>
          <w:rStyle w:val="para-firstChar"/>
          <w:rFonts w:eastAsiaTheme="minorEastAsia"/>
        </w:rPr>
        <w:t>=6</w:t>
      </w:r>
      <w:r>
        <w:rPr>
          <w:rStyle w:val="para-firstChar"/>
          <w:rFonts w:eastAsiaTheme="minorEastAsia"/>
        </w:rPr>
        <w:t>.</w:t>
      </w:r>
    </w:p>
    <w:p w14:paraId="2EA85D66" w14:textId="0C13CFE0" w:rsidR="00750854" w:rsidRPr="000F254E" w:rsidRDefault="00F96400" w:rsidP="00F96400">
      <w:pPr>
        <w:pStyle w:val="RefHead"/>
        <w:rPr>
          <w:rFonts w:ascii="Times New Roman" w:hAnsi="Times New Roman"/>
          <w:sz w:val="24"/>
          <w:szCs w:val="24"/>
        </w:rPr>
      </w:pPr>
      <w:r w:rsidRPr="000F254E">
        <w:rPr>
          <w:rFonts w:ascii="Times New Roman" w:hAnsi="Times New Roman"/>
          <w:sz w:val="24"/>
          <w:szCs w:val="24"/>
        </w:rPr>
        <w:t>References</w:t>
      </w:r>
    </w:p>
    <w:p w14:paraId="7B1D934F" w14:textId="77777777" w:rsidR="00750854" w:rsidRPr="009A0D51" w:rsidRDefault="00750854" w:rsidP="00750854">
      <w:pPr>
        <w:pStyle w:val="RefText"/>
        <w:numPr>
          <w:ilvl w:val="0"/>
          <w:numId w:val="3"/>
        </w:numPr>
        <w:rPr>
          <w:sz w:val="16"/>
          <w:szCs w:val="14"/>
          <w:lang w:val="nl-NL"/>
        </w:rPr>
      </w:pPr>
      <w:r w:rsidRPr="009A0D51">
        <w:rPr>
          <w:sz w:val="16"/>
          <w:szCs w:val="14"/>
          <w:lang w:val="nl-NL"/>
        </w:rPr>
        <w:t xml:space="preserve">Vu, D., Groenewald, M., de Vries, M., </w:t>
      </w:r>
      <w:r w:rsidRPr="009A0D51">
        <w:rPr>
          <w:i/>
          <w:sz w:val="16"/>
          <w:szCs w:val="14"/>
          <w:lang w:val="nl-NL"/>
        </w:rPr>
        <w:t>et al.</w:t>
      </w:r>
      <w:r w:rsidRPr="009A0D51">
        <w:rPr>
          <w:sz w:val="16"/>
          <w:szCs w:val="14"/>
          <w:lang w:val="nl-NL"/>
        </w:rPr>
        <w:t xml:space="preserve"> </w:t>
      </w:r>
      <w:r w:rsidRPr="009A0D51">
        <w:rPr>
          <w:sz w:val="16"/>
          <w:szCs w:val="14"/>
        </w:rPr>
        <w:t xml:space="preserve">(2019). Large-scale analysis of filamentous fungal DNA barcodes reveals thresholds for species and higher taxon delimitation. </w:t>
      </w:r>
      <w:r w:rsidRPr="009A0D51">
        <w:rPr>
          <w:i/>
          <w:sz w:val="16"/>
          <w:szCs w:val="14"/>
          <w:lang w:val="nl-NL"/>
        </w:rPr>
        <w:t>Studies in Mycology</w:t>
      </w:r>
      <w:r w:rsidRPr="009A0D51">
        <w:rPr>
          <w:sz w:val="16"/>
          <w:szCs w:val="14"/>
          <w:lang w:val="nl-NL"/>
        </w:rPr>
        <w:t xml:space="preserve"> </w:t>
      </w:r>
      <w:r w:rsidRPr="009A0D51">
        <w:rPr>
          <w:b/>
          <w:sz w:val="16"/>
          <w:szCs w:val="14"/>
          <w:lang w:val="nl-NL"/>
        </w:rPr>
        <w:t>92</w:t>
      </w:r>
      <w:r w:rsidRPr="009A0D51">
        <w:rPr>
          <w:sz w:val="16"/>
          <w:szCs w:val="14"/>
          <w:lang w:val="nl-NL"/>
        </w:rPr>
        <w:t>, 135-154.</w:t>
      </w:r>
    </w:p>
    <w:p w14:paraId="649D2191" w14:textId="0CCE69B9" w:rsidR="00750854" w:rsidRPr="00750854" w:rsidRDefault="00750854" w:rsidP="00750854">
      <w:pPr>
        <w:pStyle w:val="RefText"/>
        <w:numPr>
          <w:ilvl w:val="0"/>
          <w:numId w:val="3"/>
        </w:numPr>
        <w:rPr>
          <w:sz w:val="16"/>
          <w:szCs w:val="14"/>
          <w:lang w:val="nl-NL"/>
        </w:rPr>
      </w:pPr>
      <w:r w:rsidRPr="009B60ED">
        <w:rPr>
          <w:sz w:val="16"/>
          <w:szCs w:val="14"/>
          <w:lang w:val="nl-NL"/>
        </w:rPr>
        <w:t xml:space="preserve">Vu, D., Georgievska, S., Szöke, S., </w:t>
      </w:r>
      <w:r w:rsidRPr="00E36FE3">
        <w:rPr>
          <w:i/>
          <w:iCs/>
          <w:sz w:val="16"/>
          <w:szCs w:val="14"/>
          <w:lang w:val="nl-NL"/>
        </w:rPr>
        <w:t>et al.</w:t>
      </w:r>
      <w:r w:rsidRPr="009B60ED">
        <w:rPr>
          <w:sz w:val="16"/>
          <w:szCs w:val="14"/>
          <w:lang w:val="nl-NL"/>
        </w:rPr>
        <w:t xml:space="preserve"> </w:t>
      </w:r>
      <w:r w:rsidRPr="009A0D51">
        <w:rPr>
          <w:sz w:val="16"/>
          <w:szCs w:val="14"/>
          <w:lang w:val="en-GB"/>
        </w:rPr>
        <w:t xml:space="preserve">(2018). </w:t>
      </w:r>
      <w:proofErr w:type="spellStart"/>
      <w:r w:rsidRPr="009A0D51">
        <w:rPr>
          <w:sz w:val="16"/>
          <w:szCs w:val="14"/>
          <w:lang w:val="en-GB"/>
        </w:rPr>
        <w:t>fMLC</w:t>
      </w:r>
      <w:proofErr w:type="spellEnd"/>
      <w:r w:rsidRPr="009A0D51">
        <w:rPr>
          <w:sz w:val="16"/>
          <w:szCs w:val="14"/>
          <w:lang w:val="en-GB"/>
        </w:rPr>
        <w:t xml:space="preserve">: Fast Multi-Level Clustering and Visualization of Large Molecular Datasets. </w:t>
      </w:r>
      <w:r w:rsidRPr="009A0D51">
        <w:rPr>
          <w:i/>
          <w:sz w:val="16"/>
          <w:szCs w:val="14"/>
          <w:lang w:val="nl-NL"/>
        </w:rPr>
        <w:t>Bioinformatics</w:t>
      </w:r>
      <w:r>
        <w:rPr>
          <w:i/>
          <w:sz w:val="16"/>
          <w:szCs w:val="14"/>
          <w:lang w:val="nl-NL"/>
        </w:rPr>
        <w:t xml:space="preserve"> </w:t>
      </w:r>
      <w:r w:rsidRPr="00E36FE3">
        <w:rPr>
          <w:b/>
          <w:bCs/>
          <w:iCs/>
          <w:sz w:val="16"/>
          <w:szCs w:val="14"/>
          <w:lang w:val="nl-NL"/>
        </w:rPr>
        <w:t>34</w:t>
      </w:r>
      <w:r w:rsidRPr="009A0D51">
        <w:rPr>
          <w:sz w:val="16"/>
          <w:szCs w:val="14"/>
          <w:lang w:val="nl-NL"/>
        </w:rPr>
        <w:t xml:space="preserve">, </w:t>
      </w:r>
      <w:r w:rsidRPr="00E36FE3">
        <w:rPr>
          <w:sz w:val="16"/>
          <w:szCs w:val="14"/>
          <w:lang w:val="nl-NL"/>
        </w:rPr>
        <w:t>1577–1579</w:t>
      </w:r>
      <w:r w:rsidRPr="009A0D51">
        <w:rPr>
          <w:sz w:val="16"/>
          <w:szCs w:val="14"/>
          <w:lang w:val="nl-NL"/>
        </w:rPr>
        <w:t>.</w:t>
      </w:r>
    </w:p>
    <w:p w14:paraId="21A23F7C" w14:textId="5AAB98E8" w:rsidR="0044775F" w:rsidRPr="0044775F" w:rsidRDefault="0044775F" w:rsidP="0044775F">
      <w:pPr>
        <w:pStyle w:val="RefText"/>
        <w:numPr>
          <w:ilvl w:val="0"/>
          <w:numId w:val="3"/>
        </w:numPr>
        <w:rPr>
          <w:sz w:val="16"/>
          <w:szCs w:val="14"/>
        </w:rPr>
      </w:pPr>
      <w:r w:rsidRPr="00B951FD">
        <w:rPr>
          <w:sz w:val="16"/>
          <w:szCs w:val="14"/>
          <w:lang w:val="nl-NL"/>
        </w:rPr>
        <w:t xml:space="preserve">Houbraken, J., Frisvad, J.C., Seifert, </w:t>
      </w:r>
      <w:r>
        <w:rPr>
          <w:sz w:val="16"/>
          <w:szCs w:val="14"/>
          <w:lang w:val="nl-NL"/>
        </w:rPr>
        <w:t xml:space="preserve">K.A., </w:t>
      </w:r>
      <w:r w:rsidRPr="00B951FD">
        <w:rPr>
          <w:i/>
          <w:sz w:val="16"/>
          <w:szCs w:val="14"/>
          <w:lang w:val="nl-NL"/>
        </w:rPr>
        <w:t>et al.</w:t>
      </w:r>
      <w:r w:rsidRPr="00B951FD">
        <w:rPr>
          <w:sz w:val="16"/>
          <w:szCs w:val="14"/>
          <w:lang w:val="nl-NL"/>
        </w:rPr>
        <w:t xml:space="preserve"> </w:t>
      </w:r>
      <w:r w:rsidRPr="00B951FD">
        <w:rPr>
          <w:sz w:val="16"/>
          <w:szCs w:val="14"/>
        </w:rPr>
        <w:t xml:space="preserve">(2012). New penicillin-producing Penicillium species and an overview of section </w:t>
      </w:r>
      <w:proofErr w:type="spellStart"/>
      <w:r w:rsidRPr="00B951FD">
        <w:rPr>
          <w:sz w:val="16"/>
          <w:szCs w:val="14"/>
        </w:rPr>
        <w:t>Chrysogena</w:t>
      </w:r>
      <w:proofErr w:type="spellEnd"/>
      <w:r w:rsidRPr="00B951FD">
        <w:rPr>
          <w:sz w:val="16"/>
          <w:szCs w:val="14"/>
        </w:rPr>
        <w:t xml:space="preserve">. </w:t>
      </w:r>
      <w:r w:rsidRPr="00B951FD">
        <w:rPr>
          <w:i/>
          <w:sz w:val="16"/>
          <w:szCs w:val="14"/>
        </w:rPr>
        <w:t>Persoonia</w:t>
      </w:r>
      <w:r w:rsidRPr="00B951FD">
        <w:rPr>
          <w:sz w:val="16"/>
          <w:szCs w:val="14"/>
        </w:rPr>
        <w:t xml:space="preserve"> </w:t>
      </w:r>
      <w:r w:rsidRPr="00B951FD">
        <w:rPr>
          <w:b/>
          <w:sz w:val="16"/>
          <w:szCs w:val="14"/>
        </w:rPr>
        <w:t>29</w:t>
      </w:r>
      <w:r w:rsidRPr="00B951FD">
        <w:rPr>
          <w:sz w:val="16"/>
          <w:szCs w:val="14"/>
        </w:rPr>
        <w:t>, 78–100.</w:t>
      </w:r>
    </w:p>
    <w:p w14:paraId="7481ADE1" w14:textId="7DB96DE7" w:rsidR="00F96400" w:rsidRPr="00F96400" w:rsidRDefault="00F96400" w:rsidP="00F96400">
      <w:pPr>
        <w:pStyle w:val="RefText"/>
        <w:numPr>
          <w:ilvl w:val="0"/>
          <w:numId w:val="3"/>
        </w:numPr>
        <w:rPr>
          <w:sz w:val="16"/>
        </w:rPr>
      </w:pPr>
      <w:r>
        <w:rPr>
          <w:sz w:val="16"/>
        </w:rPr>
        <w:t xml:space="preserve">Weir, B.S., Johnston, P.R., </w:t>
      </w:r>
      <w:proofErr w:type="spellStart"/>
      <w:r>
        <w:rPr>
          <w:sz w:val="16"/>
        </w:rPr>
        <w:t>Damm</w:t>
      </w:r>
      <w:proofErr w:type="spellEnd"/>
      <w:r>
        <w:rPr>
          <w:sz w:val="16"/>
        </w:rPr>
        <w:t xml:space="preserve">, U. (2012). </w:t>
      </w:r>
      <w:r w:rsidRPr="009B1A8D">
        <w:rPr>
          <w:sz w:val="16"/>
        </w:rPr>
        <w:t xml:space="preserve">The Colletotrichum </w:t>
      </w:r>
      <w:proofErr w:type="spellStart"/>
      <w:r w:rsidRPr="009B1A8D">
        <w:rPr>
          <w:sz w:val="16"/>
        </w:rPr>
        <w:t>gloeosporioides</w:t>
      </w:r>
      <w:proofErr w:type="spellEnd"/>
      <w:r w:rsidRPr="009B1A8D">
        <w:rPr>
          <w:sz w:val="16"/>
        </w:rPr>
        <w:t xml:space="preserve"> species complex</w:t>
      </w:r>
      <w:r w:rsidRPr="009B1A8D">
        <w:rPr>
          <w:i/>
          <w:sz w:val="16"/>
        </w:rPr>
        <w:t>. Studies in Mycology</w:t>
      </w:r>
      <w:r>
        <w:rPr>
          <w:sz w:val="16"/>
        </w:rPr>
        <w:t xml:space="preserve"> </w:t>
      </w:r>
      <w:r w:rsidRPr="009B1A8D">
        <w:rPr>
          <w:b/>
          <w:sz w:val="16"/>
        </w:rPr>
        <w:t>73</w:t>
      </w:r>
      <w:r>
        <w:rPr>
          <w:sz w:val="16"/>
        </w:rPr>
        <w:t xml:space="preserve">, </w:t>
      </w:r>
      <w:r w:rsidRPr="009B1A8D">
        <w:rPr>
          <w:sz w:val="16"/>
        </w:rPr>
        <w:t>115–180</w:t>
      </w:r>
      <w:r>
        <w:rPr>
          <w:sz w:val="16"/>
        </w:rPr>
        <w:t>.</w:t>
      </w:r>
    </w:p>
    <w:sectPr w:rsidR="00F96400" w:rsidRPr="00F964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Light">
    <w:altName w:val="Arial"/>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7952ED"/>
    <w:multiLevelType w:val="multilevel"/>
    <w:tmpl w:val="5A3E6BCA"/>
    <w:lvl w:ilvl="0">
      <w:start w:val="1"/>
      <w:numFmt w:val="decimal"/>
      <w:pStyle w:val="Heading1"/>
      <w:lvlText w:val="%1"/>
      <w:lvlJc w:val="left"/>
      <w:pPr>
        <w:ind w:left="1778" w:hanging="360"/>
      </w:pPr>
      <w:rPr>
        <w:rFonts w:hint="default"/>
      </w:rPr>
    </w:lvl>
    <w:lvl w:ilvl="1">
      <w:start w:val="1"/>
      <w:numFmt w:val="decimal"/>
      <w:pStyle w:val="Heading2"/>
      <w:isLgl/>
      <w:lvlText w:val="%1.%2."/>
      <w:lvlJc w:val="left"/>
      <w:pPr>
        <w:ind w:left="3054" w:hanging="360"/>
      </w:pPr>
      <w:rPr>
        <w:rFonts w:hint="default"/>
      </w:rPr>
    </w:lvl>
    <w:lvl w:ilvl="2">
      <w:start w:val="1"/>
      <w:numFmt w:val="decimal"/>
      <w:isLgl/>
      <w:lvlText w:val="%1.%2.%3."/>
      <w:lvlJc w:val="left"/>
      <w:pPr>
        <w:ind w:left="-338" w:hanging="720"/>
      </w:pPr>
      <w:rPr>
        <w:rFonts w:hint="default"/>
      </w:rPr>
    </w:lvl>
    <w:lvl w:ilvl="3">
      <w:start w:val="1"/>
      <w:numFmt w:val="decimal"/>
      <w:isLgl/>
      <w:lvlText w:val="%1.%2.%3.%4."/>
      <w:lvlJc w:val="left"/>
      <w:pPr>
        <w:ind w:left="-338" w:hanging="720"/>
      </w:pPr>
      <w:rPr>
        <w:rFonts w:hint="default"/>
      </w:rPr>
    </w:lvl>
    <w:lvl w:ilvl="4">
      <w:start w:val="1"/>
      <w:numFmt w:val="decimal"/>
      <w:isLgl/>
      <w:lvlText w:val="%1.%2.%3.%4.%5."/>
      <w:lvlJc w:val="left"/>
      <w:pPr>
        <w:ind w:left="-338" w:hanging="720"/>
      </w:pPr>
      <w:rPr>
        <w:rFonts w:hint="default"/>
      </w:rPr>
    </w:lvl>
    <w:lvl w:ilvl="5">
      <w:start w:val="1"/>
      <w:numFmt w:val="decimal"/>
      <w:isLgl/>
      <w:lvlText w:val="%1.%2.%3.%4.%5.%6."/>
      <w:lvlJc w:val="left"/>
      <w:pPr>
        <w:ind w:left="22" w:hanging="1080"/>
      </w:pPr>
      <w:rPr>
        <w:rFonts w:hint="default"/>
      </w:rPr>
    </w:lvl>
    <w:lvl w:ilvl="6">
      <w:start w:val="1"/>
      <w:numFmt w:val="decimal"/>
      <w:isLgl/>
      <w:lvlText w:val="%1.%2.%3.%4.%5.%6.%7."/>
      <w:lvlJc w:val="left"/>
      <w:pPr>
        <w:ind w:left="22" w:hanging="1080"/>
      </w:pPr>
      <w:rPr>
        <w:rFonts w:hint="default"/>
      </w:rPr>
    </w:lvl>
    <w:lvl w:ilvl="7">
      <w:start w:val="1"/>
      <w:numFmt w:val="decimal"/>
      <w:isLgl/>
      <w:lvlText w:val="%1.%2.%3.%4.%5.%6.%7.%8."/>
      <w:lvlJc w:val="left"/>
      <w:pPr>
        <w:ind w:left="22" w:hanging="1080"/>
      </w:pPr>
      <w:rPr>
        <w:rFonts w:hint="default"/>
      </w:rPr>
    </w:lvl>
    <w:lvl w:ilvl="8">
      <w:start w:val="1"/>
      <w:numFmt w:val="decimal"/>
      <w:isLgl/>
      <w:lvlText w:val="%1.%2.%3.%4.%5.%6.%7.%8.%9."/>
      <w:lvlJc w:val="left"/>
      <w:pPr>
        <w:ind w:left="382" w:hanging="1440"/>
      </w:pPr>
      <w:rPr>
        <w:rFonts w:hint="default"/>
      </w:rPr>
    </w:lvl>
  </w:abstractNum>
  <w:abstractNum w:abstractNumId="1" w15:restartNumberingAfterBreak="0">
    <w:nsid w:val="37D80806"/>
    <w:multiLevelType w:val="hybridMultilevel"/>
    <w:tmpl w:val="607E41D0"/>
    <w:lvl w:ilvl="0" w:tplc="22B4AE80">
      <w:start w:val="1"/>
      <w:numFmt w:val="decimal"/>
      <w:lvlText w:val="%1."/>
      <w:lvlJc w:val="left"/>
      <w:pPr>
        <w:ind w:left="720" w:hanging="360"/>
      </w:pPr>
      <w:rPr>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DD1CF7"/>
    <w:multiLevelType w:val="multilevel"/>
    <w:tmpl w:val="68DC59C2"/>
    <w:lvl w:ilvl="0">
      <w:start w:val="1"/>
      <w:numFmt w:val="decimal"/>
      <w:lvlText w:val="%1."/>
      <w:lvlJc w:val="left"/>
      <w:pPr>
        <w:ind w:left="1778"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338" w:hanging="720"/>
      </w:pPr>
      <w:rPr>
        <w:rFonts w:hint="default"/>
      </w:rPr>
    </w:lvl>
    <w:lvl w:ilvl="3">
      <w:start w:val="1"/>
      <w:numFmt w:val="decimal"/>
      <w:isLgl/>
      <w:lvlText w:val="%1.%2.%3.%4."/>
      <w:lvlJc w:val="left"/>
      <w:pPr>
        <w:ind w:left="-338" w:hanging="720"/>
      </w:pPr>
      <w:rPr>
        <w:rFonts w:hint="default"/>
      </w:rPr>
    </w:lvl>
    <w:lvl w:ilvl="4">
      <w:start w:val="1"/>
      <w:numFmt w:val="decimal"/>
      <w:isLgl/>
      <w:lvlText w:val="%1.%2.%3.%4.%5."/>
      <w:lvlJc w:val="left"/>
      <w:pPr>
        <w:ind w:left="-338" w:hanging="720"/>
      </w:pPr>
      <w:rPr>
        <w:rFonts w:hint="default"/>
      </w:rPr>
    </w:lvl>
    <w:lvl w:ilvl="5">
      <w:start w:val="1"/>
      <w:numFmt w:val="decimal"/>
      <w:isLgl/>
      <w:lvlText w:val="%1.%2.%3.%4.%5.%6."/>
      <w:lvlJc w:val="left"/>
      <w:pPr>
        <w:ind w:left="22" w:hanging="1080"/>
      </w:pPr>
      <w:rPr>
        <w:rFonts w:hint="default"/>
      </w:rPr>
    </w:lvl>
    <w:lvl w:ilvl="6">
      <w:start w:val="1"/>
      <w:numFmt w:val="decimal"/>
      <w:isLgl/>
      <w:lvlText w:val="%1.%2.%3.%4.%5.%6.%7."/>
      <w:lvlJc w:val="left"/>
      <w:pPr>
        <w:ind w:left="22" w:hanging="1080"/>
      </w:pPr>
      <w:rPr>
        <w:rFonts w:hint="default"/>
      </w:rPr>
    </w:lvl>
    <w:lvl w:ilvl="7">
      <w:start w:val="1"/>
      <w:numFmt w:val="decimal"/>
      <w:isLgl/>
      <w:lvlText w:val="%1.%2.%3.%4.%5.%6.%7.%8."/>
      <w:lvlJc w:val="left"/>
      <w:pPr>
        <w:ind w:left="22" w:hanging="1080"/>
      </w:pPr>
      <w:rPr>
        <w:rFonts w:hint="default"/>
      </w:rPr>
    </w:lvl>
    <w:lvl w:ilvl="8">
      <w:start w:val="1"/>
      <w:numFmt w:val="decimal"/>
      <w:isLgl/>
      <w:lvlText w:val="%1.%2.%3.%4.%5.%6.%7.%8.%9."/>
      <w:lvlJc w:val="left"/>
      <w:pPr>
        <w:ind w:left="382"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550"/>
    <w:rsid w:val="000428F5"/>
    <w:rsid w:val="00062BFC"/>
    <w:rsid w:val="0008053C"/>
    <w:rsid w:val="000A3DAA"/>
    <w:rsid w:val="000F07A2"/>
    <w:rsid w:val="00117DC9"/>
    <w:rsid w:val="00143F71"/>
    <w:rsid w:val="0014798F"/>
    <w:rsid w:val="00156DDD"/>
    <w:rsid w:val="001D6BC9"/>
    <w:rsid w:val="001E4E4A"/>
    <w:rsid w:val="00217FF2"/>
    <w:rsid w:val="00222DF1"/>
    <w:rsid w:val="002C7716"/>
    <w:rsid w:val="0030752F"/>
    <w:rsid w:val="00323982"/>
    <w:rsid w:val="0034117E"/>
    <w:rsid w:val="00341870"/>
    <w:rsid w:val="00350C06"/>
    <w:rsid w:val="00363FCB"/>
    <w:rsid w:val="003804CD"/>
    <w:rsid w:val="003812ED"/>
    <w:rsid w:val="003902DF"/>
    <w:rsid w:val="003B1AA6"/>
    <w:rsid w:val="003D1808"/>
    <w:rsid w:val="003F607C"/>
    <w:rsid w:val="004068A4"/>
    <w:rsid w:val="00441E1C"/>
    <w:rsid w:val="0044775F"/>
    <w:rsid w:val="00494425"/>
    <w:rsid w:val="004B0B82"/>
    <w:rsid w:val="004B5486"/>
    <w:rsid w:val="00536F47"/>
    <w:rsid w:val="005A2BEC"/>
    <w:rsid w:val="005D11C7"/>
    <w:rsid w:val="005D6F15"/>
    <w:rsid w:val="00610621"/>
    <w:rsid w:val="00651253"/>
    <w:rsid w:val="006543B3"/>
    <w:rsid w:val="006A0C3C"/>
    <w:rsid w:val="006D630C"/>
    <w:rsid w:val="006F5760"/>
    <w:rsid w:val="006F621B"/>
    <w:rsid w:val="00732E6E"/>
    <w:rsid w:val="00750854"/>
    <w:rsid w:val="007A3A49"/>
    <w:rsid w:val="007C5FCD"/>
    <w:rsid w:val="007C6540"/>
    <w:rsid w:val="007D07EF"/>
    <w:rsid w:val="008310A7"/>
    <w:rsid w:val="00831855"/>
    <w:rsid w:val="008F1EBA"/>
    <w:rsid w:val="008F2268"/>
    <w:rsid w:val="00905C40"/>
    <w:rsid w:val="009427DF"/>
    <w:rsid w:val="00944EB6"/>
    <w:rsid w:val="00967EF9"/>
    <w:rsid w:val="009841A2"/>
    <w:rsid w:val="00A02CBA"/>
    <w:rsid w:val="00A256B9"/>
    <w:rsid w:val="00A31F01"/>
    <w:rsid w:val="00A33D0C"/>
    <w:rsid w:val="00A8431C"/>
    <w:rsid w:val="00AA1692"/>
    <w:rsid w:val="00AD02C5"/>
    <w:rsid w:val="00AD20DA"/>
    <w:rsid w:val="00B2312E"/>
    <w:rsid w:val="00B259FE"/>
    <w:rsid w:val="00B27C49"/>
    <w:rsid w:val="00B73965"/>
    <w:rsid w:val="00B951B7"/>
    <w:rsid w:val="00C51CF0"/>
    <w:rsid w:val="00C70641"/>
    <w:rsid w:val="00CD03C1"/>
    <w:rsid w:val="00CE44FF"/>
    <w:rsid w:val="00D00535"/>
    <w:rsid w:val="00D51461"/>
    <w:rsid w:val="00D52C82"/>
    <w:rsid w:val="00D808F4"/>
    <w:rsid w:val="00D868AC"/>
    <w:rsid w:val="00DA7F1A"/>
    <w:rsid w:val="00DB1A9A"/>
    <w:rsid w:val="00DC69AC"/>
    <w:rsid w:val="00DF0D04"/>
    <w:rsid w:val="00DF5AA5"/>
    <w:rsid w:val="00E01550"/>
    <w:rsid w:val="00EA7267"/>
    <w:rsid w:val="00EB0208"/>
    <w:rsid w:val="00EB633F"/>
    <w:rsid w:val="00EE4161"/>
    <w:rsid w:val="00EE46BB"/>
    <w:rsid w:val="00EE5D51"/>
    <w:rsid w:val="00F15D66"/>
    <w:rsid w:val="00F36490"/>
    <w:rsid w:val="00F51DA5"/>
    <w:rsid w:val="00F7052D"/>
    <w:rsid w:val="00F7408B"/>
    <w:rsid w:val="00F85776"/>
    <w:rsid w:val="00F96400"/>
    <w:rsid w:val="00FC784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9464"/>
  <w15:chartTrackingRefBased/>
  <w15:docId w15:val="{2DFD40FD-13F7-4974-B265-ED5CD39B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next w:val="Normal"/>
    <w:link w:val="Heading1Char"/>
    <w:qFormat/>
    <w:rsid w:val="006543B3"/>
    <w:pPr>
      <w:numPr>
        <w:numId w:val="1"/>
      </w:numPr>
      <w:spacing w:before="360" w:after="50" w:line="240" w:lineRule="exact"/>
      <w:ind w:left="1495"/>
      <w:outlineLvl w:val="0"/>
    </w:pPr>
    <w:rPr>
      <w:rFonts w:ascii="Helvetica" w:eastAsia="Times New Roman" w:hAnsi="Helvetica" w:cs="Times New Roman"/>
      <w:b/>
      <w:sz w:val="20"/>
      <w:szCs w:val="20"/>
      <w:lang w:val="en-US" w:eastAsia="en-US"/>
    </w:rPr>
  </w:style>
  <w:style w:type="paragraph" w:styleId="Heading2">
    <w:name w:val="heading 2"/>
    <w:next w:val="Normal"/>
    <w:link w:val="Heading2Char"/>
    <w:autoRedefine/>
    <w:qFormat/>
    <w:rsid w:val="006543B3"/>
    <w:pPr>
      <w:numPr>
        <w:ilvl w:val="1"/>
        <w:numId w:val="1"/>
      </w:numPr>
      <w:spacing w:before="360" w:after="52" w:line="240" w:lineRule="exact"/>
      <w:ind w:left="426" w:hanging="426"/>
      <w:outlineLvl w:val="1"/>
    </w:pPr>
    <w:rPr>
      <w:rFonts w:ascii="Times New Roman" w:eastAsia="Times New Roman" w:hAnsi="Times New Roman" w:cs="Times New Roman"/>
      <w:b/>
      <w:bCs/>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1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543B3"/>
    <w:rPr>
      <w:rFonts w:ascii="Helvetica" w:eastAsia="Times New Roman" w:hAnsi="Helvetica" w:cs="Times New Roman"/>
      <w:b/>
      <w:sz w:val="20"/>
      <w:szCs w:val="20"/>
      <w:lang w:val="en-US" w:eastAsia="en-US"/>
    </w:rPr>
  </w:style>
  <w:style w:type="character" w:customStyle="1" w:styleId="Heading2Char">
    <w:name w:val="Heading 2 Char"/>
    <w:basedOn w:val="DefaultParagraphFont"/>
    <w:link w:val="Heading2"/>
    <w:rsid w:val="006543B3"/>
    <w:rPr>
      <w:rFonts w:ascii="Times New Roman" w:eastAsia="Times New Roman" w:hAnsi="Times New Roman" w:cs="Times New Roman"/>
      <w:b/>
      <w:bCs/>
      <w:sz w:val="18"/>
      <w:szCs w:val="18"/>
      <w:lang w:val="en-US" w:eastAsia="en-US"/>
    </w:rPr>
  </w:style>
  <w:style w:type="character" w:styleId="Hyperlink">
    <w:name w:val="Hyperlink"/>
    <w:basedOn w:val="DefaultParagraphFont"/>
    <w:uiPriority w:val="99"/>
    <w:unhideWhenUsed/>
    <w:rsid w:val="001D6BC9"/>
    <w:rPr>
      <w:color w:val="0563C1" w:themeColor="hyperlink"/>
      <w:u w:val="single"/>
    </w:rPr>
  </w:style>
  <w:style w:type="paragraph" w:customStyle="1" w:styleId="para-first">
    <w:name w:val="para-first"/>
    <w:basedOn w:val="Normal"/>
    <w:link w:val="para-firstChar"/>
    <w:qFormat/>
    <w:rsid w:val="001D6BC9"/>
    <w:pPr>
      <w:spacing w:after="0" w:line="220" w:lineRule="exact"/>
      <w:jc w:val="both"/>
    </w:pPr>
    <w:rPr>
      <w:rFonts w:ascii="Times New Roman" w:eastAsia="Times New Roman" w:hAnsi="Times New Roman" w:cs="Times New Roman"/>
      <w:sz w:val="16"/>
      <w:szCs w:val="16"/>
      <w:lang w:val="en-US" w:eastAsia="en-US"/>
    </w:rPr>
  </w:style>
  <w:style w:type="character" w:customStyle="1" w:styleId="para-firstChar">
    <w:name w:val="para-first Char"/>
    <w:basedOn w:val="DefaultParagraphFont"/>
    <w:link w:val="para-first"/>
    <w:rsid w:val="001D6BC9"/>
    <w:rPr>
      <w:rFonts w:ascii="Times New Roman" w:eastAsia="Times New Roman" w:hAnsi="Times New Roman" w:cs="Times New Roman"/>
      <w:sz w:val="16"/>
      <w:szCs w:val="16"/>
      <w:lang w:val="en-US" w:eastAsia="en-US"/>
    </w:rPr>
  </w:style>
  <w:style w:type="paragraph" w:styleId="BalloonText">
    <w:name w:val="Balloon Text"/>
    <w:basedOn w:val="Normal"/>
    <w:link w:val="BalloonTextChar"/>
    <w:uiPriority w:val="99"/>
    <w:semiHidden/>
    <w:unhideWhenUsed/>
    <w:rsid w:val="00EE4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161"/>
    <w:rPr>
      <w:rFonts w:ascii="Segoe UI" w:hAnsi="Segoe UI" w:cs="Segoe UI"/>
      <w:sz w:val="18"/>
      <w:szCs w:val="18"/>
      <w:lang w:val="en-GB"/>
    </w:rPr>
  </w:style>
  <w:style w:type="paragraph" w:styleId="Title">
    <w:name w:val="Title"/>
    <w:basedOn w:val="Normal"/>
    <w:next w:val="Normal"/>
    <w:link w:val="TitleChar"/>
    <w:qFormat/>
    <w:rsid w:val="00651253"/>
    <w:pPr>
      <w:spacing w:before="92" w:after="0" w:line="420" w:lineRule="exact"/>
      <w:jc w:val="both"/>
    </w:pPr>
    <w:rPr>
      <w:rFonts w:ascii="Helvetica" w:eastAsia="Times New Roman" w:hAnsi="Helvetica" w:cs="Times New Roman"/>
      <w:b/>
      <w:sz w:val="36"/>
      <w:szCs w:val="36"/>
      <w:lang w:val="en-US" w:eastAsia="en-US"/>
    </w:rPr>
  </w:style>
  <w:style w:type="character" w:customStyle="1" w:styleId="TitleChar">
    <w:name w:val="Title Char"/>
    <w:basedOn w:val="DefaultParagraphFont"/>
    <w:link w:val="Title"/>
    <w:rsid w:val="00651253"/>
    <w:rPr>
      <w:rFonts w:ascii="Helvetica" w:eastAsia="Times New Roman" w:hAnsi="Helvetica" w:cs="Times New Roman"/>
      <w:b/>
      <w:sz w:val="36"/>
      <w:szCs w:val="36"/>
      <w:lang w:val="en-US" w:eastAsia="en-US"/>
    </w:rPr>
  </w:style>
  <w:style w:type="paragraph" w:customStyle="1" w:styleId="Author-Group">
    <w:name w:val="Author-Group"/>
    <w:basedOn w:val="Normal"/>
    <w:link w:val="Author-GroupChar"/>
    <w:qFormat/>
    <w:rsid w:val="00651253"/>
    <w:pPr>
      <w:spacing w:before="100" w:after="0" w:line="300" w:lineRule="exact"/>
      <w:jc w:val="both"/>
    </w:pPr>
    <w:rPr>
      <w:rFonts w:ascii="Helvetica-Light" w:eastAsia="Times New Roman" w:hAnsi="Helvetica-Light" w:cs="Times New Roman"/>
      <w:iCs/>
      <w:sz w:val="24"/>
      <w:szCs w:val="24"/>
      <w:lang w:val="en-US" w:eastAsia="en-US"/>
    </w:rPr>
  </w:style>
  <w:style w:type="paragraph" w:customStyle="1" w:styleId="Author-Affiliation">
    <w:name w:val="Author-Affiliation"/>
    <w:basedOn w:val="Normal"/>
    <w:link w:val="Author-AffiliationChar"/>
    <w:qFormat/>
    <w:rsid w:val="00651253"/>
    <w:pPr>
      <w:spacing w:before="100" w:after="52" w:line="240" w:lineRule="exact"/>
      <w:jc w:val="both"/>
    </w:pPr>
    <w:rPr>
      <w:rFonts w:ascii="Helvetica-Light" w:eastAsia="Times New Roman" w:hAnsi="Helvetica-Light" w:cs="Times New Roman"/>
      <w:iCs/>
      <w:sz w:val="18"/>
      <w:szCs w:val="18"/>
      <w:lang w:val="en-US" w:eastAsia="en-US"/>
    </w:rPr>
  </w:style>
  <w:style w:type="character" w:customStyle="1" w:styleId="Author-GroupChar">
    <w:name w:val="Author-Group Char"/>
    <w:basedOn w:val="DefaultParagraphFont"/>
    <w:link w:val="Author-Group"/>
    <w:rsid w:val="00651253"/>
    <w:rPr>
      <w:rFonts w:ascii="Helvetica-Light" w:eastAsia="Times New Roman" w:hAnsi="Helvetica-Light" w:cs="Times New Roman"/>
      <w:iCs/>
      <w:sz w:val="24"/>
      <w:szCs w:val="24"/>
      <w:lang w:val="en-US" w:eastAsia="en-US"/>
    </w:rPr>
  </w:style>
  <w:style w:type="character" w:customStyle="1" w:styleId="Author-AffiliationChar">
    <w:name w:val="Author-Affiliation Char"/>
    <w:basedOn w:val="DefaultParagraphFont"/>
    <w:link w:val="Author-Affiliation"/>
    <w:rsid w:val="00651253"/>
    <w:rPr>
      <w:rFonts w:ascii="Helvetica-Light" w:eastAsia="Times New Roman" w:hAnsi="Helvetica-Light" w:cs="Times New Roman"/>
      <w:iCs/>
      <w:sz w:val="18"/>
      <w:szCs w:val="18"/>
      <w:lang w:val="en-US" w:eastAsia="en-US"/>
    </w:rPr>
  </w:style>
  <w:style w:type="paragraph" w:customStyle="1" w:styleId="RefHead">
    <w:name w:val="Ref Head"/>
    <w:basedOn w:val="Normal"/>
    <w:rsid w:val="00F96400"/>
    <w:pPr>
      <w:spacing w:before="360" w:after="50" w:line="240" w:lineRule="exact"/>
      <w:outlineLvl w:val="0"/>
    </w:pPr>
    <w:rPr>
      <w:rFonts w:ascii="Helvetica" w:eastAsia="Times New Roman" w:hAnsi="Helvetica" w:cs="Times New Roman"/>
      <w:b/>
      <w:sz w:val="20"/>
      <w:szCs w:val="20"/>
      <w:lang w:val="en-US" w:eastAsia="en-US"/>
    </w:rPr>
  </w:style>
  <w:style w:type="paragraph" w:customStyle="1" w:styleId="RefText">
    <w:name w:val="Ref Text"/>
    <w:rsid w:val="00F96400"/>
    <w:pPr>
      <w:spacing w:after="0" w:line="180" w:lineRule="exact"/>
      <w:ind w:left="227" w:hanging="227"/>
      <w:jc w:val="both"/>
    </w:pPr>
    <w:rPr>
      <w:rFonts w:ascii="Times New Roman" w:eastAsia="Times New Roman" w:hAnsi="Times New Roman" w:cs="Times New Roman"/>
      <w:sz w:val="1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60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13" Type="http://schemas.openxmlformats.org/officeDocument/2006/relationships/image" Target="media/image8.ti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7.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Relationship Id="rId11" Type="http://schemas.openxmlformats.org/officeDocument/2006/relationships/hyperlink" Target="https://www.ncbi.nlm.nih.gov/bioproject/PRJNA422523" TargetMode="External"/><Relationship Id="rId5" Type="http://schemas.openxmlformats.org/officeDocument/2006/relationships/image" Target="media/image1.tiff"/><Relationship Id="rId15" Type="http://schemas.openxmlformats.org/officeDocument/2006/relationships/fontTable" Target="fontTable.xml"/><Relationship Id="rId10" Type="http://schemas.openxmlformats.org/officeDocument/2006/relationships/image" Target="media/image6.tif"/><Relationship Id="rId4" Type="http://schemas.openxmlformats.org/officeDocument/2006/relationships/webSettings" Target="webSettings.xml"/><Relationship Id="rId9" Type="http://schemas.openxmlformats.org/officeDocument/2006/relationships/image" Target="media/image5.tif"/><Relationship Id="rId14" Type="http://schemas.openxmlformats.org/officeDocument/2006/relationships/image" Target="media/image9.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9</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dc:creator>
  <cp:keywords/>
  <dc:description/>
  <cp:lastModifiedBy>Duong Vu</cp:lastModifiedBy>
  <cp:revision>89</cp:revision>
  <dcterms:created xsi:type="dcterms:W3CDTF">2020-02-21T09:36:00Z</dcterms:created>
  <dcterms:modified xsi:type="dcterms:W3CDTF">2020-07-16T06:56:00Z</dcterms:modified>
</cp:coreProperties>
</file>