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394F2" w14:textId="77777777" w:rsidR="00C02696" w:rsidRPr="005360BE" w:rsidRDefault="00C02696" w:rsidP="00C02696">
      <w:pPr>
        <w:spacing w:line="36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  <w:r w:rsidRPr="005360BE">
        <w:rPr>
          <w:rFonts w:asciiTheme="majorHAnsi" w:eastAsia="Calibri" w:hAnsiTheme="majorHAnsi" w:cstheme="majorHAnsi"/>
          <w:b/>
          <w:bCs/>
          <w:sz w:val="28"/>
          <w:szCs w:val="28"/>
        </w:rPr>
        <w:t>Anti-biofilm efficacy of a medieval treatment for bacterial infection requires the combination of multiple ingredients</w:t>
      </w:r>
      <w:r w:rsidRPr="005360BE">
        <w:rPr>
          <w:rFonts w:eastAsia="Times New Roman"/>
          <w:b/>
          <w:bCs/>
          <w:color w:val="000000"/>
        </w:rPr>
        <w:t>.</w:t>
      </w:r>
      <w:r w:rsidRPr="005360BE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 </w:t>
      </w:r>
    </w:p>
    <w:p w14:paraId="2155E4AD" w14:textId="77777777" w:rsidR="00C02696" w:rsidRPr="005360BE" w:rsidRDefault="00C02696" w:rsidP="00C02696">
      <w:pPr>
        <w:spacing w:line="360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</w:p>
    <w:p w14:paraId="7914BDA2" w14:textId="349DEBBA" w:rsidR="00C45E4B" w:rsidRPr="005360BE" w:rsidRDefault="00C45E4B" w:rsidP="00C45E4B">
      <w:pPr>
        <w:spacing w:line="360" w:lineRule="auto"/>
        <w:rPr>
          <w:rFonts w:ascii="Calibri" w:hAnsi="Calibri" w:cs="Calibri"/>
        </w:rPr>
      </w:pPr>
      <w:r w:rsidRPr="005360BE">
        <w:rPr>
          <w:rFonts w:asciiTheme="majorHAnsi" w:eastAsia="Calibri" w:hAnsiTheme="majorHAnsi" w:cstheme="majorHAnsi"/>
          <w:bCs/>
          <w:sz w:val="24"/>
          <w:szCs w:val="24"/>
        </w:rPr>
        <w:t>Jessica Furner-Pardoe</w:t>
      </w:r>
      <w:r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>1,2,+,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*, Blessing O Anonye</w:t>
      </w:r>
      <w:r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>1,+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, Ricky Cain</w:t>
      </w:r>
      <w:r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>1,</w:t>
      </w:r>
      <w:r w:rsidR="00AE7EF3"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>#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, John Moat</w:t>
      </w:r>
      <w:r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>3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, Catherine A. Ortori</w:t>
      </w:r>
      <w:r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>4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, Christina Lee</w:t>
      </w:r>
      <w:r w:rsidRPr="005360BE">
        <w:rPr>
          <w:rFonts w:ascii="Calibri" w:hAnsi="Calibri" w:cs="Calibri"/>
          <w:vertAlign w:val="superscript"/>
        </w:rPr>
        <w:t>5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,</w:t>
      </w:r>
      <w:r w:rsidRPr="005360BE" w:rsidDel="00E22695">
        <w:rPr>
          <w:rFonts w:asciiTheme="majorHAnsi" w:eastAsia="Calibri" w:hAnsiTheme="majorHAnsi" w:cstheme="majorHAnsi"/>
          <w:bCs/>
          <w:i/>
          <w:iCs/>
          <w:sz w:val="24"/>
          <w:szCs w:val="24"/>
        </w:rPr>
        <w:t xml:space="preserve"> 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David A. Barrett</w:t>
      </w:r>
      <w:r w:rsidRPr="005360BE">
        <w:rPr>
          <w:rFonts w:asciiTheme="majorHAnsi" w:eastAsia="Calibri" w:hAnsiTheme="majorHAnsi" w:cstheme="majorHAnsi"/>
          <w:bCs/>
          <w:sz w:val="24"/>
          <w:szCs w:val="24"/>
          <w:vertAlign w:val="superscript"/>
        </w:rPr>
        <w:t xml:space="preserve"> 4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, Christophe Corre</w:t>
      </w:r>
      <w:r w:rsidRPr="005360BE">
        <w:rPr>
          <w:rFonts w:ascii="Calibri" w:hAnsi="Calibri" w:cs="Calibri"/>
          <w:vertAlign w:val="superscript"/>
        </w:rPr>
        <w:t xml:space="preserve">1,6 </w:t>
      </w:r>
      <w:r w:rsidRPr="005360BE">
        <w:rPr>
          <w:rFonts w:asciiTheme="majorHAnsi" w:eastAsia="Calibri" w:hAnsiTheme="majorHAnsi" w:cstheme="majorHAnsi"/>
          <w:bCs/>
          <w:sz w:val="24"/>
          <w:szCs w:val="24"/>
        </w:rPr>
        <w:t>and Freya Harrison</w:t>
      </w:r>
      <w:r w:rsidRPr="005360BE">
        <w:rPr>
          <w:rFonts w:ascii="Calibri" w:hAnsi="Calibri" w:cs="Calibri"/>
          <w:vertAlign w:val="superscript"/>
        </w:rPr>
        <w:t>1,</w:t>
      </w:r>
      <w:r w:rsidRPr="005360BE">
        <w:rPr>
          <w:rFonts w:ascii="Calibri" w:hAnsi="Calibri" w:cs="Calibri"/>
        </w:rPr>
        <w:t>*</w:t>
      </w:r>
    </w:p>
    <w:p w14:paraId="07C1BD29" w14:textId="2076F32B" w:rsidR="00FB6C08" w:rsidRDefault="00FB6C08" w:rsidP="00C45E4B">
      <w:pPr>
        <w:spacing w:line="360" w:lineRule="auto"/>
        <w:rPr>
          <w:rFonts w:ascii="Calibri" w:hAnsi="Calibri" w:cs="Calibri"/>
          <w:u w:val="single"/>
          <w:vertAlign w:val="superscript"/>
        </w:rPr>
      </w:pPr>
    </w:p>
    <w:p w14:paraId="510AC540" w14:textId="77777777" w:rsidR="00FB6C08" w:rsidRPr="00FB6C08" w:rsidRDefault="00FB6C08" w:rsidP="00FB6C08">
      <w:pPr>
        <w:spacing w:line="360" w:lineRule="auto"/>
        <w:rPr>
          <w:rFonts w:ascii="Calibri" w:hAnsi="Calibri" w:cs="Calibri"/>
        </w:rPr>
      </w:pPr>
      <w:r w:rsidRPr="00FB6C08">
        <w:rPr>
          <w:rFonts w:ascii="Calibri" w:hAnsi="Calibri" w:cs="Calibri"/>
          <w:vertAlign w:val="superscript"/>
        </w:rPr>
        <w:t>1</w:t>
      </w:r>
      <w:r w:rsidRPr="00FB6C08">
        <w:rPr>
          <w:rFonts w:ascii="Calibri" w:hAnsi="Calibri" w:cs="Calibri"/>
        </w:rPr>
        <w:t xml:space="preserve"> School of Life Sciences</w:t>
      </w:r>
      <w:r w:rsidRPr="00FB6C08">
        <w:rPr>
          <w:rFonts w:ascii="Calibri" w:eastAsia="Calibri" w:hAnsi="Calibri" w:cs="Calibri"/>
          <w:bCs/>
        </w:rPr>
        <w:t>, Gibbet Hill Campus, University of Warwick, Coventry, CV4 7AL</w:t>
      </w:r>
    </w:p>
    <w:p w14:paraId="253E0D7B" w14:textId="77777777" w:rsidR="00FB6C08" w:rsidRPr="00FB6C08" w:rsidRDefault="00FB6C08" w:rsidP="00FB6C08">
      <w:pPr>
        <w:spacing w:line="360" w:lineRule="auto"/>
        <w:rPr>
          <w:rFonts w:ascii="Calibri" w:hAnsi="Calibri" w:cs="Calibri"/>
        </w:rPr>
      </w:pPr>
      <w:r w:rsidRPr="00FB6C08">
        <w:rPr>
          <w:rFonts w:ascii="Calibri" w:hAnsi="Calibri" w:cs="Calibri"/>
          <w:vertAlign w:val="superscript"/>
        </w:rPr>
        <w:t>2</w:t>
      </w:r>
      <w:r w:rsidRPr="00FB6C08">
        <w:rPr>
          <w:rFonts w:ascii="Calibri" w:eastAsia="Calibri" w:hAnsi="Calibri" w:cs="Calibri"/>
          <w:bCs/>
        </w:rPr>
        <w:t xml:space="preserve"> Warwick Medical School, </w:t>
      </w:r>
      <w:r w:rsidRPr="00FB6C08">
        <w:rPr>
          <w:rFonts w:ascii="Calibri" w:hAnsi="Calibri" w:cs="Calibri"/>
        </w:rPr>
        <w:t xml:space="preserve">Gibbet Hill Campus, </w:t>
      </w:r>
      <w:r w:rsidRPr="00FB6C08">
        <w:rPr>
          <w:rFonts w:ascii="Calibri" w:eastAsia="Calibri" w:hAnsi="Calibri" w:cs="Calibri"/>
          <w:bCs/>
        </w:rPr>
        <w:t>University of Warwick, Coventry, CV4 7AL</w:t>
      </w:r>
    </w:p>
    <w:p w14:paraId="5897EA5E" w14:textId="77777777" w:rsidR="00FB6C08" w:rsidRPr="00FB6C08" w:rsidRDefault="00FB6C08" w:rsidP="00FB6C08">
      <w:pPr>
        <w:spacing w:line="360" w:lineRule="auto"/>
        <w:rPr>
          <w:rFonts w:ascii="Calibri" w:hAnsi="Calibri" w:cs="Calibri"/>
        </w:rPr>
      </w:pPr>
      <w:r w:rsidRPr="00FB6C08">
        <w:rPr>
          <w:rFonts w:ascii="Calibri" w:hAnsi="Calibri" w:cs="Calibri"/>
          <w:vertAlign w:val="superscript"/>
        </w:rPr>
        <w:t xml:space="preserve">3 </w:t>
      </w:r>
      <w:r w:rsidRPr="00FB6C08">
        <w:rPr>
          <w:rFonts w:ascii="Calibri" w:hAnsi="Calibri" w:cs="Calibri"/>
        </w:rPr>
        <w:t xml:space="preserve">Warwick Antimicrobial Screening Facility, School of Life Sciences, Gibbet Hill Campus, </w:t>
      </w:r>
      <w:r w:rsidRPr="00FB6C08">
        <w:rPr>
          <w:rFonts w:ascii="Calibri" w:eastAsia="Calibri" w:hAnsi="Calibri" w:cs="Calibri"/>
          <w:bCs/>
        </w:rPr>
        <w:t>University of Warwick, Coventry, CV4 7AL</w:t>
      </w:r>
    </w:p>
    <w:p w14:paraId="57070B50" w14:textId="77777777" w:rsidR="00FB6C08" w:rsidRPr="00FB6C08" w:rsidRDefault="00FB6C08" w:rsidP="00FB6C08">
      <w:pPr>
        <w:spacing w:line="360" w:lineRule="auto"/>
        <w:rPr>
          <w:rFonts w:ascii="Calibri" w:hAnsi="Calibri" w:cs="Calibri"/>
        </w:rPr>
      </w:pPr>
      <w:r w:rsidRPr="00FB6C08">
        <w:rPr>
          <w:rFonts w:ascii="Calibri" w:hAnsi="Calibri" w:cs="Calibri"/>
          <w:vertAlign w:val="superscript"/>
        </w:rPr>
        <w:t xml:space="preserve">4 </w:t>
      </w:r>
      <w:r w:rsidRPr="00FB6C08">
        <w:rPr>
          <w:rFonts w:ascii="Calibri" w:hAnsi="Calibri" w:cs="Calibri"/>
        </w:rPr>
        <w:t>Centre for Analytical Bioscience, Advanced Materials and Healthcare Technologies Division, School of Pharmacy, University of Nottingham, Nottingham NG7 2RD, UK</w:t>
      </w:r>
    </w:p>
    <w:p w14:paraId="4449DCDF" w14:textId="77777777" w:rsidR="00FB6C08" w:rsidRPr="00FB6C08" w:rsidRDefault="00FB6C08" w:rsidP="00FB6C08">
      <w:pPr>
        <w:spacing w:line="360" w:lineRule="auto"/>
        <w:rPr>
          <w:rFonts w:ascii="Calibri" w:hAnsi="Calibri" w:cs="Calibri"/>
        </w:rPr>
      </w:pPr>
      <w:r w:rsidRPr="00FB6C08">
        <w:rPr>
          <w:rFonts w:ascii="Calibri" w:hAnsi="Calibri" w:cs="Calibri"/>
          <w:vertAlign w:val="superscript"/>
        </w:rPr>
        <w:t>5</w:t>
      </w:r>
      <w:r w:rsidRPr="00FB6C08">
        <w:rPr>
          <w:rFonts w:ascii="Calibri" w:hAnsi="Calibri" w:cs="Calibri"/>
        </w:rPr>
        <w:t xml:space="preserve"> School of English, University of Nottingham, Nottingham NG7 2RD, UK</w:t>
      </w:r>
    </w:p>
    <w:p w14:paraId="60AB2490" w14:textId="77777777" w:rsidR="00FB6C08" w:rsidRPr="00FB6C08" w:rsidRDefault="00FB6C08" w:rsidP="00FB6C08">
      <w:pPr>
        <w:spacing w:line="360" w:lineRule="auto"/>
        <w:rPr>
          <w:rFonts w:ascii="Calibri" w:eastAsia="Calibri" w:hAnsi="Calibri" w:cs="Calibri"/>
          <w:bCs/>
        </w:rPr>
      </w:pPr>
      <w:r w:rsidRPr="00FB6C08">
        <w:rPr>
          <w:rFonts w:ascii="Calibri" w:hAnsi="Calibri" w:cs="Calibri"/>
          <w:vertAlign w:val="superscript"/>
        </w:rPr>
        <w:t xml:space="preserve">6 </w:t>
      </w:r>
      <w:r w:rsidRPr="00FB6C08">
        <w:rPr>
          <w:rFonts w:ascii="Calibri" w:hAnsi="Calibri" w:cs="Calibri"/>
        </w:rPr>
        <w:t xml:space="preserve">Department of Chemistry, University of Warwick, </w:t>
      </w:r>
      <w:r w:rsidRPr="00FB6C08">
        <w:rPr>
          <w:rFonts w:ascii="Calibri" w:eastAsia="Calibri" w:hAnsi="Calibri" w:cs="Calibri"/>
          <w:bCs/>
        </w:rPr>
        <w:t>University of Warwick, Coventry, CV4 7AL</w:t>
      </w:r>
    </w:p>
    <w:p w14:paraId="20A68214" w14:textId="78391C88" w:rsidR="00FB6C08" w:rsidRPr="00FB6C08" w:rsidRDefault="00AE7EF3" w:rsidP="00FB6C08">
      <w:pPr>
        <w:spacing w:line="360" w:lineRule="auto"/>
        <w:rPr>
          <w:rFonts w:ascii="Calibri" w:hAnsi="Calibri" w:cs="Calibri"/>
        </w:rPr>
      </w:pPr>
      <w:r>
        <w:rPr>
          <w:color w:val="000000"/>
          <w:sz w:val="18"/>
          <w:szCs w:val="18"/>
          <w:shd w:val="clear" w:color="auto" w:fill="FFFFFF"/>
          <w:vertAlign w:val="superscript"/>
        </w:rPr>
        <w:t>#</w:t>
      </w:r>
      <w:r w:rsidR="00FB6C08" w:rsidRPr="00FB6C08">
        <w:rPr>
          <w:rFonts w:ascii="Calibri" w:hAnsi="Calibri" w:cs="Calibri"/>
        </w:rPr>
        <w:t xml:space="preserve">Present address: </w:t>
      </w:r>
      <w:r w:rsidR="00FB6C08" w:rsidRPr="00FB6C08">
        <w:rPr>
          <w:rFonts w:ascii="Calibri" w:hAnsi="Calibri" w:cs="Calibri"/>
          <w:bdr w:val="none" w:sz="0" w:space="0" w:color="auto" w:frame="1"/>
          <w:shd w:val="clear" w:color="auto" w:fill="FFFFFF"/>
        </w:rPr>
        <w:t>Evotec (U.K.) Ltd., 114 Innovation Drive, Milton Park, Abingdon, Oxfordshire OX14 4RZ, United Kingdom</w:t>
      </w:r>
    </w:p>
    <w:p w14:paraId="0E5B8EB8" w14:textId="4DB09538" w:rsidR="00FB6C08" w:rsidRDefault="00FB6C08" w:rsidP="00C45E4B">
      <w:pPr>
        <w:spacing w:line="360" w:lineRule="auto"/>
        <w:rPr>
          <w:rFonts w:ascii="Calibri" w:hAnsi="Calibri" w:cs="Calibri"/>
          <w:u w:val="single"/>
          <w:vertAlign w:val="superscript"/>
        </w:rPr>
      </w:pPr>
    </w:p>
    <w:p w14:paraId="241243D0" w14:textId="77777777" w:rsidR="00AE7EF3" w:rsidRDefault="00AE7EF3" w:rsidP="00AE7EF3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  <w:r w:rsidRPr="008D25BA">
        <w:rPr>
          <w:rFonts w:asciiTheme="majorHAnsi" w:eastAsia="Calibri" w:hAnsiTheme="majorHAnsi" w:cstheme="majorHAnsi"/>
          <w:sz w:val="24"/>
          <w:szCs w:val="24"/>
          <w:vertAlign w:val="superscript"/>
        </w:rPr>
        <w:t>+</w:t>
      </w:r>
      <w:r w:rsidRPr="00E366CF">
        <w:rPr>
          <w:rFonts w:asciiTheme="majorHAnsi" w:eastAsia="Calibri" w:hAnsiTheme="majorHAnsi" w:cstheme="majorHAnsi"/>
          <w:sz w:val="24"/>
          <w:szCs w:val="24"/>
        </w:rPr>
        <w:t xml:space="preserve"> These authors contributed equally</w:t>
      </w:r>
    </w:p>
    <w:p w14:paraId="6BC05428" w14:textId="77777777" w:rsidR="00AE7EF3" w:rsidRDefault="00AE7EF3" w:rsidP="00AE7EF3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</w:p>
    <w:p w14:paraId="4C697B51" w14:textId="77777777" w:rsidR="00AE7EF3" w:rsidRDefault="00AE7EF3" w:rsidP="00AE7EF3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 xml:space="preserve">* Corresponding authors: </w:t>
      </w:r>
    </w:p>
    <w:p w14:paraId="05ACA4C7" w14:textId="77777777" w:rsidR="00AE7EF3" w:rsidRDefault="00AE7EF3" w:rsidP="00AE7EF3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JFP (j.furner-pardoe.1@warwick.ac.uk) and FH (f.harrison@warwick.ac.uk)</w:t>
      </w:r>
    </w:p>
    <w:p w14:paraId="0A596F5F" w14:textId="5EF25A2A" w:rsidR="00AE7EF3" w:rsidRDefault="00AE7EF3">
      <w:pPr>
        <w:spacing w:line="240" w:lineRule="auto"/>
        <w:rPr>
          <w:rFonts w:ascii="Calibri" w:hAnsi="Calibri" w:cs="Calibri"/>
          <w:u w:val="single"/>
          <w:vertAlign w:val="superscript"/>
        </w:rPr>
      </w:pPr>
      <w:r>
        <w:rPr>
          <w:rFonts w:ascii="Calibri" w:hAnsi="Calibri" w:cs="Calibri"/>
          <w:u w:val="single"/>
          <w:vertAlign w:val="superscript"/>
        </w:rPr>
        <w:br w:type="page"/>
      </w:r>
    </w:p>
    <w:p w14:paraId="79BF6525" w14:textId="77777777" w:rsidR="00C45E4B" w:rsidRPr="00C45E4B" w:rsidRDefault="00C45E4B" w:rsidP="00C45E4B">
      <w:pPr>
        <w:spacing w:before="240" w:after="240" w:line="48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C45E4B">
        <w:rPr>
          <w:rFonts w:ascii="Calibri" w:eastAsia="Calibri" w:hAnsi="Calibri" w:cs="Calibri"/>
          <w:b/>
          <w:bCs/>
          <w:sz w:val="24"/>
          <w:szCs w:val="24"/>
        </w:rPr>
        <w:lastRenderedPageBreak/>
        <w:t>Supplementary Figures</w:t>
      </w:r>
    </w:p>
    <w:p w14:paraId="3E9847CF" w14:textId="77777777" w:rsidR="00C45E4B" w:rsidRPr="00C45E4B" w:rsidRDefault="00C45E4B" w:rsidP="00C45E4B">
      <w:pPr>
        <w:spacing w:before="240" w:after="240" w:line="480" w:lineRule="auto"/>
        <w:rPr>
          <w:rFonts w:ascii="Calibri" w:eastAsia="Calibri" w:hAnsi="Calibri" w:cs="Calibri"/>
          <w:sz w:val="24"/>
          <w:szCs w:val="24"/>
        </w:rPr>
      </w:pPr>
      <w:r w:rsidRPr="00C45E4B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74056638" wp14:editId="0E2F65E3">
            <wp:extent cx="6295514" cy="3307403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36" cy="3323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7A457" w14:textId="77777777" w:rsidR="00C45E4B" w:rsidRPr="00C45E4B" w:rsidRDefault="00C45E4B" w:rsidP="00C45E4B">
      <w:pPr>
        <w:spacing w:before="240" w:after="240" w:line="480" w:lineRule="auto"/>
        <w:rPr>
          <w:rFonts w:ascii="Calibri" w:eastAsia="Calibri" w:hAnsi="Calibri" w:cs="Calibri"/>
          <w:sz w:val="20"/>
          <w:szCs w:val="20"/>
        </w:rPr>
      </w:pPr>
      <w:r w:rsidRPr="00C45E4B">
        <w:rPr>
          <w:rFonts w:ascii="Calibri" w:eastAsia="Calibri" w:hAnsi="Calibri" w:cs="Calibri"/>
          <w:b/>
          <w:bCs/>
          <w:sz w:val="20"/>
          <w:szCs w:val="20"/>
        </w:rPr>
        <w:t>Figure S1.</w:t>
      </w:r>
      <w:r w:rsidRPr="00C45E4B">
        <w:rPr>
          <w:rFonts w:ascii="Calibri" w:eastAsia="Calibri" w:hAnsi="Calibri" w:cs="Calibri"/>
          <w:sz w:val="20"/>
          <w:szCs w:val="20"/>
        </w:rPr>
        <w:t xml:space="preserve"> Schematic of the process to generate Bald’s eyesalve and various batch variations. </w:t>
      </w:r>
    </w:p>
    <w:p w14:paraId="07389D23" w14:textId="2859C899" w:rsidR="00C45E4B" w:rsidRPr="00C45E4B" w:rsidRDefault="00C45E4B" w:rsidP="00C45E4B">
      <w:pPr>
        <w:spacing w:before="240" w:after="240" w:line="480" w:lineRule="auto"/>
        <w:rPr>
          <w:rFonts w:ascii="Calibri" w:eastAsia="Calibri" w:hAnsi="Calibri" w:cs="Calibri"/>
          <w:sz w:val="20"/>
          <w:szCs w:val="20"/>
        </w:rPr>
      </w:pPr>
      <w:r w:rsidRPr="00C45E4B">
        <w:rPr>
          <w:rFonts w:ascii="Calibri" w:eastAsia="Calibri" w:hAnsi="Calibri" w:cs="Calibri"/>
          <w:b/>
          <w:sz w:val="20"/>
          <w:szCs w:val="20"/>
        </w:rPr>
        <w:lastRenderedPageBreak/>
        <w:t xml:space="preserve"> </w:t>
      </w:r>
      <w:r w:rsidR="009F5D18" w:rsidRPr="009F5D18">
        <w:rPr>
          <w:rFonts w:ascii="Calibri" w:eastAsia="Calibri" w:hAnsi="Calibri" w:cs="Calibri"/>
          <w:b/>
          <w:noProof/>
          <w:sz w:val="20"/>
          <w:szCs w:val="20"/>
        </w:rPr>
        <w:drawing>
          <wp:inline distT="0" distB="0" distL="0" distR="0" wp14:anchorId="4F2C09A7" wp14:editId="177158F2">
            <wp:extent cx="5727700" cy="5744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E4B">
        <w:rPr>
          <w:rFonts w:ascii="Calibri" w:eastAsia="Calibri" w:hAnsi="Calibri" w:cs="Calibri"/>
          <w:b/>
          <w:sz w:val="20"/>
          <w:szCs w:val="20"/>
        </w:rPr>
        <w:t xml:space="preserve">Figure S2. Confirmation of allicin in Bald’s eyesalve. </w:t>
      </w:r>
      <w:r w:rsidRPr="00C45E4B">
        <w:rPr>
          <w:rFonts w:ascii="Calibri" w:eastAsia="Calibri" w:hAnsi="Calibri" w:cs="Calibri"/>
          <w:sz w:val="20"/>
          <w:szCs w:val="20"/>
        </w:rPr>
        <w:t>All chromatograms were run against a 0-95% methanol gradient, with a flow rate of 1 ml·min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-1</w:t>
      </w:r>
      <w:r w:rsidRPr="00C45E4B">
        <w:rPr>
          <w:rFonts w:ascii="Calibri" w:eastAsia="Calibri" w:hAnsi="Calibri" w:cs="Calibri"/>
          <w:sz w:val="20"/>
          <w:szCs w:val="20"/>
        </w:rPr>
        <w:t xml:space="preserve"> on HPLC Aligent 1200 series, at 210 nm UV wavelength. A) Allicin calibration curve. External allicin standards, serially diluted in water were run and peak area was measured. A linear relationship was found between HPLC peak area and allicin concentrations between 8 - 750 </w:t>
      </w:r>
      <w:bookmarkStart w:id="0" w:name="_Hlk33571831"/>
      <w:r w:rsidRPr="00C45E4B">
        <w:rPr>
          <w:rFonts w:ascii="Symbol" w:eastAsia="Calibri" w:hAnsi="Symbol" w:cs="Times New Roman"/>
          <w:sz w:val="20"/>
          <w:szCs w:val="20"/>
        </w:rPr>
        <w:t></w:t>
      </w:r>
      <w:r w:rsidRPr="00C45E4B">
        <w:rPr>
          <w:rFonts w:ascii="Calibri" w:eastAsia="Calibri" w:hAnsi="Calibri" w:cs="Calibri"/>
          <w:sz w:val="20"/>
          <w:szCs w:val="20"/>
        </w:rPr>
        <w:t>g·ml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-1</w:t>
      </w:r>
      <w:bookmarkEnd w:id="0"/>
      <w:r w:rsidRPr="00C45E4B">
        <w:rPr>
          <w:rFonts w:ascii="Calibri" w:eastAsia="Calibri" w:hAnsi="Calibri" w:cs="Calibri"/>
          <w:sz w:val="20"/>
          <w:szCs w:val="20"/>
        </w:rPr>
        <w:t xml:space="preserve"> with a correlation coefficient R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C45E4B">
        <w:rPr>
          <w:rFonts w:ascii="Calibri" w:eastAsia="Calibri" w:hAnsi="Calibri" w:cs="Calibri"/>
          <w:sz w:val="20"/>
          <w:szCs w:val="20"/>
        </w:rPr>
        <w:t xml:space="preserve"> value &gt; 0.99. The mid-range of the curve (8-512 </w:t>
      </w:r>
      <w:r w:rsidRPr="00C45E4B">
        <w:rPr>
          <w:rFonts w:ascii="Symbol" w:eastAsia="Calibri" w:hAnsi="Symbol" w:cs="Times New Roman"/>
          <w:sz w:val="20"/>
          <w:szCs w:val="20"/>
        </w:rPr>
        <w:t></w:t>
      </w:r>
      <w:r w:rsidRPr="00C45E4B">
        <w:rPr>
          <w:rFonts w:ascii="Calibri" w:eastAsia="Calibri" w:hAnsi="Calibri" w:cs="Calibri"/>
          <w:sz w:val="20"/>
          <w:szCs w:val="20"/>
        </w:rPr>
        <w:t>g·ml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-1</w:t>
      </w:r>
      <w:r w:rsidRPr="00C45E4B">
        <w:rPr>
          <w:rFonts w:ascii="Calibri" w:eastAsia="Calibri" w:hAnsi="Calibri" w:cs="Calibri"/>
          <w:sz w:val="20"/>
          <w:szCs w:val="20"/>
        </w:rPr>
        <w:t>) has 2 repeats</w:t>
      </w:r>
      <w:r w:rsidRPr="00C45E4B">
        <w:rPr>
          <w:rFonts w:ascii="Calibri" w:eastAsia="Calibri" w:hAnsi="Calibri" w:cs="Calibri"/>
          <w:sz w:val="24"/>
          <w:szCs w:val="24"/>
        </w:rPr>
        <w:t xml:space="preserve">. </w:t>
      </w:r>
      <w:r w:rsidRPr="00C45E4B">
        <w:rPr>
          <w:rFonts w:ascii="Calibri" w:eastAsia="Calibri" w:hAnsi="Calibri" w:cs="Calibri"/>
          <w:sz w:val="20"/>
          <w:szCs w:val="20"/>
        </w:rPr>
        <w:t xml:space="preserve">B) Exemplary allicin external standard (128 </w:t>
      </w:r>
      <w:r w:rsidRPr="00C45E4B">
        <w:rPr>
          <w:rFonts w:ascii="Symbol" w:eastAsia="Calibri" w:hAnsi="Symbol" w:cs="Times New Roman"/>
          <w:sz w:val="20"/>
          <w:szCs w:val="20"/>
        </w:rPr>
        <w:t></w:t>
      </w:r>
      <w:r w:rsidRPr="00C45E4B">
        <w:rPr>
          <w:rFonts w:ascii="Calibri" w:eastAsia="Calibri" w:hAnsi="Calibri" w:cs="Calibri"/>
          <w:sz w:val="20"/>
          <w:szCs w:val="20"/>
        </w:rPr>
        <w:t>g·ml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-1</w:t>
      </w:r>
      <w:r w:rsidRPr="00C45E4B">
        <w:rPr>
          <w:rFonts w:ascii="Calibri" w:eastAsia="Calibri" w:hAnsi="Calibri" w:cs="Calibri"/>
          <w:sz w:val="20"/>
          <w:szCs w:val="20"/>
        </w:rPr>
        <w:t xml:space="preserve">) chromatogram, suspected allicin peak has a retention time of approx. 15 minutes. C-D) Bald’s eyesalve fresh batch, ESO 31 without (C) and with (D) an additional 100 </w:t>
      </w:r>
      <w:r w:rsidRPr="00C45E4B">
        <w:rPr>
          <w:rFonts w:ascii="Symbol" w:eastAsia="Calibri" w:hAnsi="Symbol" w:cs="Times New Roman"/>
          <w:sz w:val="20"/>
          <w:szCs w:val="20"/>
        </w:rPr>
        <w:t></w:t>
      </w:r>
      <w:r w:rsidRPr="00C45E4B">
        <w:rPr>
          <w:rFonts w:ascii="Calibri" w:eastAsia="Calibri" w:hAnsi="Calibri" w:cs="Calibri"/>
          <w:sz w:val="20"/>
          <w:szCs w:val="20"/>
        </w:rPr>
        <w:t>g·ml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 xml:space="preserve">-1 </w:t>
      </w:r>
      <w:r w:rsidRPr="00C45E4B">
        <w:rPr>
          <w:rFonts w:ascii="Calibri" w:eastAsia="Calibri" w:hAnsi="Calibri" w:cs="Calibri"/>
          <w:sz w:val="20"/>
          <w:szCs w:val="20"/>
        </w:rPr>
        <w:t xml:space="preserve">of allicin standard; the differences in peak area are indicated. The highlighted region is the allicin peak. </w:t>
      </w:r>
    </w:p>
    <w:p w14:paraId="21F10130" w14:textId="77777777" w:rsidR="00C45E4B" w:rsidRPr="00C45E4B" w:rsidRDefault="00C45E4B" w:rsidP="00C45E4B">
      <w:pPr>
        <w:spacing w:before="240" w:after="240" w:line="480" w:lineRule="auto"/>
        <w:rPr>
          <w:rFonts w:ascii="Calibri" w:eastAsia="Calibri" w:hAnsi="Calibri" w:cs="Calibri"/>
          <w:sz w:val="20"/>
          <w:szCs w:val="20"/>
        </w:rPr>
      </w:pPr>
    </w:p>
    <w:p w14:paraId="35C74E21" w14:textId="4AEDAD4D" w:rsidR="00C45E4B" w:rsidRDefault="00C45E4B" w:rsidP="00C45E4B">
      <w:pPr>
        <w:spacing w:line="480" w:lineRule="auto"/>
        <w:rPr>
          <w:rFonts w:ascii="Calibri" w:eastAsia="Calibri" w:hAnsi="Calibri" w:cs="Calibri"/>
          <w:sz w:val="24"/>
          <w:szCs w:val="24"/>
        </w:rPr>
      </w:pPr>
    </w:p>
    <w:p w14:paraId="2CA2A86A" w14:textId="5D8765FB" w:rsidR="009F5D18" w:rsidRPr="00C45E4B" w:rsidRDefault="009F5D18" w:rsidP="00C45E4B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2E603D4E" wp14:editId="0D77E089">
            <wp:extent cx="50292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ofilm cultures (inactive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D0A9A" w14:textId="77777777" w:rsidR="00C45E4B" w:rsidRPr="00C45E4B" w:rsidRDefault="00C45E4B" w:rsidP="00C45E4B">
      <w:pPr>
        <w:spacing w:line="480" w:lineRule="auto"/>
        <w:rPr>
          <w:rFonts w:ascii="Calibri" w:eastAsia="Calibri" w:hAnsi="Calibri" w:cs="Calibri"/>
          <w:sz w:val="20"/>
          <w:szCs w:val="20"/>
        </w:rPr>
      </w:pPr>
      <w:r w:rsidRPr="00C45E4B">
        <w:rPr>
          <w:rFonts w:ascii="Calibri" w:eastAsia="Calibri" w:hAnsi="Calibri" w:cs="Calibri"/>
          <w:b/>
          <w:sz w:val="20"/>
          <w:szCs w:val="20"/>
        </w:rPr>
        <w:t>Figure S3. Bald’s eyesalve (ESO) anti-biofilm activity.</w:t>
      </w:r>
      <w:r w:rsidRPr="00C45E4B">
        <w:rPr>
          <w:rFonts w:ascii="Calibri" w:eastAsia="Calibri" w:hAnsi="Calibri" w:cs="Calibri"/>
          <w:sz w:val="20"/>
          <w:szCs w:val="20"/>
        </w:rPr>
        <w:t xml:space="preserve"> Mature biofilms of various isolates were grown in a model of a soft tissue wound, then treated with either 0.5 vols sterile water (control, CT) or 0.5 vols of ESO for 24h before recovering bacteria for CFU counts (n = 3-5 replicates per treatment). The dashed line represents the limit of detection by plating. Data could not be transformed to fit assumptions of parametric tests, therefore, Kruskall-Wallis tests were used to determined that the CFU recovered from ESO-treated wounds was not significantly different from control wounds for 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 xml:space="preserve">P. aeruginosa </w:t>
      </w:r>
      <w:r w:rsidRPr="00C45E4B">
        <w:rPr>
          <w:rFonts w:ascii="Calibri" w:eastAsia="Calibri" w:hAnsi="Calibri" w:cs="Calibri"/>
          <w:sz w:val="20"/>
          <w:szCs w:val="20"/>
        </w:rPr>
        <w:t>PA14 (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X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C45E4B">
        <w:rPr>
          <w:rFonts w:ascii="Calibri" w:eastAsia="Calibri" w:hAnsi="Calibri" w:cs="Calibri"/>
          <w:sz w:val="20"/>
          <w:szCs w:val="20"/>
        </w:rPr>
        <w:t xml:space="preserve"> = 6.88, df = 3, 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p</w:t>
      </w:r>
      <w:r w:rsidRPr="00C45E4B">
        <w:rPr>
          <w:rFonts w:ascii="Calibri" w:eastAsia="Calibri" w:hAnsi="Calibri" w:cs="Calibri"/>
          <w:sz w:val="20"/>
          <w:szCs w:val="20"/>
        </w:rPr>
        <w:t xml:space="preserve"> value = 0.076), 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 xml:space="preserve">S. maltophilia </w:t>
      </w:r>
      <w:r w:rsidRPr="00C45E4B">
        <w:rPr>
          <w:rFonts w:ascii="Calibri" w:eastAsia="Calibri" w:hAnsi="Calibri" w:cs="Calibri"/>
          <w:sz w:val="20"/>
          <w:szCs w:val="20"/>
        </w:rPr>
        <w:t>(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X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C45E4B">
        <w:rPr>
          <w:rFonts w:ascii="Calibri" w:eastAsia="Calibri" w:hAnsi="Calibri" w:cs="Calibri"/>
          <w:sz w:val="20"/>
          <w:szCs w:val="20"/>
        </w:rPr>
        <w:t xml:space="preserve"> = 7.63, df = 3, 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p</w:t>
      </w:r>
      <w:r w:rsidRPr="00C45E4B">
        <w:rPr>
          <w:rFonts w:ascii="Calibri" w:eastAsia="Calibri" w:hAnsi="Calibri" w:cs="Calibri"/>
          <w:sz w:val="20"/>
          <w:szCs w:val="20"/>
        </w:rPr>
        <w:t xml:space="preserve"> value = 0.54) or 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E. cloacae</w:t>
      </w:r>
      <w:r w:rsidRPr="00C45E4B">
        <w:rPr>
          <w:rFonts w:ascii="Calibri" w:eastAsia="Calibri" w:hAnsi="Calibri" w:cs="Calibri"/>
          <w:sz w:val="20"/>
          <w:szCs w:val="20"/>
        </w:rPr>
        <w:t xml:space="preserve"> (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X</w:t>
      </w:r>
      <w:r w:rsidRPr="00C45E4B"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C45E4B">
        <w:rPr>
          <w:rFonts w:ascii="Calibri" w:eastAsia="Calibri" w:hAnsi="Calibri" w:cs="Calibri"/>
          <w:sz w:val="20"/>
          <w:szCs w:val="20"/>
        </w:rPr>
        <w:t xml:space="preserve"> = 7.74, df = 3, </w:t>
      </w:r>
      <w:r w:rsidRPr="00C45E4B">
        <w:rPr>
          <w:rFonts w:ascii="Calibri" w:eastAsia="Calibri" w:hAnsi="Calibri" w:cs="Calibri"/>
          <w:i/>
          <w:iCs/>
          <w:sz w:val="20"/>
          <w:szCs w:val="20"/>
        </w:rPr>
        <w:t>p</w:t>
      </w:r>
      <w:r w:rsidRPr="00C45E4B">
        <w:rPr>
          <w:rFonts w:ascii="Calibri" w:eastAsia="Calibri" w:hAnsi="Calibri" w:cs="Calibri"/>
          <w:sz w:val="20"/>
          <w:szCs w:val="20"/>
        </w:rPr>
        <w:t xml:space="preserve"> value = 0.051). Raw data and R scripts are supplied in the Data Supplement.</w:t>
      </w:r>
    </w:p>
    <w:p w14:paraId="215C7BC8" w14:textId="77777777" w:rsidR="00C45E4B" w:rsidRPr="00C45E4B" w:rsidRDefault="00C45E4B" w:rsidP="00C45E4B">
      <w:pPr>
        <w:spacing w:line="480" w:lineRule="auto"/>
        <w:rPr>
          <w:rFonts w:ascii="Calibri" w:eastAsia="Calibri" w:hAnsi="Calibri" w:cs="Calibri"/>
        </w:rPr>
      </w:pPr>
    </w:p>
    <w:p w14:paraId="6AA76C24" w14:textId="77777777" w:rsidR="00B16B86" w:rsidRPr="00C02696" w:rsidRDefault="005360BE" w:rsidP="00C02696"/>
    <w:sectPr w:rsidR="00B16B86" w:rsidRPr="00C02696" w:rsidSect="002F4A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96"/>
    <w:rsid w:val="002F4A70"/>
    <w:rsid w:val="00381FDA"/>
    <w:rsid w:val="00476DD9"/>
    <w:rsid w:val="004F066F"/>
    <w:rsid w:val="005360BE"/>
    <w:rsid w:val="009F5D18"/>
    <w:rsid w:val="00A72F30"/>
    <w:rsid w:val="00AB4EB3"/>
    <w:rsid w:val="00AE7EF3"/>
    <w:rsid w:val="00C02696"/>
    <w:rsid w:val="00C45E4B"/>
    <w:rsid w:val="00FB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9BFB"/>
  <w15:chartTrackingRefBased/>
  <w15:docId w15:val="{27A65ED3-E425-E142-B4FF-655D1A6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696"/>
    <w:pPr>
      <w:spacing w:line="276" w:lineRule="auto"/>
    </w:pPr>
    <w:rPr>
      <w:rFonts w:ascii="Arial" w:eastAsia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2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696"/>
    <w:rPr>
      <w:rFonts w:ascii="Arial" w:eastAsia="Arial" w:hAnsi="Arial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69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696"/>
    <w:rPr>
      <w:rFonts w:ascii="Times New Roman" w:eastAsia="Arial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Harrison, Freya</cp:lastModifiedBy>
  <cp:revision>4</cp:revision>
  <dcterms:created xsi:type="dcterms:W3CDTF">2020-05-29T21:10:00Z</dcterms:created>
  <dcterms:modified xsi:type="dcterms:W3CDTF">2020-06-12T08:46:00Z</dcterms:modified>
</cp:coreProperties>
</file>