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2D3A" w:rsidRDefault="00EF19D4">
      <w:pPr>
        <w:suppressLineNumbers/>
        <w:spacing w:line="480" w:lineRule="auto"/>
        <w:jc w:val="center"/>
        <w:rPr>
          <w:rFonts w:ascii="Arial" w:hAnsi="Arial"/>
          <w:b/>
          <w:sz w:val="32"/>
        </w:rPr>
      </w:pPr>
      <w:bookmarkStart w:id="0" w:name="OLE_LINK28"/>
      <w:bookmarkStart w:id="1" w:name="OLE_LINK29"/>
      <w:bookmarkStart w:id="2" w:name="OLE_LINK9"/>
      <w:r>
        <w:rPr>
          <w:rFonts w:ascii="Arial" w:hAnsi="Arial"/>
          <w:b/>
          <w:sz w:val="32"/>
        </w:rPr>
        <w:t xml:space="preserve">Developing </w:t>
      </w:r>
      <w:r w:rsidR="0006707E">
        <w:rPr>
          <w:rFonts w:ascii="Arial" w:hAnsi="Arial" w:hint="eastAsia"/>
          <w:b/>
          <w:sz w:val="32"/>
        </w:rPr>
        <w:t xml:space="preserve">a </w:t>
      </w:r>
      <w:r>
        <w:rPr>
          <w:rFonts w:ascii="Arial" w:hAnsi="Arial"/>
          <w:b/>
          <w:sz w:val="32"/>
        </w:rPr>
        <w:t>routine</w:t>
      </w:r>
      <w:r>
        <w:rPr>
          <w:rFonts w:ascii="Arial" w:hAnsi="Arial" w:hint="eastAsia"/>
          <w:b/>
          <w:sz w:val="32"/>
        </w:rPr>
        <w:t xml:space="preserve"> </w:t>
      </w:r>
      <w:r>
        <w:rPr>
          <w:rFonts w:ascii="Arial" w:hAnsi="Arial"/>
          <w:b/>
          <w:sz w:val="32"/>
        </w:rPr>
        <w:t xml:space="preserve">lab test for absolute quantification of </w:t>
      </w:r>
      <w:r w:rsidR="00C42AC3">
        <w:rPr>
          <w:rFonts w:ascii="Arial" w:hAnsi="Arial"/>
          <w:b/>
          <w:sz w:val="32"/>
        </w:rPr>
        <w:t>HER2</w:t>
      </w:r>
      <w:r>
        <w:rPr>
          <w:rFonts w:ascii="Arial" w:hAnsi="Arial"/>
          <w:b/>
          <w:sz w:val="32"/>
        </w:rPr>
        <w:t xml:space="preserve"> in FFPE breast cancer tissues using Quantitative Dot Blot (QDB) method</w:t>
      </w:r>
    </w:p>
    <w:bookmarkEnd w:id="0"/>
    <w:bookmarkEnd w:id="1"/>
    <w:p w:rsidR="00FA2D3A" w:rsidRDefault="00EF19D4">
      <w:pPr>
        <w:suppressLineNumbers/>
        <w:spacing w:line="480" w:lineRule="auto"/>
        <w:jc w:val="center"/>
        <w:rPr>
          <w:rFonts w:ascii="Arial" w:hAnsi="Arial"/>
          <w:i/>
          <w:sz w:val="24"/>
          <w:szCs w:val="24"/>
        </w:rPr>
      </w:pPr>
      <w:r>
        <w:rPr>
          <w:rFonts w:ascii="Arial" w:hAnsi="Arial"/>
          <w:i/>
          <w:sz w:val="24"/>
          <w:szCs w:val="24"/>
        </w:rPr>
        <w:t xml:space="preserve">Short title: </w:t>
      </w:r>
      <w:bookmarkStart w:id="3" w:name="OLE_LINK14"/>
      <w:bookmarkStart w:id="4" w:name="OLE_LINK13"/>
      <w:r>
        <w:rPr>
          <w:rFonts w:ascii="Arial" w:hAnsi="Arial"/>
          <w:i/>
          <w:sz w:val="24"/>
          <w:szCs w:val="24"/>
        </w:rPr>
        <w:t>biomarker quantitation in FFPE tissue with QDB</w:t>
      </w:r>
      <w:bookmarkEnd w:id="3"/>
      <w:bookmarkEnd w:id="4"/>
    </w:p>
    <w:bookmarkEnd w:id="2"/>
    <w:p w:rsidR="00FA2D3A" w:rsidRDefault="00EF19D4">
      <w:pPr>
        <w:suppressLineNumbers/>
        <w:spacing w:line="480" w:lineRule="auto"/>
        <w:rPr>
          <w:rFonts w:ascii="Arial" w:hAnsi="Arial"/>
          <w:sz w:val="24"/>
        </w:rPr>
      </w:pPr>
      <w:proofErr w:type="spellStart"/>
      <w:r>
        <w:rPr>
          <w:rFonts w:ascii="Arial" w:hAnsi="Arial"/>
          <w:sz w:val="24"/>
        </w:rPr>
        <w:t>Guohua</w:t>
      </w:r>
      <w:proofErr w:type="spellEnd"/>
      <w:r>
        <w:rPr>
          <w:rFonts w:ascii="Arial" w:hAnsi="Arial"/>
          <w:sz w:val="24"/>
        </w:rPr>
        <w:t xml:space="preserve"> Yu</w:t>
      </w:r>
      <w:r>
        <w:rPr>
          <w:rFonts w:ascii="Arial" w:hAnsi="Arial"/>
          <w:sz w:val="24"/>
          <w:vertAlign w:val="superscript"/>
        </w:rPr>
        <w:t>1#</w:t>
      </w:r>
      <w:r w:rsidR="0002284D">
        <w:rPr>
          <w:rFonts w:ascii="Arial" w:hAnsi="Arial" w:hint="eastAsia"/>
          <w:sz w:val="24"/>
        </w:rPr>
        <w:t>,</w:t>
      </w:r>
      <w:r>
        <w:rPr>
          <w:rFonts w:ascii="Arial" w:hAnsi="Arial"/>
          <w:sz w:val="24"/>
        </w:rPr>
        <w:t xml:space="preserve"> </w:t>
      </w:r>
      <w:proofErr w:type="spellStart"/>
      <w:r>
        <w:rPr>
          <w:rFonts w:ascii="Arial" w:hAnsi="Arial"/>
          <w:sz w:val="24"/>
        </w:rPr>
        <w:t>Wenfeng</w:t>
      </w:r>
      <w:proofErr w:type="spellEnd"/>
      <w:r>
        <w:rPr>
          <w:rFonts w:ascii="Arial" w:hAnsi="Arial"/>
          <w:sz w:val="24"/>
        </w:rPr>
        <w:t xml:space="preserve"> Zhang</w:t>
      </w:r>
      <w:r>
        <w:rPr>
          <w:rFonts w:ascii="Arial" w:hAnsi="Arial"/>
          <w:sz w:val="24"/>
          <w:vertAlign w:val="superscript"/>
        </w:rPr>
        <w:t>2</w:t>
      </w:r>
      <w:r w:rsidR="0002284D">
        <w:rPr>
          <w:rFonts w:ascii="Arial" w:hAnsi="Arial"/>
          <w:sz w:val="24"/>
        </w:rPr>
        <w:t>,</w:t>
      </w:r>
      <w:r>
        <w:rPr>
          <w:rFonts w:ascii="Arial" w:hAnsi="Arial"/>
          <w:sz w:val="24"/>
        </w:rPr>
        <w:t xml:space="preserve"> </w:t>
      </w:r>
      <w:bookmarkStart w:id="5" w:name="OLE_LINK39"/>
      <w:proofErr w:type="spellStart"/>
      <w:r>
        <w:rPr>
          <w:rFonts w:ascii="Arial" w:hAnsi="Arial"/>
          <w:sz w:val="24"/>
        </w:rPr>
        <w:t>Yunyun</w:t>
      </w:r>
      <w:proofErr w:type="spellEnd"/>
      <w:r>
        <w:rPr>
          <w:rFonts w:ascii="Arial" w:hAnsi="Arial"/>
          <w:sz w:val="24"/>
        </w:rPr>
        <w:t xml:space="preserve"> Zhang</w:t>
      </w:r>
      <w:r>
        <w:rPr>
          <w:rFonts w:ascii="Arial" w:hAnsi="Arial"/>
          <w:sz w:val="24"/>
          <w:vertAlign w:val="superscript"/>
        </w:rPr>
        <w:t>2</w:t>
      </w:r>
      <w:bookmarkEnd w:id="5"/>
      <w:r w:rsidR="0002284D">
        <w:rPr>
          <w:rFonts w:ascii="Arial" w:hAnsi="Arial"/>
          <w:sz w:val="24"/>
        </w:rPr>
        <w:t>,</w:t>
      </w:r>
      <w:r>
        <w:rPr>
          <w:rFonts w:ascii="Arial" w:hAnsi="Arial"/>
          <w:sz w:val="24"/>
        </w:rPr>
        <w:t xml:space="preserve"> </w:t>
      </w:r>
      <w:proofErr w:type="spellStart"/>
      <w:r>
        <w:rPr>
          <w:rFonts w:ascii="Arial" w:hAnsi="Arial"/>
          <w:sz w:val="24"/>
        </w:rPr>
        <w:t>Jiahong</w:t>
      </w:r>
      <w:proofErr w:type="spellEnd"/>
      <w:r>
        <w:rPr>
          <w:rFonts w:ascii="Arial" w:hAnsi="Arial"/>
          <w:sz w:val="24"/>
        </w:rPr>
        <w:t xml:space="preserve"> Lv</w:t>
      </w:r>
      <w:r>
        <w:rPr>
          <w:rFonts w:ascii="Arial" w:hAnsi="Arial"/>
          <w:sz w:val="24"/>
          <w:vertAlign w:val="superscript"/>
        </w:rPr>
        <w:t>2</w:t>
      </w:r>
      <w:r w:rsidR="0002284D">
        <w:rPr>
          <w:rFonts w:ascii="Arial" w:hAnsi="Arial"/>
          <w:sz w:val="24"/>
        </w:rPr>
        <w:t>,</w:t>
      </w:r>
      <w:r>
        <w:rPr>
          <w:rFonts w:ascii="Arial" w:hAnsi="Arial"/>
          <w:sz w:val="24"/>
        </w:rPr>
        <w:t xml:space="preserve"> </w:t>
      </w:r>
      <w:bookmarkStart w:id="6" w:name="OLE_LINK48"/>
      <w:bookmarkStart w:id="7" w:name="OLE_LINK49"/>
      <w:proofErr w:type="spellStart"/>
      <w:r>
        <w:rPr>
          <w:rFonts w:ascii="Arial" w:hAnsi="Arial"/>
          <w:sz w:val="24"/>
        </w:rPr>
        <w:t>Shishou</w:t>
      </w:r>
      <w:proofErr w:type="spellEnd"/>
      <w:r>
        <w:rPr>
          <w:rFonts w:ascii="Arial" w:hAnsi="Arial"/>
          <w:sz w:val="24"/>
        </w:rPr>
        <w:t xml:space="preserve"> Wu</w:t>
      </w:r>
      <w:r>
        <w:rPr>
          <w:rFonts w:ascii="Arial" w:hAnsi="Arial"/>
          <w:sz w:val="24"/>
          <w:vertAlign w:val="superscript"/>
        </w:rPr>
        <w:t>1</w:t>
      </w:r>
      <w:bookmarkEnd w:id="6"/>
      <w:bookmarkEnd w:id="7"/>
      <w:r w:rsidR="0002284D">
        <w:rPr>
          <w:rFonts w:ascii="Arial" w:hAnsi="Arial"/>
          <w:sz w:val="24"/>
        </w:rPr>
        <w:t>,</w:t>
      </w:r>
      <w:r>
        <w:rPr>
          <w:rFonts w:ascii="Arial" w:hAnsi="Arial"/>
          <w:sz w:val="24"/>
        </w:rPr>
        <w:t xml:space="preserve"> </w:t>
      </w:r>
      <w:proofErr w:type="spellStart"/>
      <w:r>
        <w:rPr>
          <w:rFonts w:ascii="Arial" w:hAnsi="Arial"/>
          <w:sz w:val="24"/>
        </w:rPr>
        <w:t>Xiaolong</w:t>
      </w:r>
      <w:proofErr w:type="spellEnd"/>
      <w:r>
        <w:rPr>
          <w:rFonts w:ascii="Arial" w:hAnsi="Arial"/>
          <w:sz w:val="24"/>
        </w:rPr>
        <w:t xml:space="preserve"> Sui</w:t>
      </w:r>
      <w:r>
        <w:rPr>
          <w:rFonts w:ascii="Arial" w:hAnsi="Arial"/>
          <w:sz w:val="24"/>
          <w:vertAlign w:val="superscript"/>
        </w:rPr>
        <w:t>1</w:t>
      </w:r>
      <w:r w:rsidR="0002284D">
        <w:rPr>
          <w:rFonts w:ascii="Arial" w:hAnsi="Arial"/>
          <w:sz w:val="24"/>
        </w:rPr>
        <w:t>,</w:t>
      </w:r>
      <w:r>
        <w:rPr>
          <w:rFonts w:ascii="Arial" w:hAnsi="Arial"/>
          <w:sz w:val="24"/>
        </w:rPr>
        <w:t xml:space="preserve"> </w:t>
      </w:r>
      <w:proofErr w:type="spellStart"/>
      <w:r>
        <w:rPr>
          <w:rFonts w:ascii="Arial" w:hAnsi="Arial"/>
          <w:sz w:val="24"/>
        </w:rPr>
        <w:t>Jiandi</w:t>
      </w:r>
      <w:proofErr w:type="spellEnd"/>
      <w:r>
        <w:rPr>
          <w:rFonts w:ascii="Arial" w:hAnsi="Arial"/>
          <w:sz w:val="24"/>
        </w:rPr>
        <w:t xml:space="preserve"> Zhang</w:t>
      </w:r>
      <w:r>
        <w:rPr>
          <w:rFonts w:ascii="Arial" w:hAnsi="Arial"/>
          <w:sz w:val="24"/>
          <w:vertAlign w:val="superscript"/>
        </w:rPr>
        <w:t>2,3*</w:t>
      </w:r>
      <w:r w:rsidR="0002284D">
        <w:rPr>
          <w:rFonts w:ascii="Arial" w:hAnsi="Arial"/>
          <w:sz w:val="24"/>
        </w:rPr>
        <w:t>,</w:t>
      </w:r>
      <w:r>
        <w:rPr>
          <w:rFonts w:ascii="Arial" w:hAnsi="Arial"/>
          <w:sz w:val="24"/>
        </w:rPr>
        <w:t xml:space="preserve"> and </w:t>
      </w:r>
      <w:proofErr w:type="spellStart"/>
      <w:r>
        <w:rPr>
          <w:rFonts w:ascii="Arial" w:hAnsi="Arial"/>
          <w:sz w:val="24"/>
        </w:rPr>
        <w:t>Fangrong</w:t>
      </w:r>
      <w:proofErr w:type="spellEnd"/>
      <w:r>
        <w:rPr>
          <w:rFonts w:ascii="Arial" w:hAnsi="Arial"/>
          <w:sz w:val="24"/>
        </w:rPr>
        <w:t xml:space="preserve"> Tang</w:t>
      </w:r>
      <w:r>
        <w:rPr>
          <w:rFonts w:ascii="Arial" w:hAnsi="Arial"/>
          <w:sz w:val="24"/>
          <w:vertAlign w:val="superscript"/>
        </w:rPr>
        <w:t>2#</w:t>
      </w:r>
      <w:r>
        <w:rPr>
          <w:rFonts w:ascii="Arial" w:hAnsi="Arial"/>
          <w:sz w:val="24"/>
        </w:rPr>
        <w:t>.</w:t>
      </w:r>
      <w:r>
        <w:rPr>
          <w:rFonts w:ascii="Arial" w:hAnsi="Arial"/>
          <w:sz w:val="24"/>
          <w:vertAlign w:val="superscript"/>
        </w:rPr>
        <w:t xml:space="preserve"> </w:t>
      </w:r>
    </w:p>
    <w:p w:rsidR="00FA2D3A" w:rsidRDefault="00EF19D4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 w:hint="eastAsia"/>
          <w:b/>
          <w:sz w:val="24"/>
          <w:szCs w:val="24"/>
        </w:rPr>
        <w:br w:type="page"/>
      </w:r>
    </w:p>
    <w:p w:rsidR="00FA2D3A" w:rsidRDefault="00EF19D4">
      <w:pPr>
        <w:spacing w:line="48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 w:hint="eastAsia"/>
          <w:b/>
          <w:sz w:val="24"/>
          <w:szCs w:val="24"/>
        </w:rPr>
        <w:lastRenderedPageBreak/>
        <w:t>Supplementary Fig. 1</w:t>
      </w:r>
      <w:r>
        <w:rPr>
          <w:rFonts w:ascii="Arial" w:hAnsi="Arial" w:cs="Arial" w:hint="eastAsia"/>
          <w:b/>
          <w:sz w:val="24"/>
          <w:szCs w:val="24"/>
        </w:rPr>
        <w:t>：</w:t>
      </w:r>
      <w:r>
        <w:rPr>
          <w:rFonts w:ascii="Arial" w:hAnsi="Arial" w:cs="Arial"/>
          <w:b/>
          <w:sz w:val="24"/>
          <w:szCs w:val="24"/>
        </w:rPr>
        <w:t>Defining the</w:t>
      </w:r>
      <w:r>
        <w:rPr>
          <w:rFonts w:ascii="Arial" w:hAnsi="Arial" w:cs="Arial" w:hint="eastAsia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linear range of QDB measurements with two anti-</w:t>
      </w:r>
      <w:r w:rsidR="00C42AC3">
        <w:rPr>
          <w:rFonts w:ascii="Arial" w:hAnsi="Arial" w:cs="Arial"/>
          <w:b/>
          <w:sz w:val="24"/>
          <w:szCs w:val="24"/>
        </w:rPr>
        <w:t>HER2</w:t>
      </w:r>
      <w:r>
        <w:rPr>
          <w:rFonts w:ascii="Arial" w:hAnsi="Arial" w:cs="Arial"/>
          <w:b/>
          <w:sz w:val="24"/>
          <w:szCs w:val="24"/>
        </w:rPr>
        <w:t xml:space="preserve"> antibodies</w:t>
      </w:r>
      <w:r>
        <w:rPr>
          <w:rFonts w:ascii="Arial" w:hAnsi="Arial" w:cs="Arial" w:hint="eastAsia"/>
          <w:b/>
          <w:sz w:val="24"/>
          <w:szCs w:val="24"/>
        </w:rPr>
        <w:t xml:space="preserve">, </w:t>
      </w:r>
      <w:r>
        <w:rPr>
          <w:rFonts w:ascii="Arial" w:hAnsi="Arial" w:cs="Arial"/>
          <w:b/>
          <w:sz w:val="24"/>
          <w:szCs w:val="24"/>
        </w:rPr>
        <w:t>EP3 and 4B5.</w:t>
      </w:r>
    </w:p>
    <w:p w:rsidR="00FA2D3A" w:rsidRDefault="00F018E3">
      <w:pPr>
        <w:spacing w:line="48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w:drawing>
          <wp:inline distT="0" distB="0" distL="0" distR="0">
            <wp:extent cx="5274310" cy="4399280"/>
            <wp:effectExtent l="0" t="0" r="2540" b="1270"/>
            <wp:docPr id="4" name="图片 4" descr="图片包含 文字, 地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-fig. 1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399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2D3A" w:rsidRDefault="00EF19D4" w:rsidP="0002284D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r w:rsidR="007A6496" w:rsidRPr="007A6496">
        <w:rPr>
          <w:rFonts w:ascii="Arial" w:hAnsi="Arial" w:cs="Arial"/>
          <w:b/>
          <w:bCs/>
          <w:sz w:val="20"/>
          <w:szCs w:val="20"/>
        </w:rPr>
        <w:t>a</w:t>
      </w:r>
      <w:r w:rsidRPr="007A6496">
        <w:rPr>
          <w:rFonts w:ascii="Arial" w:hAnsi="Arial" w:cs="Arial"/>
          <w:sz w:val="20"/>
          <w:szCs w:val="20"/>
        </w:rPr>
        <w:t>,</w:t>
      </w:r>
      <w:r w:rsidRPr="007A6496">
        <w:rPr>
          <w:rFonts w:ascii="Arial" w:hAnsi="Arial" w:cs="Arial" w:hint="eastAsia"/>
          <w:sz w:val="20"/>
          <w:szCs w:val="20"/>
        </w:rPr>
        <w:t xml:space="preserve"> </w:t>
      </w:r>
      <w:r w:rsidR="007A6496" w:rsidRPr="007A6496">
        <w:rPr>
          <w:rFonts w:ascii="Arial" w:hAnsi="Arial" w:cs="Arial"/>
          <w:b/>
          <w:bCs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>) Defining the linear range of QDB method for analysis of breast cancer FFPE tissue lysates.</w:t>
      </w:r>
      <w:r>
        <w:rPr>
          <w:rFonts w:ascii="Arial" w:hAnsi="Arial" w:cs="Arial" w:hint="eastAsia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>Human breast cancer FFPE tissue blocks in two 5 µm slices (2X5 µm) were obtained from a local hospital, and the tissue lysates were prepared as described in Methods.</w:t>
      </w:r>
      <w:r>
        <w:rPr>
          <w:rFonts w:ascii="Arial" w:hAnsi="Arial" w:cs="Arial" w:hint="eastAsia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>Breast cancer FFPE tissue lysates prepared from 4 samples with an IHC score of 3+ were mixed in equal amounts based on the BCA assay.</w:t>
      </w:r>
      <w:r>
        <w:rPr>
          <w:rFonts w:ascii="Arial" w:hAnsi="Arial" w:cs="Arial" w:hint="eastAsia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>The pooled lysate was serially diluted</w:t>
      </w:r>
      <w:r w:rsidR="001C2BE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as indicated in the</w:t>
      </w:r>
      <w:r>
        <w:rPr>
          <w:rFonts w:ascii="Arial" w:hAnsi="Arial" w:cs="Arial" w:hint="eastAsia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figure</w:t>
      </w:r>
      <w:r>
        <w:rPr>
          <w:rFonts w:ascii="Arial" w:hAnsi="Arial" w:cs="Arial" w:hint="eastAsia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with 0.5 µg/µl IgG-free</w:t>
      </w:r>
      <w:r>
        <w:rPr>
          <w:rFonts w:ascii="Arial" w:hAnsi="Arial" w:cs="Arial" w:hint="eastAsia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BSA solution to ensure equal loading of the samples.</w:t>
      </w:r>
      <w:r>
        <w:rPr>
          <w:rFonts w:ascii="Arial" w:hAnsi="Arial" w:cs="Arial" w:hint="eastAsia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>The lysates were then applied onto the QDB plate at 1 µg/unit in triplicate for QDB analysis using two anti-</w:t>
      </w:r>
      <w:r w:rsidR="00C42AC3">
        <w:rPr>
          <w:rFonts w:ascii="Arial" w:hAnsi="Arial" w:cs="Arial"/>
          <w:sz w:val="20"/>
          <w:szCs w:val="20"/>
        </w:rPr>
        <w:t>HER2</w:t>
      </w:r>
      <w:r>
        <w:rPr>
          <w:rFonts w:ascii="Arial" w:hAnsi="Arial" w:cs="Arial"/>
          <w:sz w:val="20"/>
          <w:szCs w:val="20"/>
        </w:rPr>
        <w:t xml:space="preserve"> antibodies, EP3 and 4B5</w:t>
      </w:r>
      <w:r>
        <w:rPr>
          <w:rFonts w:ascii="Arial" w:hAnsi="Arial" w:cs="Arial" w:hint="eastAsia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respectively.</w:t>
      </w:r>
      <w:r>
        <w:rPr>
          <w:rFonts w:ascii="Arial" w:hAnsi="Arial" w:cs="Arial" w:hint="eastAsia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>(</w:t>
      </w:r>
      <w:r w:rsidR="007A6496" w:rsidRPr="007A6496">
        <w:rPr>
          <w:rFonts w:ascii="Arial" w:hAnsi="Arial" w:cs="Arial"/>
          <w:b/>
          <w:bCs/>
          <w:sz w:val="20"/>
          <w:szCs w:val="20"/>
        </w:rPr>
        <w:t>b</w:t>
      </w:r>
      <w:r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 w:hint="eastAsia"/>
          <w:sz w:val="20"/>
          <w:szCs w:val="20"/>
        </w:rPr>
        <w:t xml:space="preserve"> </w:t>
      </w:r>
      <w:r w:rsidR="007A6496" w:rsidRPr="007A6496">
        <w:rPr>
          <w:rFonts w:ascii="Arial" w:hAnsi="Arial" w:cs="Arial"/>
          <w:b/>
          <w:bCs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 xml:space="preserve">) Defining the linear range of QDB method for analysis of purified </w:t>
      </w:r>
      <w:r w:rsidR="00C42AC3">
        <w:rPr>
          <w:rFonts w:ascii="Arial" w:hAnsi="Arial" w:cs="Arial"/>
          <w:sz w:val="20"/>
          <w:szCs w:val="20"/>
        </w:rPr>
        <w:t>HER2</w:t>
      </w:r>
      <w:r>
        <w:rPr>
          <w:rFonts w:ascii="Arial" w:hAnsi="Arial" w:cs="Arial"/>
          <w:sz w:val="20"/>
          <w:szCs w:val="20"/>
        </w:rPr>
        <w:t xml:space="preserve"> recombinant protein.</w:t>
      </w:r>
      <w:r>
        <w:rPr>
          <w:rFonts w:ascii="Arial" w:hAnsi="Arial" w:cs="Arial" w:hint="eastAsia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 xml:space="preserve">The </w:t>
      </w:r>
      <w:r w:rsidR="00C42AC3">
        <w:rPr>
          <w:rFonts w:ascii="Arial" w:hAnsi="Arial" w:cs="Arial"/>
          <w:sz w:val="20"/>
          <w:szCs w:val="20"/>
        </w:rPr>
        <w:t>HER2</w:t>
      </w:r>
      <w:r>
        <w:rPr>
          <w:rFonts w:ascii="Arial" w:hAnsi="Arial" w:cs="Arial"/>
          <w:sz w:val="20"/>
          <w:szCs w:val="20"/>
        </w:rPr>
        <w:t xml:space="preserve"> recombinant protein was serially diluted</w:t>
      </w:r>
      <w:r>
        <w:rPr>
          <w:rFonts w:ascii="Arial" w:hAnsi="Arial" w:cs="Arial" w:hint="eastAsia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with</w:t>
      </w:r>
      <w:r>
        <w:rPr>
          <w:rFonts w:ascii="Arial" w:hAnsi="Arial" w:cs="Arial" w:hint="eastAsia"/>
          <w:sz w:val="20"/>
          <w:szCs w:val="20"/>
        </w:rPr>
        <w:t xml:space="preserve"> 0.5</w:t>
      </w:r>
      <w:r>
        <w:rPr>
          <w:rFonts w:ascii="Arial" w:hAnsi="Arial" w:cs="Arial"/>
          <w:sz w:val="20"/>
          <w:szCs w:val="20"/>
        </w:rPr>
        <w:t xml:space="preserve"> µg/µl IgG-free BSA solution.</w:t>
      </w:r>
      <w:r>
        <w:rPr>
          <w:rFonts w:ascii="Arial" w:hAnsi="Arial" w:cs="Arial" w:hint="eastAsia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>The diluted solution</w:t>
      </w:r>
      <w:r>
        <w:rPr>
          <w:rFonts w:ascii="Arial" w:hAnsi="Arial" w:cs="Arial" w:hint="eastAsia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was</w:t>
      </w:r>
      <w:r>
        <w:rPr>
          <w:rFonts w:ascii="Arial" w:hAnsi="Arial" w:cs="Arial" w:hint="eastAsia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then used for QDB analysis at 1 µg/unit in triplicate for measurement with EP3 and 4B5 antibodies respectively.</w:t>
      </w:r>
    </w:p>
    <w:p w:rsidR="0002284D" w:rsidRDefault="0002284D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:rsidR="00FA2D3A" w:rsidRDefault="00EF19D4">
      <w:pPr>
        <w:spacing w:line="48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 w:hint="eastAsia"/>
          <w:b/>
          <w:sz w:val="24"/>
          <w:szCs w:val="24"/>
        </w:rPr>
        <w:lastRenderedPageBreak/>
        <w:t>Supplementary Fig. 2</w:t>
      </w:r>
      <w:r>
        <w:rPr>
          <w:rFonts w:ascii="Arial" w:hAnsi="Arial" w:cs="Arial" w:hint="eastAsia"/>
          <w:b/>
          <w:sz w:val="24"/>
          <w:szCs w:val="24"/>
        </w:rPr>
        <w:t>：</w:t>
      </w:r>
      <w:r>
        <w:rPr>
          <w:rFonts w:ascii="Arial" w:hAnsi="Arial" w:cs="Arial"/>
          <w:b/>
          <w:sz w:val="24"/>
          <w:szCs w:val="24"/>
        </w:rPr>
        <w:t xml:space="preserve">Correlation between </w:t>
      </w:r>
      <w:r w:rsidR="00C42AC3">
        <w:rPr>
          <w:rFonts w:ascii="Arial" w:hAnsi="Arial" w:cs="Arial"/>
          <w:b/>
          <w:sz w:val="24"/>
          <w:szCs w:val="24"/>
        </w:rPr>
        <w:t>HER2</w:t>
      </w:r>
      <w:r>
        <w:rPr>
          <w:rFonts w:ascii="Arial" w:hAnsi="Arial" w:cs="Arial"/>
          <w:b/>
          <w:sz w:val="24"/>
          <w:szCs w:val="24"/>
        </w:rPr>
        <w:t xml:space="preserve"> gene copy numbers (</w:t>
      </w:r>
      <w:r w:rsidR="00C42AC3">
        <w:rPr>
          <w:rFonts w:ascii="Arial" w:hAnsi="Arial" w:cs="Arial"/>
          <w:b/>
          <w:sz w:val="24"/>
          <w:szCs w:val="24"/>
        </w:rPr>
        <w:t>HER2</w:t>
      </w:r>
      <w:r>
        <w:rPr>
          <w:rFonts w:ascii="Arial" w:hAnsi="Arial" w:cs="Arial"/>
          <w:b/>
          <w:sz w:val="24"/>
          <w:szCs w:val="24"/>
        </w:rPr>
        <w:t xml:space="preserve">/CEP17) and </w:t>
      </w:r>
      <w:r>
        <w:rPr>
          <w:rFonts w:ascii="Arial" w:hAnsi="Arial" w:cs="Arial" w:hint="eastAsia"/>
          <w:b/>
          <w:sz w:val="24"/>
          <w:szCs w:val="24"/>
        </w:rPr>
        <w:t>their</w:t>
      </w:r>
      <w:r>
        <w:rPr>
          <w:rFonts w:ascii="Arial" w:hAnsi="Arial" w:cs="Arial"/>
          <w:b/>
          <w:sz w:val="24"/>
          <w:szCs w:val="24"/>
        </w:rPr>
        <w:t xml:space="preserve"> protein levels.  </w:t>
      </w:r>
    </w:p>
    <w:p w:rsidR="00FA2D3A" w:rsidRDefault="00867B6F">
      <w:pPr>
        <w:spacing w:line="48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 w:hint="eastAsia"/>
          <w:b/>
          <w:noProof/>
          <w:sz w:val="24"/>
          <w:szCs w:val="24"/>
        </w:rPr>
        <w:drawing>
          <wp:inline distT="0" distB="0" distL="0" distR="0">
            <wp:extent cx="3182112" cy="2414016"/>
            <wp:effectExtent l="0" t="0" r="0" b="5715"/>
            <wp:docPr id="2" name="图片 2" descr="手机屏幕截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 fig. 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2112" cy="2414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8" w:name="_GoBack"/>
      <w:bookmarkEnd w:id="8"/>
    </w:p>
    <w:p w:rsidR="0002284D" w:rsidRDefault="0002284D" w:rsidP="0002284D">
      <w:pPr>
        <w:spacing w:line="240" w:lineRule="auto"/>
        <w:rPr>
          <w:rFonts w:ascii="Arial" w:hAnsi="Arial" w:cs="Arial"/>
          <w:sz w:val="20"/>
          <w:szCs w:val="20"/>
        </w:rPr>
      </w:pPr>
    </w:p>
    <w:p w:rsidR="00FA2D3A" w:rsidRDefault="00EF19D4" w:rsidP="0002284D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The correlation was assessed with Pearson correlation coefficient analysis using </w:t>
      </w:r>
      <w:r w:rsidR="00C42AC3">
        <w:rPr>
          <w:rFonts w:ascii="Arial" w:hAnsi="Arial" w:cs="Arial"/>
          <w:sz w:val="20"/>
          <w:szCs w:val="20"/>
        </w:rPr>
        <w:t>HER2</w:t>
      </w:r>
      <w:r>
        <w:rPr>
          <w:rFonts w:ascii="Arial" w:hAnsi="Arial" w:cs="Arial"/>
          <w:sz w:val="20"/>
          <w:szCs w:val="20"/>
        </w:rPr>
        <w:t xml:space="preserve"> protein levels from QDB analysis and </w:t>
      </w:r>
      <w:r w:rsidR="00C42AC3">
        <w:rPr>
          <w:rFonts w:ascii="Arial" w:hAnsi="Arial" w:cs="Arial"/>
          <w:sz w:val="20"/>
          <w:szCs w:val="20"/>
        </w:rPr>
        <w:t>HER2</w:t>
      </w:r>
      <w:r>
        <w:rPr>
          <w:rFonts w:ascii="Arial" w:hAnsi="Arial" w:cs="Arial"/>
          <w:sz w:val="20"/>
          <w:szCs w:val="20"/>
        </w:rPr>
        <w:t xml:space="preserve">/CEP17 ratio from FISH analysis (r= </w:t>
      </w:r>
      <w:bookmarkStart w:id="9" w:name="OLE_LINK22"/>
      <w:bookmarkStart w:id="10" w:name="OLE_LINK21"/>
      <w:r>
        <w:rPr>
          <w:rFonts w:ascii="Arial" w:hAnsi="Arial" w:cs="Arial"/>
          <w:sz w:val="20"/>
          <w:szCs w:val="20"/>
        </w:rPr>
        <w:t>0.75, p&lt;0.0001).</w:t>
      </w:r>
      <w:bookmarkEnd w:id="9"/>
      <w:bookmarkEnd w:id="10"/>
      <w:r>
        <w:rPr>
          <w:rFonts w:ascii="Arial" w:hAnsi="Arial" w:cs="Arial"/>
          <w:sz w:val="20"/>
          <w:szCs w:val="20"/>
        </w:rPr>
        <w:t xml:space="preserve">  The statistical analysis was performed using </w:t>
      </w:r>
      <w:proofErr w:type="spellStart"/>
      <w:r>
        <w:rPr>
          <w:rFonts w:ascii="Arial" w:hAnsi="Arial" w:cs="Arial"/>
          <w:sz w:val="20"/>
          <w:szCs w:val="20"/>
        </w:rPr>
        <w:t>Graphpad</w:t>
      </w:r>
      <w:proofErr w:type="spellEnd"/>
      <w:r>
        <w:rPr>
          <w:rFonts w:ascii="Arial" w:hAnsi="Arial" w:cs="Arial"/>
          <w:sz w:val="20"/>
          <w:szCs w:val="20"/>
        </w:rPr>
        <w:t xml:space="preserve"> 7.0.</w:t>
      </w:r>
    </w:p>
    <w:p w:rsidR="0002284D" w:rsidRDefault="0002284D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:rsidR="00FA2D3A" w:rsidRDefault="00EF19D4">
      <w:pPr>
        <w:spacing w:line="48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 w:hint="eastAsia"/>
          <w:b/>
          <w:sz w:val="24"/>
          <w:szCs w:val="24"/>
        </w:rPr>
        <w:lastRenderedPageBreak/>
        <w:t>Supplementary Table. 1</w:t>
      </w:r>
      <w:r>
        <w:rPr>
          <w:rFonts w:ascii="Arial" w:hAnsi="Arial" w:cs="Arial"/>
          <w:b/>
          <w:sz w:val="24"/>
          <w:szCs w:val="24"/>
        </w:rPr>
        <w:t>:</w:t>
      </w:r>
      <w:bookmarkStart w:id="11" w:name="OLE_LINK5"/>
      <w:r>
        <w:rPr>
          <w:rFonts w:ascii="Arial" w:hAnsi="Arial" w:cs="Arial"/>
          <w:b/>
          <w:sz w:val="24"/>
          <w:szCs w:val="24"/>
        </w:rPr>
        <w:t xml:space="preserve"> </w:t>
      </w:r>
      <w:bookmarkStart w:id="12" w:name="OLE_LINK6"/>
      <w:bookmarkStart w:id="13" w:name="OLE_LINK7"/>
      <w:r>
        <w:rPr>
          <w:rFonts w:ascii="Arial" w:hAnsi="Arial" w:cs="Arial"/>
          <w:b/>
          <w:sz w:val="24"/>
          <w:szCs w:val="24"/>
        </w:rPr>
        <w:t xml:space="preserve">Third party </w:t>
      </w:r>
      <w:r>
        <w:rPr>
          <w:rFonts w:ascii="Arial" w:hAnsi="Arial" w:cs="Arial" w:hint="eastAsia"/>
          <w:b/>
          <w:sz w:val="24"/>
          <w:szCs w:val="24"/>
        </w:rPr>
        <w:t>verification samples inconsistent with</w:t>
      </w:r>
      <w:r>
        <w:rPr>
          <w:rFonts w:ascii="Arial" w:hAnsi="Arial" w:cs="Arial"/>
          <w:b/>
          <w:sz w:val="24"/>
          <w:szCs w:val="24"/>
        </w:rPr>
        <w:t xml:space="preserve"> locally provided FISH results</w:t>
      </w:r>
      <w:bookmarkEnd w:id="11"/>
      <w:bookmarkEnd w:id="12"/>
      <w:bookmarkEnd w:id="13"/>
    </w:p>
    <w:tbl>
      <w:tblPr>
        <w:tblStyle w:val="a5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564"/>
        <w:gridCol w:w="1764"/>
        <w:gridCol w:w="1097"/>
        <w:gridCol w:w="1523"/>
      </w:tblGrid>
      <w:tr w:rsidR="00FA2D3A">
        <w:trPr>
          <w:trHeight w:val="144"/>
          <w:jc w:val="center"/>
        </w:trPr>
        <w:tc>
          <w:tcPr>
            <w:tcW w:w="0" w:type="auto"/>
            <w:vAlign w:val="center"/>
          </w:tcPr>
          <w:p w:rsidR="00FA2D3A" w:rsidRDefault="00EF19D4">
            <w:pPr>
              <w:spacing w:line="48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Sample NO.</w:t>
            </w:r>
          </w:p>
        </w:tc>
        <w:tc>
          <w:tcPr>
            <w:tcW w:w="0" w:type="auto"/>
            <w:vAlign w:val="center"/>
          </w:tcPr>
          <w:p w:rsidR="00FA2D3A" w:rsidRDefault="00EF19D4">
            <w:pPr>
              <w:spacing w:line="48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FISH</w:t>
            </w:r>
          </w:p>
          <w:p w:rsidR="00FA2D3A" w:rsidRDefault="00EF19D4">
            <w:pPr>
              <w:spacing w:line="480" w:lineRule="auto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(local hospital)</w:t>
            </w:r>
          </w:p>
        </w:tc>
        <w:tc>
          <w:tcPr>
            <w:tcW w:w="0" w:type="auto"/>
            <w:vAlign w:val="center"/>
          </w:tcPr>
          <w:p w:rsidR="00FA2D3A" w:rsidRDefault="00EF19D4">
            <w:pPr>
              <w:spacing w:line="48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QDB</w:t>
            </w:r>
          </w:p>
          <w:p w:rsidR="00FA2D3A" w:rsidRDefault="00EF19D4">
            <w:pPr>
              <w:spacing w:line="480" w:lineRule="auto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(</w:t>
            </w:r>
            <w:r w:rsidR="008E533B">
              <w:rPr>
                <w:rFonts w:ascii="Arial" w:hAnsi="Arial" w:cs="Arial"/>
                <w:i/>
                <w:sz w:val="24"/>
                <w:szCs w:val="24"/>
              </w:rPr>
              <w:t>nmol</w:t>
            </w:r>
            <w:r>
              <w:rPr>
                <w:rFonts w:ascii="Arial" w:hAnsi="Arial" w:cs="Arial"/>
                <w:i/>
                <w:sz w:val="24"/>
                <w:szCs w:val="24"/>
              </w:rPr>
              <w:t>/g)</w:t>
            </w:r>
          </w:p>
        </w:tc>
        <w:tc>
          <w:tcPr>
            <w:tcW w:w="0" w:type="auto"/>
            <w:vAlign w:val="center"/>
          </w:tcPr>
          <w:p w:rsidR="00FA2D3A" w:rsidRDefault="00EF19D4">
            <w:pPr>
              <w:spacing w:line="48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FISH</w:t>
            </w:r>
          </w:p>
          <w:p w:rsidR="00FA2D3A" w:rsidRDefault="00EF19D4">
            <w:pPr>
              <w:spacing w:line="480" w:lineRule="auto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(Third party)</w:t>
            </w:r>
          </w:p>
        </w:tc>
      </w:tr>
      <w:tr w:rsidR="00FA2D3A">
        <w:trPr>
          <w:trHeight w:val="5048"/>
          <w:jc w:val="center"/>
        </w:trPr>
        <w:tc>
          <w:tcPr>
            <w:tcW w:w="0" w:type="auto"/>
            <w:vAlign w:val="center"/>
          </w:tcPr>
          <w:p w:rsidR="00FA2D3A" w:rsidRDefault="00EF19D4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290</w:t>
            </w:r>
          </w:p>
          <w:p w:rsidR="00FA2D3A" w:rsidRDefault="00EF19D4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79</w:t>
            </w:r>
          </w:p>
          <w:p w:rsidR="00FA2D3A" w:rsidRDefault="00EF19D4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119</w:t>
            </w:r>
          </w:p>
          <w:p w:rsidR="00FA2D3A" w:rsidRDefault="00EF19D4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141</w:t>
            </w:r>
          </w:p>
          <w:p w:rsidR="00FA2D3A" w:rsidRDefault="00EF19D4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298</w:t>
            </w:r>
          </w:p>
          <w:p w:rsidR="00FA2D3A" w:rsidRDefault="00EF19D4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149</w:t>
            </w:r>
          </w:p>
          <w:p w:rsidR="00FA2D3A" w:rsidRDefault="00EF19D4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293</w:t>
            </w:r>
          </w:p>
          <w:p w:rsidR="00FA2D3A" w:rsidRDefault="00EF19D4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294</w:t>
            </w:r>
          </w:p>
          <w:p w:rsidR="00FA2D3A" w:rsidRDefault="00EF19D4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159</w:t>
            </w:r>
          </w:p>
        </w:tc>
        <w:tc>
          <w:tcPr>
            <w:tcW w:w="0" w:type="auto"/>
            <w:vAlign w:val="center"/>
          </w:tcPr>
          <w:p w:rsidR="00FA2D3A" w:rsidRDefault="00EF19D4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negative</w:t>
            </w:r>
          </w:p>
        </w:tc>
        <w:tc>
          <w:tcPr>
            <w:tcW w:w="0" w:type="auto"/>
            <w:vAlign w:val="center"/>
          </w:tcPr>
          <w:p w:rsidR="00FA2D3A" w:rsidRDefault="00EF19D4">
            <w:pPr>
              <w:spacing w:line="48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0.547</w:t>
            </w:r>
          </w:p>
          <w:p w:rsidR="00FA2D3A" w:rsidRDefault="00EF19D4">
            <w:pPr>
              <w:spacing w:line="48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0.459</w:t>
            </w:r>
          </w:p>
          <w:p w:rsidR="00FA2D3A" w:rsidRDefault="00EF19D4">
            <w:pPr>
              <w:spacing w:line="48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0.686</w:t>
            </w:r>
          </w:p>
          <w:p w:rsidR="00FA2D3A" w:rsidRDefault="00EF19D4">
            <w:pPr>
              <w:spacing w:line="48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0.365</w:t>
            </w:r>
          </w:p>
          <w:p w:rsidR="00FA2D3A" w:rsidRDefault="00EF19D4">
            <w:pPr>
              <w:spacing w:line="48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0.681</w:t>
            </w:r>
          </w:p>
          <w:p w:rsidR="00FA2D3A" w:rsidRDefault="00EF19D4">
            <w:pPr>
              <w:spacing w:line="48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0.531</w:t>
            </w:r>
          </w:p>
          <w:p w:rsidR="00FA2D3A" w:rsidRDefault="00EF19D4">
            <w:pPr>
              <w:spacing w:line="48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0.520</w:t>
            </w:r>
          </w:p>
          <w:p w:rsidR="00FA2D3A" w:rsidRDefault="00EF19D4">
            <w:pPr>
              <w:spacing w:line="48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0.849</w:t>
            </w:r>
          </w:p>
          <w:p w:rsidR="00FA2D3A" w:rsidRDefault="00EF19D4">
            <w:pPr>
              <w:spacing w:line="48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0.967</w:t>
            </w:r>
          </w:p>
        </w:tc>
        <w:tc>
          <w:tcPr>
            <w:tcW w:w="0" w:type="auto"/>
            <w:vAlign w:val="center"/>
          </w:tcPr>
          <w:p w:rsidR="00FA2D3A" w:rsidRDefault="00EF19D4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Equivocal</w:t>
            </w:r>
          </w:p>
          <w:p w:rsidR="00FA2D3A" w:rsidRDefault="00EF19D4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Negative</w:t>
            </w:r>
          </w:p>
          <w:p w:rsidR="00FA2D3A" w:rsidRDefault="00EF19D4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Negative</w:t>
            </w:r>
          </w:p>
          <w:p w:rsidR="00FA2D3A" w:rsidRDefault="00EF19D4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Negative</w:t>
            </w:r>
          </w:p>
          <w:p w:rsidR="00FA2D3A" w:rsidRDefault="00EF19D4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Negative</w:t>
            </w:r>
          </w:p>
          <w:p w:rsidR="00FA2D3A" w:rsidRDefault="00EF19D4">
            <w:pPr>
              <w:spacing w:line="48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Positive</w:t>
            </w:r>
          </w:p>
          <w:p w:rsidR="00FA2D3A" w:rsidRDefault="00EF19D4">
            <w:pPr>
              <w:spacing w:line="48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Positive</w:t>
            </w:r>
          </w:p>
          <w:p w:rsidR="00FA2D3A" w:rsidRDefault="00EF19D4">
            <w:pPr>
              <w:spacing w:line="48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Positive</w:t>
            </w:r>
          </w:p>
          <w:p w:rsidR="00FA2D3A" w:rsidRDefault="00EF19D4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Positive</w:t>
            </w:r>
          </w:p>
        </w:tc>
      </w:tr>
      <w:tr w:rsidR="00FA2D3A">
        <w:trPr>
          <w:trHeight w:val="3924"/>
          <w:jc w:val="center"/>
        </w:trPr>
        <w:tc>
          <w:tcPr>
            <w:tcW w:w="0" w:type="auto"/>
            <w:vAlign w:val="center"/>
          </w:tcPr>
          <w:p w:rsidR="00FA2D3A" w:rsidRDefault="00EF19D4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</w:t>
            </w:r>
          </w:p>
          <w:p w:rsidR="00FA2D3A" w:rsidRDefault="00EF19D4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96</w:t>
            </w:r>
          </w:p>
          <w:p w:rsidR="00FA2D3A" w:rsidRDefault="00EF19D4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286</w:t>
            </w:r>
          </w:p>
          <w:p w:rsidR="00FA2D3A" w:rsidRDefault="00EF19D4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64</w:t>
            </w:r>
          </w:p>
          <w:p w:rsidR="00FA2D3A" w:rsidRDefault="00EF19D4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288</w:t>
            </w:r>
          </w:p>
          <w:p w:rsidR="00FA2D3A" w:rsidRDefault="00EF19D4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218</w:t>
            </w:r>
          </w:p>
          <w:p w:rsidR="00FA2D3A" w:rsidRDefault="00EF19D4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301</w:t>
            </w:r>
          </w:p>
        </w:tc>
        <w:tc>
          <w:tcPr>
            <w:tcW w:w="0" w:type="auto"/>
            <w:vAlign w:val="center"/>
          </w:tcPr>
          <w:p w:rsidR="00FA2D3A" w:rsidRDefault="00EF19D4">
            <w:pPr>
              <w:spacing w:line="48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positive</w:t>
            </w:r>
          </w:p>
        </w:tc>
        <w:tc>
          <w:tcPr>
            <w:tcW w:w="0" w:type="auto"/>
            <w:vAlign w:val="center"/>
          </w:tcPr>
          <w:p w:rsidR="00FA2D3A" w:rsidRDefault="00EF19D4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0.068</w:t>
            </w:r>
          </w:p>
          <w:p w:rsidR="00FA2D3A" w:rsidRDefault="00EF19D4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  <w:p w:rsidR="00FA2D3A" w:rsidRDefault="00EF19D4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0.050</w:t>
            </w:r>
          </w:p>
          <w:p w:rsidR="00FA2D3A" w:rsidRDefault="00EF19D4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0.102</w:t>
            </w:r>
          </w:p>
          <w:p w:rsidR="00FA2D3A" w:rsidRDefault="00EF19D4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0.212</w:t>
            </w:r>
          </w:p>
          <w:p w:rsidR="00FA2D3A" w:rsidRDefault="00EF19D4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0.213</w:t>
            </w:r>
          </w:p>
          <w:p w:rsidR="00FA2D3A" w:rsidRDefault="00EF19D4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0.262</w:t>
            </w:r>
          </w:p>
        </w:tc>
        <w:tc>
          <w:tcPr>
            <w:tcW w:w="0" w:type="auto"/>
            <w:vAlign w:val="center"/>
          </w:tcPr>
          <w:p w:rsidR="00FA2D3A" w:rsidRDefault="00EF19D4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Equivocal</w:t>
            </w:r>
          </w:p>
          <w:p w:rsidR="00FA2D3A" w:rsidRDefault="00EF19D4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Negative</w:t>
            </w:r>
          </w:p>
          <w:p w:rsidR="00FA2D3A" w:rsidRDefault="00EF19D4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Negative</w:t>
            </w:r>
          </w:p>
          <w:p w:rsidR="00FA2D3A" w:rsidRDefault="00EF19D4">
            <w:pPr>
              <w:spacing w:line="48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Positive</w:t>
            </w:r>
          </w:p>
          <w:p w:rsidR="00FA2D3A" w:rsidRDefault="00EF19D4">
            <w:pPr>
              <w:spacing w:line="48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Positive</w:t>
            </w:r>
          </w:p>
          <w:p w:rsidR="00FA2D3A" w:rsidRDefault="00EF19D4">
            <w:pPr>
              <w:spacing w:line="48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Positive</w:t>
            </w:r>
          </w:p>
          <w:p w:rsidR="00FA2D3A" w:rsidRDefault="00EF19D4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Positive</w:t>
            </w:r>
          </w:p>
        </w:tc>
      </w:tr>
    </w:tbl>
    <w:p w:rsidR="0002284D" w:rsidRDefault="0002284D" w:rsidP="0002284D">
      <w:pPr>
        <w:spacing w:line="240" w:lineRule="auto"/>
        <w:rPr>
          <w:rFonts w:ascii="Arial" w:hAnsi="Arial" w:cs="Arial"/>
          <w:sz w:val="20"/>
          <w:szCs w:val="20"/>
        </w:rPr>
      </w:pPr>
    </w:p>
    <w:p w:rsidR="00FA2D3A" w:rsidRDefault="00EF19D4" w:rsidP="0002284D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The </w:t>
      </w:r>
      <w:r w:rsidR="00C42AC3">
        <w:rPr>
          <w:rFonts w:ascii="Arial" w:hAnsi="Arial" w:cs="Arial"/>
          <w:sz w:val="20"/>
          <w:szCs w:val="20"/>
        </w:rPr>
        <w:t>HER2</w:t>
      </w:r>
      <w:r>
        <w:rPr>
          <w:rFonts w:ascii="Arial" w:hAnsi="Arial" w:cs="Arial"/>
          <w:sz w:val="20"/>
          <w:szCs w:val="20"/>
        </w:rPr>
        <w:t xml:space="preserve"> levels measured with QDB method were used</w:t>
      </w:r>
      <w:r>
        <w:rPr>
          <w:rFonts w:ascii="Arial" w:hAnsi="Arial" w:cs="Arial" w:hint="eastAsia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to separate samples into </w:t>
      </w:r>
      <w:r w:rsidR="00C42AC3">
        <w:rPr>
          <w:rFonts w:ascii="Arial" w:hAnsi="Arial" w:cs="Arial"/>
          <w:sz w:val="20"/>
          <w:szCs w:val="20"/>
        </w:rPr>
        <w:t>HER2</w:t>
      </w:r>
      <w:r>
        <w:rPr>
          <w:rFonts w:ascii="Arial" w:hAnsi="Arial" w:cs="Arial"/>
          <w:sz w:val="20"/>
          <w:szCs w:val="20"/>
        </w:rPr>
        <w:t xml:space="preserve">+ and </w:t>
      </w:r>
      <w:r w:rsidR="00C42AC3">
        <w:rPr>
          <w:rFonts w:ascii="Arial" w:hAnsi="Arial" w:cs="Arial"/>
          <w:sz w:val="20"/>
          <w:szCs w:val="20"/>
        </w:rPr>
        <w:t>HER2</w:t>
      </w:r>
      <w:r>
        <w:rPr>
          <w:rFonts w:ascii="Arial" w:hAnsi="Arial" w:cs="Arial" w:hint="eastAsia"/>
          <w:sz w:val="20"/>
          <w:szCs w:val="20"/>
        </w:rPr>
        <w:t xml:space="preserve">- </w:t>
      </w:r>
      <w:r>
        <w:rPr>
          <w:rFonts w:ascii="Arial" w:hAnsi="Arial" w:cs="Arial"/>
          <w:sz w:val="20"/>
          <w:szCs w:val="20"/>
        </w:rPr>
        <w:t>using suggested cutoff value</w:t>
      </w:r>
      <w:r>
        <w:rPr>
          <w:rFonts w:ascii="Arial" w:hAnsi="Arial" w:cs="Arial" w:hint="eastAsia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at 0.267</w:t>
      </w:r>
      <w:r>
        <w:rPr>
          <w:rFonts w:ascii="Arial" w:hAnsi="Arial" w:cs="Arial" w:hint="eastAsia"/>
          <w:sz w:val="20"/>
          <w:szCs w:val="20"/>
        </w:rPr>
        <w:t xml:space="preserve"> </w:t>
      </w:r>
      <w:r w:rsidR="008E533B">
        <w:rPr>
          <w:rFonts w:ascii="Arial" w:hAnsi="Arial" w:cs="Arial"/>
          <w:sz w:val="20"/>
          <w:szCs w:val="20"/>
        </w:rPr>
        <w:t>nmol</w:t>
      </w:r>
      <w:r>
        <w:rPr>
          <w:rFonts w:ascii="Arial" w:hAnsi="Arial" w:cs="Arial"/>
          <w:sz w:val="20"/>
          <w:szCs w:val="20"/>
        </w:rPr>
        <w:t>/g.</w:t>
      </w:r>
      <w:r>
        <w:rPr>
          <w:rFonts w:ascii="Arial" w:hAnsi="Arial" w:cs="Arial" w:hint="eastAsia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 xml:space="preserve">There were 16 samples identified with </w:t>
      </w:r>
      <w:r>
        <w:rPr>
          <w:rFonts w:ascii="Arial" w:hAnsi="Arial" w:cs="Arial"/>
          <w:sz w:val="20"/>
          <w:szCs w:val="20"/>
        </w:rPr>
        <w:lastRenderedPageBreak/>
        <w:t>disagreed</w:t>
      </w:r>
      <w:r>
        <w:rPr>
          <w:rFonts w:ascii="Arial" w:hAnsi="Arial" w:cs="Arial" w:hint="eastAsia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QDB and FISH results.  These samples were sent to a third party to rule out potential misdiagnosis, and the results were shown at the right column.</w:t>
      </w:r>
      <w:r>
        <w:rPr>
          <w:rFonts w:ascii="Arial" w:hAnsi="Arial" w:cs="Arial" w:hint="eastAsia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>All the positive results,</w:t>
      </w:r>
      <w:r>
        <w:rPr>
          <w:rFonts w:ascii="Arial" w:hAnsi="Arial" w:cs="Arial" w:hint="eastAsia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either from FISH or QDB analyses, were in bold.</w:t>
      </w:r>
      <w:r w:rsidR="008E533B"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>The concordance rate would be improved to 94.2% (</w:t>
      </w:r>
      <w:r>
        <w:rPr>
          <w:rFonts w:ascii="Symbol" w:hAnsi="Symbol" w:cs="Arial"/>
          <w:color w:val="000000" w:themeColor="text1"/>
          <w:sz w:val="20"/>
          <w:szCs w:val="20"/>
        </w:rPr>
        <w:t></w:t>
      </w:r>
      <w:r>
        <w:rPr>
          <w:rFonts w:ascii="Arial" w:hAnsi="Arial" w:cs="Arial"/>
          <w:sz w:val="20"/>
          <w:szCs w:val="20"/>
        </w:rPr>
        <w:t>=0.865 using Cohen’s Kappa analysis) when the results from third party were incorporated in the analysis.</w:t>
      </w:r>
    </w:p>
    <w:p w:rsidR="0002284D" w:rsidRDefault="0002284D">
      <w:pPr>
        <w:rPr>
          <w:rFonts w:ascii="Arial" w:hAnsi="Arial" w:cs="Arial"/>
          <w:b/>
          <w:sz w:val="24"/>
          <w:szCs w:val="24"/>
        </w:rPr>
      </w:pPr>
      <w:bookmarkStart w:id="14" w:name="OLE_LINK17"/>
      <w:r>
        <w:rPr>
          <w:rFonts w:ascii="Arial" w:hAnsi="Arial" w:cs="Arial"/>
          <w:b/>
          <w:sz w:val="24"/>
          <w:szCs w:val="24"/>
        </w:rPr>
        <w:br w:type="page"/>
      </w:r>
    </w:p>
    <w:p w:rsidR="00FA2D3A" w:rsidRDefault="00EF19D4">
      <w:pPr>
        <w:spacing w:line="48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 w:hint="eastAsia"/>
          <w:b/>
          <w:sz w:val="24"/>
          <w:szCs w:val="24"/>
        </w:rPr>
        <w:lastRenderedPageBreak/>
        <w:t>Supplementa</w:t>
      </w:r>
      <w:bookmarkEnd w:id="14"/>
      <w:r>
        <w:rPr>
          <w:rFonts w:ascii="Arial" w:hAnsi="Arial" w:cs="Arial" w:hint="eastAsia"/>
          <w:b/>
          <w:sz w:val="24"/>
          <w:szCs w:val="24"/>
        </w:rPr>
        <w:t>ry Table. 2</w:t>
      </w:r>
      <w:r>
        <w:rPr>
          <w:rFonts w:ascii="Arial" w:hAnsi="Arial" w:cs="Arial"/>
          <w:b/>
          <w:sz w:val="24"/>
          <w:szCs w:val="24"/>
        </w:rPr>
        <w:t xml:space="preserve">: </w:t>
      </w:r>
      <w:r>
        <w:rPr>
          <w:rFonts w:ascii="Arial" w:hAnsi="Arial" w:cs="Arial" w:hint="eastAsia"/>
          <w:b/>
          <w:sz w:val="24"/>
          <w:szCs w:val="24"/>
        </w:rPr>
        <w:t xml:space="preserve">Assessment of relationships between clinicopathologic features and </w:t>
      </w:r>
      <w:r w:rsidR="00C42AC3">
        <w:rPr>
          <w:rFonts w:ascii="Arial" w:hAnsi="Arial" w:cs="Arial" w:hint="eastAsia"/>
          <w:b/>
          <w:sz w:val="24"/>
          <w:szCs w:val="24"/>
        </w:rPr>
        <w:t>HER2</w:t>
      </w:r>
      <w:r>
        <w:rPr>
          <w:rFonts w:ascii="Arial" w:hAnsi="Arial" w:cs="Arial" w:hint="eastAsia"/>
          <w:b/>
          <w:sz w:val="24"/>
          <w:szCs w:val="24"/>
        </w:rPr>
        <w:t xml:space="preserve"> levels by </w:t>
      </w:r>
      <w:r>
        <w:rPr>
          <w:rFonts w:ascii="Arial" w:hAnsi="Arial" w:cs="Arial"/>
          <w:b/>
          <w:sz w:val="24"/>
          <w:szCs w:val="24"/>
        </w:rPr>
        <w:t>QDB</w:t>
      </w:r>
      <w:r>
        <w:rPr>
          <w:rFonts w:ascii="Arial" w:hAnsi="Arial" w:cs="Arial" w:hint="eastAsia"/>
          <w:b/>
          <w:sz w:val="24"/>
          <w:szCs w:val="24"/>
        </w:rPr>
        <w:t xml:space="preserve"> and </w:t>
      </w:r>
      <w:r>
        <w:rPr>
          <w:rFonts w:ascii="Arial" w:hAnsi="Arial" w:cs="Arial"/>
          <w:b/>
          <w:sz w:val="24"/>
          <w:szCs w:val="24"/>
        </w:rPr>
        <w:t>IHC analysis</w:t>
      </w:r>
      <w:r>
        <w:rPr>
          <w:rFonts w:ascii="Arial" w:hAnsi="Arial" w:cs="Arial" w:hint="eastAsia"/>
          <w:b/>
          <w:sz w:val="24"/>
          <w:szCs w:val="24"/>
        </w:rPr>
        <w:t xml:space="preserve"> respectively.</w:t>
      </w:r>
    </w:p>
    <w:tbl>
      <w:tblPr>
        <w:tblStyle w:val="a5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150"/>
        <w:gridCol w:w="990"/>
        <w:gridCol w:w="2337"/>
        <w:gridCol w:w="1483"/>
        <w:gridCol w:w="1657"/>
      </w:tblGrid>
      <w:tr w:rsidR="00FA2D3A">
        <w:trPr>
          <w:jc w:val="center"/>
        </w:trPr>
        <w:tc>
          <w:tcPr>
            <w:tcW w:w="0" w:type="auto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A2D3A" w:rsidRDefault="00EF19D4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Variable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A2D3A" w:rsidRDefault="00EF19D4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Age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A2D3A" w:rsidRDefault="00EF19D4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Histological Grade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A2D3A" w:rsidRDefault="00EF19D4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Tumor size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A2D3A" w:rsidRDefault="00EF19D4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Nodal status</w:t>
            </w:r>
          </w:p>
        </w:tc>
      </w:tr>
      <w:tr w:rsidR="00FA2D3A">
        <w:trPr>
          <w:jc w:val="center"/>
        </w:trPr>
        <w:tc>
          <w:tcPr>
            <w:tcW w:w="0" w:type="auto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A2D3A" w:rsidRDefault="00EF19D4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QDB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FA2D3A" w:rsidRDefault="00EF19D4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-0.084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FA2D3A" w:rsidRDefault="00EF19D4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0.195***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FA2D3A" w:rsidRDefault="00EF19D4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0.039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FA2D3A" w:rsidRDefault="00EF19D4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-0.041</w:t>
            </w:r>
          </w:p>
        </w:tc>
      </w:tr>
      <w:tr w:rsidR="00FA2D3A">
        <w:trPr>
          <w:jc w:val="center"/>
        </w:trPr>
        <w:tc>
          <w:tcPr>
            <w:tcW w:w="0" w:type="auto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A2D3A" w:rsidRDefault="00EF19D4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IHC</w:t>
            </w:r>
          </w:p>
        </w:tc>
        <w:tc>
          <w:tcPr>
            <w:tcW w:w="0" w:type="auto"/>
            <w:tcBorders>
              <w:left w:val="single" w:sz="12" w:space="0" w:color="auto"/>
            </w:tcBorders>
            <w:vAlign w:val="center"/>
          </w:tcPr>
          <w:p w:rsidR="00FA2D3A" w:rsidRDefault="00EF19D4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-0.117*</w:t>
            </w:r>
          </w:p>
        </w:tc>
        <w:tc>
          <w:tcPr>
            <w:tcW w:w="0" w:type="auto"/>
            <w:vAlign w:val="center"/>
          </w:tcPr>
          <w:p w:rsidR="00FA2D3A" w:rsidRDefault="00EF19D4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0.204***</w:t>
            </w:r>
          </w:p>
        </w:tc>
        <w:tc>
          <w:tcPr>
            <w:tcW w:w="0" w:type="auto"/>
            <w:vAlign w:val="center"/>
          </w:tcPr>
          <w:p w:rsidR="00FA2D3A" w:rsidRDefault="00EF19D4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0.087</w:t>
            </w:r>
          </w:p>
        </w:tc>
        <w:tc>
          <w:tcPr>
            <w:tcW w:w="0" w:type="auto"/>
            <w:vAlign w:val="center"/>
          </w:tcPr>
          <w:p w:rsidR="00FA2D3A" w:rsidRDefault="00EF19D4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-0.019</w:t>
            </w:r>
          </w:p>
        </w:tc>
      </w:tr>
    </w:tbl>
    <w:p w:rsidR="0002284D" w:rsidRDefault="0002284D" w:rsidP="0002284D">
      <w:pPr>
        <w:spacing w:line="240" w:lineRule="auto"/>
        <w:rPr>
          <w:rFonts w:ascii="Arial" w:hAnsi="Arial" w:cs="Arial"/>
          <w:sz w:val="20"/>
          <w:szCs w:val="20"/>
        </w:rPr>
      </w:pPr>
    </w:p>
    <w:p w:rsidR="00FA2D3A" w:rsidRDefault="00C42AC3" w:rsidP="0002284D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HER2</w:t>
      </w:r>
      <w:r w:rsidR="00EF19D4">
        <w:rPr>
          <w:rFonts w:ascii="Arial" w:hAnsi="Arial" w:cs="Arial" w:hint="eastAsia"/>
          <w:sz w:val="20"/>
          <w:szCs w:val="20"/>
        </w:rPr>
        <w:t xml:space="preserve"> </w:t>
      </w:r>
      <w:r w:rsidR="00EF19D4">
        <w:rPr>
          <w:rFonts w:ascii="Arial" w:hAnsi="Arial" w:cs="Arial"/>
          <w:sz w:val="20"/>
          <w:szCs w:val="20"/>
        </w:rPr>
        <w:t>levels,</w:t>
      </w:r>
      <w:r w:rsidR="00EF19D4">
        <w:rPr>
          <w:rFonts w:ascii="Arial" w:hAnsi="Arial" w:cs="Arial" w:hint="eastAsia"/>
          <w:sz w:val="20"/>
          <w:szCs w:val="20"/>
        </w:rPr>
        <w:t xml:space="preserve"> </w:t>
      </w:r>
      <w:r w:rsidR="00EF19D4">
        <w:rPr>
          <w:rFonts w:ascii="Arial" w:hAnsi="Arial" w:cs="Arial"/>
          <w:sz w:val="20"/>
          <w:szCs w:val="20"/>
        </w:rPr>
        <w:t>assessed either by QDB method as absolute and continuous variables, or IHC analysis as relative and discrete variables,</w:t>
      </w:r>
      <w:r w:rsidR="00EF19D4">
        <w:rPr>
          <w:rFonts w:ascii="Arial" w:hAnsi="Arial" w:cs="Arial" w:hint="eastAsia"/>
          <w:sz w:val="20"/>
          <w:szCs w:val="20"/>
        </w:rPr>
        <w:t xml:space="preserve"> </w:t>
      </w:r>
      <w:r w:rsidR="00EF19D4">
        <w:rPr>
          <w:rFonts w:ascii="Arial" w:hAnsi="Arial" w:cs="Arial"/>
          <w:sz w:val="20"/>
          <w:szCs w:val="20"/>
        </w:rPr>
        <w:t xml:space="preserve">were used to explore the putative association with clinicopathological features using Spearman’s rank correlation analysis using </w:t>
      </w:r>
      <w:proofErr w:type="spellStart"/>
      <w:r w:rsidR="00EF19D4">
        <w:rPr>
          <w:rFonts w:ascii="Arial" w:hAnsi="Arial" w:cs="Arial"/>
          <w:sz w:val="20"/>
          <w:szCs w:val="20"/>
        </w:rPr>
        <w:t>Graphpad</w:t>
      </w:r>
      <w:proofErr w:type="spellEnd"/>
      <w:r w:rsidR="00EF19D4">
        <w:rPr>
          <w:rFonts w:ascii="Arial" w:hAnsi="Arial" w:cs="Arial"/>
          <w:sz w:val="20"/>
          <w:szCs w:val="20"/>
        </w:rPr>
        <w:t xml:space="preserve"> 7.0.</w:t>
      </w:r>
      <w:r w:rsidR="00EF19D4">
        <w:rPr>
          <w:rFonts w:ascii="Arial" w:hAnsi="Arial" w:cs="Arial" w:hint="eastAsia"/>
          <w:sz w:val="20"/>
          <w:szCs w:val="20"/>
        </w:rPr>
        <w:t xml:space="preserve">  </w:t>
      </w:r>
      <w:r w:rsidR="00EF19D4">
        <w:rPr>
          <w:rFonts w:ascii="Arial" w:hAnsi="Arial" w:cs="Arial"/>
          <w:sz w:val="20"/>
          <w:szCs w:val="20"/>
        </w:rPr>
        <w:t>The statistically significant associations were indicated in the figure.</w:t>
      </w:r>
      <w:r w:rsidR="00EF19D4">
        <w:rPr>
          <w:rFonts w:ascii="Arial" w:hAnsi="Arial" w:cs="Arial" w:hint="eastAsia"/>
          <w:sz w:val="20"/>
          <w:szCs w:val="20"/>
        </w:rPr>
        <w:t xml:space="preserve">  </w:t>
      </w:r>
      <w:r w:rsidR="00EF19D4">
        <w:rPr>
          <w:rFonts w:ascii="Arial" w:hAnsi="Arial" w:cs="Arial"/>
          <w:sz w:val="20"/>
          <w:szCs w:val="20"/>
        </w:rPr>
        <w:t xml:space="preserve">The histological grades based on Nottingham grading system were found to be associated with </w:t>
      </w:r>
      <w:r>
        <w:rPr>
          <w:rFonts w:ascii="Arial" w:hAnsi="Arial" w:cs="Arial"/>
          <w:sz w:val="20"/>
          <w:szCs w:val="20"/>
        </w:rPr>
        <w:t>HER2</w:t>
      </w:r>
      <w:r w:rsidR="00EF19D4">
        <w:rPr>
          <w:rFonts w:ascii="Arial" w:hAnsi="Arial" w:cs="Arial"/>
          <w:sz w:val="20"/>
          <w:szCs w:val="20"/>
        </w:rPr>
        <w:t xml:space="preserve"> levels assessed either by IHC (</w:t>
      </w:r>
      <w:r w:rsidR="00EF19D4">
        <w:rPr>
          <w:rFonts w:ascii="Symbol" w:hAnsi="Symbol" w:cs="Arial"/>
          <w:sz w:val="20"/>
          <w:szCs w:val="20"/>
        </w:rPr>
        <w:t></w:t>
      </w:r>
      <w:r w:rsidR="00EF19D4">
        <w:rPr>
          <w:rFonts w:ascii="Arial" w:hAnsi="Arial" w:cs="Arial"/>
          <w:sz w:val="20"/>
          <w:szCs w:val="20"/>
        </w:rPr>
        <w:t>=0.195, p&lt;0.001) or QDB measurement (</w:t>
      </w:r>
      <w:r w:rsidR="00EF19D4">
        <w:rPr>
          <w:rFonts w:ascii="Symbol" w:hAnsi="Symbol" w:cs="Arial"/>
          <w:sz w:val="20"/>
          <w:szCs w:val="20"/>
        </w:rPr>
        <w:t></w:t>
      </w:r>
      <w:r w:rsidR="00EF19D4">
        <w:rPr>
          <w:rFonts w:ascii="Arial" w:hAnsi="Arial" w:cs="Arial"/>
          <w:sz w:val="20"/>
          <w:szCs w:val="20"/>
        </w:rPr>
        <w:t>=0.204, p&lt;0.0005) with statistical significance.</w:t>
      </w:r>
      <w:r w:rsidR="0002284D">
        <w:rPr>
          <w:rFonts w:ascii="Arial" w:hAnsi="Arial" w:cs="Arial"/>
          <w:sz w:val="20"/>
          <w:szCs w:val="20"/>
        </w:rPr>
        <w:t xml:space="preserve">  </w:t>
      </w:r>
      <w:r w:rsidR="00EF19D4">
        <w:rPr>
          <w:rFonts w:ascii="Arial" w:hAnsi="Arial" w:cs="Arial"/>
          <w:sz w:val="20"/>
          <w:szCs w:val="20"/>
        </w:rPr>
        <w:t>* p&lt;0.05; *** p&lt;0.001.</w:t>
      </w:r>
      <w:r w:rsidR="00EF19D4">
        <w:rPr>
          <w:rFonts w:ascii="Arial" w:hAnsi="Arial" w:cs="Arial" w:hint="eastAsia"/>
          <w:sz w:val="20"/>
          <w:szCs w:val="20"/>
        </w:rPr>
        <w:t xml:space="preserve">  </w:t>
      </w:r>
    </w:p>
    <w:p w:rsidR="00FA2D3A" w:rsidRDefault="00FA2D3A"/>
    <w:sectPr w:rsidR="00FA2D3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5F6D" w:rsidRDefault="00D35F6D" w:rsidP="007E2BD3">
      <w:pPr>
        <w:spacing w:after="0" w:line="240" w:lineRule="auto"/>
      </w:pPr>
      <w:r>
        <w:separator/>
      </w:r>
    </w:p>
  </w:endnote>
  <w:endnote w:type="continuationSeparator" w:id="0">
    <w:p w:rsidR="00D35F6D" w:rsidRDefault="00D35F6D" w:rsidP="007E2B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5F6D" w:rsidRDefault="00D35F6D" w:rsidP="007E2BD3">
      <w:pPr>
        <w:spacing w:after="0" w:line="240" w:lineRule="auto"/>
      </w:pPr>
      <w:r>
        <w:separator/>
      </w:r>
    </w:p>
  </w:footnote>
  <w:footnote w:type="continuationSeparator" w:id="0">
    <w:p w:rsidR="00D35F6D" w:rsidRDefault="00D35F6D" w:rsidP="007E2BD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A2D3A"/>
    <w:rsid w:val="0002284D"/>
    <w:rsid w:val="00026819"/>
    <w:rsid w:val="0006707E"/>
    <w:rsid w:val="000B2474"/>
    <w:rsid w:val="001C2BE9"/>
    <w:rsid w:val="00405419"/>
    <w:rsid w:val="005140F0"/>
    <w:rsid w:val="007A6496"/>
    <w:rsid w:val="007E2BD3"/>
    <w:rsid w:val="00836415"/>
    <w:rsid w:val="00867B6F"/>
    <w:rsid w:val="008E533B"/>
    <w:rsid w:val="009D0CDE"/>
    <w:rsid w:val="00BD761D"/>
    <w:rsid w:val="00C42AC3"/>
    <w:rsid w:val="00D23DD9"/>
    <w:rsid w:val="00D35F6D"/>
    <w:rsid w:val="00EF19D4"/>
    <w:rsid w:val="00F018E3"/>
    <w:rsid w:val="00FA2D3A"/>
    <w:rsid w:val="525B4242"/>
    <w:rsid w:val="5C1031F2"/>
    <w:rsid w:val="625B1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2DBE3BAF-BFAA-4BE0-A3D3-EDFDDD990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semiHidden="1" w:uiPriority="99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4">
    <w:name w:val="footer"/>
    <w:basedOn w:val="a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table" w:styleId="a5">
    <w:name w:val="Table Grid"/>
    <w:basedOn w:val="a1"/>
    <w:uiPriority w:val="39"/>
    <w:qFormat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7E2B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页眉 字符"/>
    <w:basedOn w:val="a0"/>
    <w:link w:val="a6"/>
    <w:rsid w:val="007E2BD3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6</Pages>
  <Words>557</Words>
  <Characters>3175</Characters>
  <Application>Microsoft Office Word</Application>
  <DocSecurity>0</DocSecurity>
  <Lines>26</Lines>
  <Paragraphs>7</Paragraphs>
  <ScaleCrop>false</ScaleCrop>
  <Company/>
  <LinksUpToDate>false</LinksUpToDate>
  <CharactersWithSpaces>3725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quantisicion</dc:creator>
  <cp:lastModifiedBy>Tang</cp:lastModifiedBy>
  <cp:revision>12</cp:revision>
  <dcterms:created xsi:type="dcterms:W3CDTF">2019-11-08T06:10:00Z</dcterms:created>
  <dcterms:modified xsi:type="dcterms:W3CDTF">2020-05-27T05:44:00Z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