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CB20CD" w14:textId="76BFC4DC" w:rsidR="00DA124E" w:rsidRPr="0085757C" w:rsidRDefault="00DA124E" w:rsidP="00DA124E">
      <w:pPr>
        <w:jc w:val="center"/>
        <w:rPr>
          <w:b/>
          <w:bCs/>
          <w:color w:val="1D1C1D"/>
          <w:sz w:val="22"/>
          <w:szCs w:val="22"/>
          <w:shd w:val="clear" w:color="auto" w:fill="FFFFFF"/>
        </w:rPr>
      </w:pPr>
      <w:r>
        <w:rPr>
          <w:b/>
          <w:bCs/>
          <w:color w:val="1D1C1D"/>
          <w:sz w:val="22"/>
          <w:szCs w:val="22"/>
          <w:shd w:val="clear" w:color="auto" w:fill="FFFFFF"/>
        </w:rPr>
        <w:t xml:space="preserve">SUPPLEMENTARY: </w:t>
      </w:r>
      <w:r w:rsidRPr="0085757C">
        <w:rPr>
          <w:b/>
          <w:bCs/>
          <w:color w:val="1D1C1D"/>
          <w:sz w:val="22"/>
          <w:szCs w:val="22"/>
          <w:shd w:val="clear" w:color="auto" w:fill="FFFFFF"/>
        </w:rPr>
        <w:t>Early-Pleistocene origin and extensive intra-species diversity of the extinct cave lion</w:t>
      </w:r>
    </w:p>
    <w:p w14:paraId="28B6214E" w14:textId="77777777" w:rsidR="00DA124E" w:rsidRPr="0085757C" w:rsidRDefault="00DA124E" w:rsidP="00DA124E">
      <w:pPr>
        <w:jc w:val="center"/>
        <w:rPr>
          <w:b/>
          <w:sz w:val="22"/>
          <w:szCs w:val="22"/>
        </w:rPr>
      </w:pPr>
    </w:p>
    <w:p w14:paraId="1BC8137A" w14:textId="77777777" w:rsidR="00134ED4" w:rsidRPr="00175092" w:rsidRDefault="00134ED4" w:rsidP="00134ED4">
      <w:pPr>
        <w:jc w:val="center"/>
        <w:rPr>
          <w:sz w:val="22"/>
          <w:szCs w:val="22"/>
          <w:vertAlign w:val="superscript"/>
          <w:lang w:val="sv-SE"/>
        </w:rPr>
      </w:pPr>
      <w:r w:rsidRPr="0085757C">
        <w:rPr>
          <w:sz w:val="22"/>
          <w:szCs w:val="22"/>
          <w:lang w:val="sv-SE"/>
        </w:rPr>
        <w:t>David W. G. Stanton</w:t>
      </w:r>
      <w:r w:rsidRPr="0085757C">
        <w:rPr>
          <w:sz w:val="22"/>
          <w:szCs w:val="22"/>
          <w:vertAlign w:val="superscript"/>
          <w:lang w:val="sv-SE"/>
        </w:rPr>
        <w:t>1,2</w:t>
      </w:r>
      <w:r w:rsidRPr="0085757C">
        <w:rPr>
          <w:sz w:val="22"/>
          <w:szCs w:val="22"/>
          <w:lang w:val="sv-SE"/>
        </w:rPr>
        <w:t xml:space="preserve">, </w:t>
      </w:r>
      <w:proofErr w:type="spellStart"/>
      <w:r w:rsidRPr="0085757C">
        <w:rPr>
          <w:sz w:val="22"/>
          <w:szCs w:val="22"/>
          <w:lang w:val="sv-SE"/>
        </w:rPr>
        <w:t>Federica</w:t>
      </w:r>
      <w:proofErr w:type="spellEnd"/>
      <w:r w:rsidRPr="0085757C">
        <w:rPr>
          <w:sz w:val="22"/>
          <w:szCs w:val="22"/>
          <w:lang w:val="sv-SE"/>
        </w:rPr>
        <w:t xml:space="preserve"> Albert</w:t>
      </w:r>
      <w:r>
        <w:rPr>
          <w:sz w:val="22"/>
          <w:szCs w:val="22"/>
          <w:lang w:val="sv-SE"/>
        </w:rPr>
        <w:t>i</w:t>
      </w:r>
      <w:r>
        <w:rPr>
          <w:sz w:val="22"/>
          <w:szCs w:val="22"/>
          <w:vertAlign w:val="superscript"/>
          <w:lang w:val="sv-SE"/>
        </w:rPr>
        <w:t>3,4</w:t>
      </w:r>
      <w:r>
        <w:rPr>
          <w:sz w:val="22"/>
          <w:szCs w:val="22"/>
          <w:lang w:val="sv-SE"/>
        </w:rPr>
        <w:t>,</w:t>
      </w:r>
      <w:r w:rsidRPr="0085757C">
        <w:rPr>
          <w:sz w:val="22"/>
          <w:szCs w:val="22"/>
          <w:lang w:val="sv-SE"/>
        </w:rPr>
        <w:t xml:space="preserve"> Valer</w:t>
      </w:r>
      <w:r>
        <w:rPr>
          <w:sz w:val="22"/>
          <w:szCs w:val="22"/>
          <w:lang w:val="sv-SE"/>
        </w:rPr>
        <w:t>y</w:t>
      </w:r>
      <w:r w:rsidRPr="0085757C">
        <w:rPr>
          <w:sz w:val="22"/>
          <w:szCs w:val="22"/>
          <w:lang w:val="sv-SE"/>
        </w:rPr>
        <w:t xml:space="preserve"> Plotnikov</w:t>
      </w:r>
      <w:r>
        <w:rPr>
          <w:sz w:val="22"/>
          <w:szCs w:val="22"/>
          <w:vertAlign w:val="superscript"/>
          <w:lang w:val="sv-SE"/>
        </w:rPr>
        <w:t>5</w:t>
      </w:r>
      <w:r w:rsidRPr="0085757C">
        <w:rPr>
          <w:sz w:val="22"/>
          <w:szCs w:val="22"/>
          <w:lang w:val="sv-SE"/>
        </w:rPr>
        <w:t xml:space="preserve">, </w:t>
      </w:r>
      <w:proofErr w:type="spellStart"/>
      <w:r w:rsidRPr="0085757C">
        <w:rPr>
          <w:sz w:val="22"/>
          <w:szCs w:val="22"/>
          <w:lang w:val="sv-SE"/>
        </w:rPr>
        <w:t>Semyon</w:t>
      </w:r>
      <w:proofErr w:type="spellEnd"/>
      <w:r w:rsidRPr="0085757C">
        <w:rPr>
          <w:sz w:val="22"/>
          <w:szCs w:val="22"/>
          <w:lang w:val="sv-SE"/>
        </w:rPr>
        <w:t xml:space="preserve"> Androsov</w:t>
      </w:r>
      <w:r>
        <w:rPr>
          <w:sz w:val="22"/>
          <w:szCs w:val="22"/>
          <w:vertAlign w:val="superscript"/>
          <w:lang w:val="sv-SE"/>
        </w:rPr>
        <w:t>6</w:t>
      </w:r>
      <w:r w:rsidRPr="0085757C">
        <w:rPr>
          <w:sz w:val="22"/>
          <w:szCs w:val="22"/>
          <w:lang w:val="sv-SE"/>
        </w:rPr>
        <w:t xml:space="preserve">, </w:t>
      </w:r>
      <w:proofErr w:type="spellStart"/>
      <w:r w:rsidRPr="00175092">
        <w:rPr>
          <w:sz w:val="22"/>
          <w:szCs w:val="22"/>
          <w:lang w:val="sv-SE"/>
        </w:rPr>
        <w:t>Semyon</w:t>
      </w:r>
      <w:proofErr w:type="spellEnd"/>
      <w:r w:rsidRPr="00175092">
        <w:rPr>
          <w:sz w:val="22"/>
          <w:szCs w:val="22"/>
          <w:lang w:val="sv-SE"/>
        </w:rPr>
        <w:t xml:space="preserve"> Grigoriev</w:t>
      </w:r>
      <w:proofErr w:type="gramStart"/>
      <w:r>
        <w:rPr>
          <w:sz w:val="22"/>
          <w:szCs w:val="22"/>
          <w:vertAlign w:val="superscript"/>
          <w:lang w:val="sv-SE"/>
        </w:rPr>
        <w:t>7</w:t>
      </w:r>
      <w:r w:rsidRPr="00013DD5">
        <w:rPr>
          <w:sz w:val="22"/>
          <w:szCs w:val="22"/>
          <w:vertAlign w:val="superscript"/>
          <w:lang w:val="sv-SE"/>
        </w:rPr>
        <w:t>,</w:t>
      </w:r>
      <w:r w:rsidRPr="00175092">
        <w:rPr>
          <w:sz w:val="22"/>
          <w:szCs w:val="22"/>
          <w:vertAlign w:val="superscript"/>
        </w:rPr>
        <w:t>†</w:t>
      </w:r>
      <w:proofErr w:type="gramEnd"/>
      <w:r w:rsidRPr="0085757C">
        <w:rPr>
          <w:sz w:val="22"/>
          <w:szCs w:val="22"/>
          <w:lang w:val="sv-SE"/>
        </w:rPr>
        <w:t xml:space="preserve">, </w:t>
      </w:r>
      <w:proofErr w:type="spellStart"/>
      <w:r w:rsidRPr="0085757C">
        <w:rPr>
          <w:sz w:val="22"/>
          <w:szCs w:val="22"/>
          <w:lang w:val="sv-SE"/>
        </w:rPr>
        <w:t>Sergey</w:t>
      </w:r>
      <w:proofErr w:type="spellEnd"/>
      <w:r w:rsidRPr="0085757C">
        <w:rPr>
          <w:sz w:val="22"/>
          <w:szCs w:val="22"/>
          <w:lang w:val="sv-SE"/>
        </w:rPr>
        <w:t xml:space="preserve"> Fedorov</w:t>
      </w:r>
      <w:r>
        <w:rPr>
          <w:sz w:val="22"/>
          <w:szCs w:val="22"/>
          <w:vertAlign w:val="superscript"/>
          <w:lang w:val="sv-SE"/>
        </w:rPr>
        <w:t>7</w:t>
      </w:r>
      <w:r w:rsidRPr="0085757C">
        <w:rPr>
          <w:sz w:val="22"/>
          <w:szCs w:val="22"/>
          <w:lang w:val="sv-SE"/>
        </w:rPr>
        <w:t>, Pavel Kosintsev</w:t>
      </w:r>
      <w:r>
        <w:rPr>
          <w:sz w:val="22"/>
          <w:szCs w:val="22"/>
          <w:vertAlign w:val="superscript"/>
          <w:lang w:val="sv-SE"/>
        </w:rPr>
        <w:t>8</w:t>
      </w:r>
      <w:r w:rsidRPr="0085757C">
        <w:rPr>
          <w:sz w:val="22"/>
          <w:szCs w:val="22"/>
          <w:lang w:val="sv-SE"/>
        </w:rPr>
        <w:t>, Doris Nagel</w:t>
      </w:r>
      <w:r>
        <w:rPr>
          <w:sz w:val="22"/>
          <w:szCs w:val="22"/>
          <w:vertAlign w:val="superscript"/>
          <w:lang w:val="sv-SE"/>
        </w:rPr>
        <w:t>9</w:t>
      </w:r>
      <w:r w:rsidRPr="0085757C">
        <w:rPr>
          <w:sz w:val="22"/>
          <w:szCs w:val="22"/>
          <w:lang w:val="sv-SE"/>
        </w:rPr>
        <w:t xml:space="preserve">, </w:t>
      </w:r>
      <w:proofErr w:type="spellStart"/>
      <w:r w:rsidRPr="0085757C">
        <w:rPr>
          <w:sz w:val="22"/>
          <w:szCs w:val="22"/>
          <w:lang w:val="sv-SE"/>
        </w:rPr>
        <w:t>Sergey</w:t>
      </w:r>
      <w:proofErr w:type="spellEnd"/>
      <w:r w:rsidRPr="0085757C">
        <w:rPr>
          <w:sz w:val="22"/>
          <w:szCs w:val="22"/>
          <w:lang w:val="sv-SE"/>
        </w:rPr>
        <w:t xml:space="preserve"> Vartanyan</w:t>
      </w:r>
      <w:r>
        <w:rPr>
          <w:sz w:val="22"/>
          <w:szCs w:val="22"/>
          <w:vertAlign w:val="superscript"/>
          <w:lang w:val="sv-SE"/>
        </w:rPr>
        <w:t>10</w:t>
      </w:r>
      <w:r w:rsidRPr="0085757C">
        <w:rPr>
          <w:sz w:val="22"/>
          <w:szCs w:val="22"/>
          <w:lang w:val="sv-SE"/>
        </w:rPr>
        <w:t>,</w:t>
      </w:r>
      <w:r>
        <w:rPr>
          <w:sz w:val="22"/>
          <w:szCs w:val="22"/>
          <w:lang w:val="sv-SE"/>
        </w:rPr>
        <w:t xml:space="preserve"> Ian Barnes</w:t>
      </w:r>
      <w:r w:rsidRPr="00FF49F5">
        <w:rPr>
          <w:sz w:val="22"/>
          <w:szCs w:val="22"/>
          <w:vertAlign w:val="superscript"/>
          <w:lang w:val="sv-SE"/>
        </w:rPr>
        <w:t>1</w:t>
      </w:r>
      <w:r>
        <w:rPr>
          <w:sz w:val="22"/>
          <w:szCs w:val="22"/>
          <w:vertAlign w:val="superscript"/>
          <w:lang w:val="sv-SE"/>
        </w:rPr>
        <w:t>1</w:t>
      </w:r>
      <w:r>
        <w:rPr>
          <w:sz w:val="22"/>
          <w:szCs w:val="22"/>
          <w:lang w:val="sv-SE"/>
        </w:rPr>
        <w:t>,</w:t>
      </w:r>
      <w:r w:rsidRPr="0085757C">
        <w:rPr>
          <w:sz w:val="22"/>
          <w:szCs w:val="22"/>
          <w:lang w:val="sv-SE"/>
        </w:rPr>
        <w:t xml:space="preserve"> Ross Barnett</w:t>
      </w:r>
      <w:r w:rsidRPr="0085757C">
        <w:rPr>
          <w:sz w:val="22"/>
          <w:szCs w:val="22"/>
          <w:vertAlign w:val="superscript"/>
          <w:lang w:val="sv-SE"/>
        </w:rPr>
        <w:t>1</w:t>
      </w:r>
      <w:r>
        <w:rPr>
          <w:sz w:val="22"/>
          <w:szCs w:val="22"/>
          <w:vertAlign w:val="superscript"/>
          <w:lang w:val="sv-SE"/>
        </w:rPr>
        <w:t>2</w:t>
      </w:r>
      <w:r w:rsidRPr="0085757C">
        <w:rPr>
          <w:sz w:val="22"/>
          <w:szCs w:val="22"/>
          <w:lang w:val="sv-SE"/>
        </w:rPr>
        <w:t>, Erik Ersmark</w:t>
      </w:r>
      <w:r w:rsidRPr="0085757C">
        <w:rPr>
          <w:sz w:val="22"/>
          <w:szCs w:val="22"/>
          <w:vertAlign w:val="superscript"/>
          <w:lang w:val="sv-SE"/>
        </w:rPr>
        <w:t>1,2</w:t>
      </w:r>
      <w:r w:rsidRPr="0085757C">
        <w:rPr>
          <w:sz w:val="22"/>
          <w:szCs w:val="22"/>
          <w:lang w:val="sv-SE"/>
        </w:rPr>
        <w:t>, Doris Döppe</w:t>
      </w:r>
      <w:r>
        <w:rPr>
          <w:sz w:val="22"/>
          <w:szCs w:val="22"/>
          <w:lang w:val="sv-SE"/>
        </w:rPr>
        <w:t>s</w:t>
      </w:r>
      <w:r>
        <w:rPr>
          <w:sz w:val="22"/>
          <w:szCs w:val="22"/>
          <w:vertAlign w:val="superscript"/>
          <w:lang w:val="sv-SE"/>
        </w:rPr>
        <w:t>4</w:t>
      </w:r>
      <w:r w:rsidRPr="0085757C">
        <w:rPr>
          <w:sz w:val="22"/>
          <w:szCs w:val="22"/>
          <w:lang w:val="sv-SE"/>
        </w:rPr>
        <w:t xml:space="preserve">, </w:t>
      </w:r>
      <w:proofErr w:type="spellStart"/>
      <w:r w:rsidRPr="0085757C">
        <w:rPr>
          <w:sz w:val="22"/>
          <w:szCs w:val="22"/>
          <w:lang w:val="sv-SE"/>
        </w:rPr>
        <w:t>Mietje</w:t>
      </w:r>
      <w:proofErr w:type="spellEnd"/>
      <w:r w:rsidRPr="0085757C">
        <w:rPr>
          <w:sz w:val="22"/>
          <w:szCs w:val="22"/>
          <w:lang w:val="sv-SE"/>
        </w:rPr>
        <w:t xml:space="preserve"> Germonpré</w:t>
      </w:r>
      <w:r w:rsidRPr="0085757C">
        <w:rPr>
          <w:sz w:val="22"/>
          <w:szCs w:val="22"/>
          <w:vertAlign w:val="superscript"/>
          <w:lang w:val="sv-SE"/>
        </w:rPr>
        <w:t>1</w:t>
      </w:r>
      <w:r>
        <w:rPr>
          <w:sz w:val="22"/>
          <w:szCs w:val="22"/>
          <w:vertAlign w:val="superscript"/>
          <w:lang w:val="sv-SE"/>
        </w:rPr>
        <w:t>3</w:t>
      </w:r>
      <w:r w:rsidRPr="0085757C">
        <w:rPr>
          <w:sz w:val="22"/>
          <w:szCs w:val="22"/>
          <w:lang w:val="sv-SE"/>
        </w:rPr>
        <w:t xml:space="preserve">, </w:t>
      </w:r>
      <w:r w:rsidRPr="0085757C">
        <w:rPr>
          <w:rStyle w:val="bidi"/>
        </w:rPr>
        <w:t xml:space="preserve">Michael </w:t>
      </w:r>
      <w:proofErr w:type="spellStart"/>
      <w:r w:rsidRPr="0085757C">
        <w:rPr>
          <w:rStyle w:val="bidi"/>
        </w:rPr>
        <w:t>Hofreite</w:t>
      </w:r>
      <w:proofErr w:type="spellEnd"/>
      <w:r w:rsidRPr="0081791B">
        <w:rPr>
          <w:lang w:val="sv-SE"/>
        </w:rPr>
        <w:t>r</w:t>
      </w:r>
      <w:r>
        <w:rPr>
          <w:sz w:val="22"/>
          <w:szCs w:val="22"/>
          <w:vertAlign w:val="superscript"/>
          <w:lang w:val="sv-SE"/>
        </w:rPr>
        <w:t>3</w:t>
      </w:r>
      <w:r>
        <w:rPr>
          <w:sz w:val="22"/>
          <w:szCs w:val="22"/>
          <w:lang w:val="sv-SE"/>
        </w:rPr>
        <w:t>,</w:t>
      </w:r>
      <w:r w:rsidRPr="0085757C">
        <w:rPr>
          <w:rStyle w:val="bidi"/>
        </w:rPr>
        <w:t xml:space="preserve"> </w:t>
      </w:r>
      <w:r w:rsidRPr="0085757C">
        <w:rPr>
          <w:sz w:val="22"/>
          <w:szCs w:val="22"/>
          <w:lang w:val="sv-SE"/>
        </w:rPr>
        <w:t>Wilfried Rosendahl</w:t>
      </w:r>
      <w:r>
        <w:rPr>
          <w:sz w:val="22"/>
          <w:szCs w:val="22"/>
          <w:vertAlign w:val="superscript"/>
          <w:lang w:val="sv-SE"/>
        </w:rPr>
        <w:t>4</w:t>
      </w:r>
      <w:r w:rsidRPr="0085757C">
        <w:rPr>
          <w:rStyle w:val="bidi"/>
        </w:rPr>
        <w:t xml:space="preserve">, </w:t>
      </w:r>
      <w:r w:rsidRPr="0085757C">
        <w:rPr>
          <w:sz w:val="22"/>
          <w:szCs w:val="22"/>
          <w:lang w:val="sv-SE"/>
        </w:rPr>
        <w:t>Pontus Skoglund</w:t>
      </w:r>
      <w:r w:rsidRPr="0085757C">
        <w:rPr>
          <w:sz w:val="22"/>
          <w:szCs w:val="22"/>
          <w:vertAlign w:val="superscript"/>
          <w:lang w:val="sv-SE"/>
        </w:rPr>
        <w:t>1</w:t>
      </w:r>
      <w:r>
        <w:rPr>
          <w:sz w:val="22"/>
          <w:szCs w:val="22"/>
          <w:vertAlign w:val="superscript"/>
          <w:lang w:val="sv-SE"/>
        </w:rPr>
        <w:t>4</w:t>
      </w:r>
      <w:r w:rsidRPr="0085757C">
        <w:rPr>
          <w:sz w:val="22"/>
          <w:szCs w:val="22"/>
          <w:lang w:val="sv-SE"/>
        </w:rPr>
        <w:t xml:space="preserve">, </w:t>
      </w:r>
      <w:r w:rsidRPr="00175092">
        <w:rPr>
          <w:sz w:val="22"/>
          <w:szCs w:val="22"/>
          <w:lang w:val="sv-SE"/>
        </w:rPr>
        <w:t>Love Dalén</w:t>
      </w:r>
      <w:r w:rsidRPr="00175092">
        <w:rPr>
          <w:sz w:val="22"/>
          <w:szCs w:val="22"/>
          <w:vertAlign w:val="superscript"/>
          <w:lang w:val="sv-SE"/>
        </w:rPr>
        <w:t>1,2,15*</w:t>
      </w:r>
    </w:p>
    <w:p w14:paraId="659FFE84" w14:textId="77777777" w:rsidR="00134ED4" w:rsidRPr="00175092" w:rsidRDefault="00134ED4" w:rsidP="00134ED4"/>
    <w:p w14:paraId="45F40DEE" w14:textId="77777777" w:rsidR="00134ED4" w:rsidRPr="00175092" w:rsidRDefault="00134ED4" w:rsidP="00134ED4">
      <w:pPr>
        <w:rPr>
          <w:sz w:val="18"/>
          <w:szCs w:val="18"/>
          <w:lang w:val="sv-SE"/>
        </w:rPr>
      </w:pPr>
      <w:r w:rsidRPr="00175092">
        <w:rPr>
          <w:sz w:val="18"/>
          <w:szCs w:val="18"/>
          <w:vertAlign w:val="superscript"/>
          <w:lang w:val="sv-SE"/>
        </w:rPr>
        <w:t xml:space="preserve">1 </w:t>
      </w:r>
      <w:r w:rsidRPr="00175092">
        <w:rPr>
          <w:sz w:val="18"/>
          <w:szCs w:val="18"/>
          <w:lang w:val="sv-SE"/>
        </w:rPr>
        <w:t xml:space="preserve">Centre for </w:t>
      </w:r>
      <w:proofErr w:type="spellStart"/>
      <w:r w:rsidRPr="00175092">
        <w:rPr>
          <w:sz w:val="18"/>
          <w:szCs w:val="18"/>
          <w:lang w:val="sv-SE"/>
        </w:rPr>
        <w:t>Palaeogenetics</w:t>
      </w:r>
      <w:proofErr w:type="spellEnd"/>
      <w:r w:rsidRPr="00175092">
        <w:rPr>
          <w:sz w:val="18"/>
          <w:szCs w:val="18"/>
          <w:lang w:val="sv-SE"/>
        </w:rPr>
        <w:t>, Svante Arrhenius väg 20C, SE-106 91 Stockholm</w:t>
      </w:r>
    </w:p>
    <w:p w14:paraId="3EC74697" w14:textId="77777777" w:rsidR="00134ED4" w:rsidRPr="00175092" w:rsidRDefault="00134ED4" w:rsidP="00134ED4">
      <w:pPr>
        <w:rPr>
          <w:sz w:val="18"/>
          <w:szCs w:val="18"/>
        </w:rPr>
      </w:pPr>
      <w:r w:rsidRPr="00175092">
        <w:rPr>
          <w:sz w:val="18"/>
          <w:szCs w:val="18"/>
          <w:vertAlign w:val="superscript"/>
        </w:rPr>
        <w:t xml:space="preserve">2 </w:t>
      </w:r>
      <w:r w:rsidRPr="00175092">
        <w:rPr>
          <w:sz w:val="18"/>
          <w:szCs w:val="18"/>
        </w:rPr>
        <w:t>Department of Bioinformatics and Genetics, Swedish Museum of Natural History, Stockholm, Sweden</w:t>
      </w:r>
    </w:p>
    <w:p w14:paraId="7DEBF49B" w14:textId="77777777" w:rsidR="00134ED4" w:rsidRPr="00175092" w:rsidRDefault="00134ED4" w:rsidP="00134ED4">
      <w:pPr>
        <w:rPr>
          <w:rStyle w:val="bidi"/>
          <w:color w:val="000000"/>
          <w:sz w:val="18"/>
          <w:szCs w:val="18"/>
        </w:rPr>
      </w:pPr>
      <w:r w:rsidRPr="00175092">
        <w:rPr>
          <w:rStyle w:val="bidi"/>
          <w:color w:val="000000"/>
          <w:sz w:val="18"/>
          <w:szCs w:val="18"/>
          <w:vertAlign w:val="superscript"/>
        </w:rPr>
        <w:t xml:space="preserve">3 </w:t>
      </w:r>
      <w:r w:rsidRPr="00175092">
        <w:rPr>
          <w:rStyle w:val="bidi"/>
          <w:color w:val="000000"/>
          <w:sz w:val="18"/>
          <w:szCs w:val="18"/>
        </w:rPr>
        <w:t>Institute for Biochemistry and Biology, University of Potsdam, Karl-Liebknecht-Str. 24-25, 14476 Potsdam, Germany</w:t>
      </w:r>
    </w:p>
    <w:p w14:paraId="6013D1C5" w14:textId="77777777" w:rsidR="00134ED4" w:rsidRPr="00175092" w:rsidRDefault="00134ED4" w:rsidP="00134ED4">
      <w:r w:rsidRPr="00175092">
        <w:rPr>
          <w:sz w:val="18"/>
          <w:szCs w:val="18"/>
          <w:vertAlign w:val="superscript"/>
        </w:rPr>
        <w:t xml:space="preserve">4 </w:t>
      </w:r>
      <w:r w:rsidRPr="00175092">
        <w:rPr>
          <w:sz w:val="18"/>
          <w:szCs w:val="18"/>
        </w:rPr>
        <w:t>Reiss-</w:t>
      </w:r>
      <w:proofErr w:type="spellStart"/>
      <w:r w:rsidRPr="00175092">
        <w:rPr>
          <w:sz w:val="18"/>
          <w:szCs w:val="18"/>
        </w:rPr>
        <w:t>Engelhorn</w:t>
      </w:r>
      <w:proofErr w:type="spellEnd"/>
      <w:r w:rsidRPr="00175092">
        <w:rPr>
          <w:sz w:val="18"/>
          <w:szCs w:val="18"/>
        </w:rPr>
        <w:t>-</w:t>
      </w:r>
      <w:proofErr w:type="spellStart"/>
      <w:r w:rsidRPr="00175092">
        <w:rPr>
          <w:sz w:val="18"/>
          <w:szCs w:val="18"/>
        </w:rPr>
        <w:t>Museen</w:t>
      </w:r>
      <w:proofErr w:type="spellEnd"/>
      <w:r w:rsidRPr="00175092">
        <w:rPr>
          <w:sz w:val="18"/>
          <w:szCs w:val="18"/>
        </w:rPr>
        <w:t xml:space="preserve">, </w:t>
      </w:r>
      <w:proofErr w:type="spellStart"/>
      <w:r w:rsidRPr="00175092">
        <w:rPr>
          <w:sz w:val="18"/>
          <w:szCs w:val="18"/>
        </w:rPr>
        <w:t>Zeughaus</w:t>
      </w:r>
      <w:proofErr w:type="spellEnd"/>
      <w:r w:rsidRPr="00175092">
        <w:rPr>
          <w:sz w:val="18"/>
          <w:szCs w:val="18"/>
        </w:rPr>
        <w:t xml:space="preserve"> C5, 68159 Mannheim, Germany</w:t>
      </w:r>
    </w:p>
    <w:p w14:paraId="73636F52" w14:textId="77777777" w:rsidR="00134ED4" w:rsidRPr="00175092" w:rsidRDefault="00134ED4" w:rsidP="00134ED4">
      <w:pPr>
        <w:rPr>
          <w:sz w:val="18"/>
          <w:szCs w:val="18"/>
        </w:rPr>
      </w:pPr>
      <w:r w:rsidRPr="00175092">
        <w:rPr>
          <w:sz w:val="18"/>
          <w:szCs w:val="18"/>
          <w:vertAlign w:val="superscript"/>
        </w:rPr>
        <w:t xml:space="preserve">5 </w:t>
      </w:r>
      <w:r w:rsidRPr="00175092">
        <w:rPr>
          <w:sz w:val="18"/>
          <w:szCs w:val="18"/>
        </w:rPr>
        <w:t>Academy of Sciences of Sakha Republic, Lenin Avenue 33, Republic of Sakha, Yakutia, Russia.</w:t>
      </w:r>
    </w:p>
    <w:p w14:paraId="48B28730" w14:textId="77777777" w:rsidR="00134ED4" w:rsidRPr="00175092" w:rsidRDefault="00134ED4" w:rsidP="00134ED4">
      <w:pPr>
        <w:rPr>
          <w:sz w:val="18"/>
          <w:szCs w:val="18"/>
        </w:rPr>
      </w:pPr>
      <w:r w:rsidRPr="00175092">
        <w:rPr>
          <w:sz w:val="18"/>
          <w:szCs w:val="18"/>
          <w:vertAlign w:val="superscript"/>
        </w:rPr>
        <w:t xml:space="preserve">6 </w:t>
      </w:r>
      <w:r w:rsidRPr="00175092">
        <w:rPr>
          <w:sz w:val="18"/>
          <w:szCs w:val="18"/>
        </w:rPr>
        <w:t>Museum "</w:t>
      </w:r>
      <w:proofErr w:type="spellStart"/>
      <w:r w:rsidRPr="00175092">
        <w:rPr>
          <w:sz w:val="18"/>
          <w:szCs w:val="18"/>
        </w:rPr>
        <w:t>Severnyi</w:t>
      </w:r>
      <w:proofErr w:type="spellEnd"/>
      <w:r w:rsidRPr="00175092">
        <w:rPr>
          <w:sz w:val="18"/>
          <w:szCs w:val="18"/>
        </w:rPr>
        <w:t xml:space="preserve"> Mir", Yakutsk, Russia</w:t>
      </w:r>
    </w:p>
    <w:p w14:paraId="03F91395" w14:textId="77777777" w:rsidR="00134ED4" w:rsidRPr="00175092" w:rsidRDefault="00134ED4" w:rsidP="00134ED4">
      <w:pPr>
        <w:rPr>
          <w:sz w:val="18"/>
          <w:szCs w:val="18"/>
        </w:rPr>
      </w:pPr>
      <w:r w:rsidRPr="00175092">
        <w:rPr>
          <w:sz w:val="18"/>
          <w:szCs w:val="18"/>
          <w:vertAlign w:val="superscript"/>
        </w:rPr>
        <w:t xml:space="preserve">7 </w:t>
      </w:r>
      <w:r w:rsidRPr="00175092">
        <w:rPr>
          <w:sz w:val="18"/>
          <w:szCs w:val="18"/>
        </w:rPr>
        <w:t>Mammoth Museum of Institute of Applied Ecology of the North, North-Eastern Federal University. Yakutsk, Republic Sakha (Yakutia), Russia</w:t>
      </w:r>
    </w:p>
    <w:p w14:paraId="0570F820" w14:textId="77777777" w:rsidR="00134ED4" w:rsidRPr="00175092" w:rsidRDefault="00134ED4" w:rsidP="00134ED4">
      <w:pPr>
        <w:rPr>
          <w:sz w:val="18"/>
          <w:szCs w:val="18"/>
        </w:rPr>
      </w:pPr>
      <w:r w:rsidRPr="00175092">
        <w:rPr>
          <w:sz w:val="18"/>
          <w:szCs w:val="18"/>
          <w:vertAlign w:val="superscript"/>
        </w:rPr>
        <w:t xml:space="preserve">8 </w:t>
      </w:r>
      <w:r w:rsidRPr="00175092">
        <w:rPr>
          <w:sz w:val="18"/>
          <w:szCs w:val="18"/>
        </w:rPr>
        <w:t>Institute of Plant and Animal Ecology, Russian Academy of Sciences, 202 Marta 8 St., 620144 Ekaterinburg, Russia</w:t>
      </w:r>
    </w:p>
    <w:p w14:paraId="59EB918E" w14:textId="77777777" w:rsidR="00134ED4" w:rsidRPr="00175092" w:rsidRDefault="00134ED4" w:rsidP="00134ED4">
      <w:pPr>
        <w:rPr>
          <w:sz w:val="18"/>
          <w:szCs w:val="18"/>
        </w:rPr>
      </w:pPr>
      <w:r w:rsidRPr="00175092">
        <w:rPr>
          <w:sz w:val="18"/>
          <w:szCs w:val="18"/>
          <w:vertAlign w:val="superscript"/>
        </w:rPr>
        <w:t xml:space="preserve">9 </w:t>
      </w:r>
      <w:r w:rsidRPr="00175092">
        <w:rPr>
          <w:sz w:val="18"/>
          <w:szCs w:val="18"/>
        </w:rPr>
        <w:t xml:space="preserve">Department of </w:t>
      </w:r>
      <w:proofErr w:type="spellStart"/>
      <w:r w:rsidRPr="00175092">
        <w:rPr>
          <w:sz w:val="18"/>
          <w:szCs w:val="18"/>
        </w:rPr>
        <w:t>Paleontology</w:t>
      </w:r>
      <w:proofErr w:type="spellEnd"/>
      <w:r w:rsidRPr="00175092">
        <w:rPr>
          <w:sz w:val="18"/>
          <w:szCs w:val="18"/>
        </w:rPr>
        <w:t xml:space="preserve">, University of Vienna, </w:t>
      </w:r>
      <w:proofErr w:type="spellStart"/>
      <w:r w:rsidRPr="00175092">
        <w:rPr>
          <w:sz w:val="18"/>
          <w:szCs w:val="18"/>
        </w:rPr>
        <w:t>Althanstrasse</w:t>
      </w:r>
      <w:proofErr w:type="spellEnd"/>
      <w:r w:rsidRPr="00175092">
        <w:rPr>
          <w:sz w:val="18"/>
          <w:szCs w:val="18"/>
        </w:rPr>
        <w:t xml:space="preserve"> 14, A-1090 Vienna, Austria</w:t>
      </w:r>
    </w:p>
    <w:p w14:paraId="3D3BDBB0" w14:textId="77777777" w:rsidR="00134ED4" w:rsidRPr="00175092" w:rsidRDefault="00134ED4" w:rsidP="00134ED4">
      <w:pPr>
        <w:rPr>
          <w:sz w:val="18"/>
          <w:szCs w:val="18"/>
        </w:rPr>
      </w:pPr>
      <w:r w:rsidRPr="00175092">
        <w:rPr>
          <w:sz w:val="18"/>
          <w:szCs w:val="18"/>
          <w:vertAlign w:val="superscript"/>
        </w:rPr>
        <w:t xml:space="preserve">10 </w:t>
      </w:r>
      <w:r w:rsidRPr="00175092">
        <w:rPr>
          <w:sz w:val="18"/>
          <w:szCs w:val="18"/>
        </w:rPr>
        <w:t xml:space="preserve">North-East Interdisciplinary Scientific Research Institute </w:t>
      </w:r>
      <w:proofErr w:type="spellStart"/>
      <w:r w:rsidRPr="00175092">
        <w:rPr>
          <w:sz w:val="18"/>
          <w:szCs w:val="18"/>
        </w:rPr>
        <w:t>n.a.</w:t>
      </w:r>
      <w:proofErr w:type="spellEnd"/>
      <w:r w:rsidRPr="00175092">
        <w:rPr>
          <w:sz w:val="18"/>
          <w:szCs w:val="18"/>
        </w:rPr>
        <w:t xml:space="preserve"> N.A. </w:t>
      </w:r>
      <w:proofErr w:type="spellStart"/>
      <w:r w:rsidRPr="00175092">
        <w:rPr>
          <w:sz w:val="18"/>
          <w:szCs w:val="18"/>
        </w:rPr>
        <w:t>Shilo</w:t>
      </w:r>
      <w:proofErr w:type="spellEnd"/>
      <w:r w:rsidRPr="00175092">
        <w:rPr>
          <w:sz w:val="18"/>
          <w:szCs w:val="18"/>
        </w:rPr>
        <w:t xml:space="preserve"> FEB RAS (NEISRI FEB RAS) 685000 Magadan, </w:t>
      </w:r>
      <w:proofErr w:type="spellStart"/>
      <w:r w:rsidRPr="00175092">
        <w:rPr>
          <w:sz w:val="18"/>
          <w:szCs w:val="18"/>
        </w:rPr>
        <w:t>Portovaya</w:t>
      </w:r>
      <w:proofErr w:type="spellEnd"/>
      <w:r w:rsidRPr="00175092">
        <w:rPr>
          <w:sz w:val="18"/>
          <w:szCs w:val="18"/>
        </w:rPr>
        <w:t xml:space="preserve"> Str.,16, Russia</w:t>
      </w:r>
    </w:p>
    <w:p w14:paraId="3C67C661" w14:textId="77777777" w:rsidR="00134ED4" w:rsidRPr="00175092" w:rsidRDefault="00134ED4" w:rsidP="00134ED4">
      <w:pPr>
        <w:rPr>
          <w:sz w:val="18"/>
          <w:szCs w:val="18"/>
        </w:rPr>
      </w:pPr>
      <w:r w:rsidRPr="00175092">
        <w:rPr>
          <w:sz w:val="18"/>
          <w:szCs w:val="18"/>
          <w:vertAlign w:val="superscript"/>
        </w:rPr>
        <w:t xml:space="preserve">11 </w:t>
      </w:r>
      <w:r w:rsidRPr="00175092">
        <w:rPr>
          <w:sz w:val="18"/>
          <w:szCs w:val="18"/>
        </w:rPr>
        <w:t>Department of Earth Sciences, Natural History Museum, London, UK</w:t>
      </w:r>
    </w:p>
    <w:p w14:paraId="7432501A" w14:textId="77777777" w:rsidR="00134ED4" w:rsidRPr="00175092" w:rsidRDefault="00134ED4" w:rsidP="00134ED4">
      <w:pPr>
        <w:rPr>
          <w:sz w:val="18"/>
          <w:szCs w:val="18"/>
        </w:rPr>
      </w:pPr>
      <w:r w:rsidRPr="00175092">
        <w:rPr>
          <w:sz w:val="18"/>
          <w:szCs w:val="18"/>
          <w:vertAlign w:val="superscript"/>
        </w:rPr>
        <w:t xml:space="preserve">12 </w:t>
      </w:r>
      <w:r w:rsidRPr="00175092">
        <w:rPr>
          <w:sz w:val="18"/>
          <w:szCs w:val="18"/>
        </w:rPr>
        <w:t xml:space="preserve">Natural History Museum of Denmark, University of Copenhagen, Copenhagen, Denmark </w:t>
      </w:r>
    </w:p>
    <w:p w14:paraId="4937DF9E" w14:textId="77777777" w:rsidR="00134ED4" w:rsidRPr="00175092" w:rsidRDefault="00134ED4" w:rsidP="00134ED4">
      <w:r w:rsidRPr="00175092">
        <w:rPr>
          <w:sz w:val="18"/>
          <w:szCs w:val="18"/>
          <w:vertAlign w:val="superscript"/>
        </w:rPr>
        <w:t xml:space="preserve">13 </w:t>
      </w:r>
      <w:r w:rsidRPr="00175092">
        <w:rPr>
          <w:sz w:val="18"/>
          <w:szCs w:val="18"/>
        </w:rPr>
        <w:t xml:space="preserve">OD Earth and History of Life, Royal Belgian Institute of Natural Sciences, </w:t>
      </w:r>
      <w:proofErr w:type="spellStart"/>
      <w:r w:rsidRPr="00175092">
        <w:rPr>
          <w:sz w:val="18"/>
          <w:szCs w:val="18"/>
        </w:rPr>
        <w:t>Vautierstraat</w:t>
      </w:r>
      <w:proofErr w:type="spellEnd"/>
      <w:r w:rsidRPr="00175092">
        <w:rPr>
          <w:sz w:val="18"/>
          <w:szCs w:val="18"/>
        </w:rPr>
        <w:t xml:space="preserve"> 29, 1000 Brussel, Belgium</w:t>
      </w:r>
    </w:p>
    <w:p w14:paraId="7F8A9912" w14:textId="77777777" w:rsidR="00134ED4" w:rsidRPr="00175092" w:rsidRDefault="00134ED4" w:rsidP="00134ED4">
      <w:pPr>
        <w:jc w:val="both"/>
      </w:pPr>
      <w:r w:rsidRPr="00175092">
        <w:rPr>
          <w:sz w:val="18"/>
          <w:szCs w:val="18"/>
          <w:vertAlign w:val="superscript"/>
        </w:rPr>
        <w:t xml:space="preserve">14 </w:t>
      </w:r>
      <w:r w:rsidRPr="00175092">
        <w:rPr>
          <w:sz w:val="18"/>
          <w:szCs w:val="18"/>
        </w:rPr>
        <w:t>The Francis Crick Institute, 1 Midland Road, London NW1 1AT</w:t>
      </w:r>
    </w:p>
    <w:p w14:paraId="031F3E3B" w14:textId="77777777" w:rsidR="00134ED4" w:rsidRPr="00175092" w:rsidRDefault="00134ED4" w:rsidP="00134ED4">
      <w:pPr>
        <w:rPr>
          <w:sz w:val="18"/>
          <w:szCs w:val="18"/>
        </w:rPr>
      </w:pPr>
      <w:r w:rsidRPr="00175092">
        <w:rPr>
          <w:sz w:val="18"/>
          <w:szCs w:val="18"/>
          <w:vertAlign w:val="superscript"/>
        </w:rPr>
        <w:t xml:space="preserve">15 </w:t>
      </w:r>
      <w:r w:rsidRPr="00175092">
        <w:rPr>
          <w:sz w:val="18"/>
          <w:szCs w:val="18"/>
        </w:rPr>
        <w:t>Department of Zoology, Stockholm University, Stockholm, Sweden</w:t>
      </w:r>
    </w:p>
    <w:p w14:paraId="60A3061E" w14:textId="77777777" w:rsidR="00134ED4" w:rsidRDefault="00134ED4" w:rsidP="00134ED4">
      <w:pPr>
        <w:rPr>
          <w:sz w:val="18"/>
          <w:szCs w:val="18"/>
        </w:rPr>
      </w:pPr>
      <w:r w:rsidRPr="00175092">
        <w:rPr>
          <w:sz w:val="18"/>
          <w:szCs w:val="18"/>
        </w:rPr>
        <w:t>* Correspondence to: love.dalen@zoologi.su.se</w:t>
      </w:r>
    </w:p>
    <w:p w14:paraId="692E9EF0" w14:textId="77777777" w:rsidR="00134ED4" w:rsidRPr="002F1203" w:rsidRDefault="00134ED4" w:rsidP="00134ED4">
      <w:pPr>
        <w:rPr>
          <w:sz w:val="18"/>
          <w:szCs w:val="18"/>
        </w:rPr>
      </w:pPr>
      <w:r w:rsidRPr="00175092">
        <w:rPr>
          <w:sz w:val="18"/>
          <w:szCs w:val="18"/>
          <w:vertAlign w:val="superscript"/>
        </w:rPr>
        <w:t>†</w:t>
      </w:r>
      <w:r>
        <w:rPr>
          <w:sz w:val="18"/>
          <w:szCs w:val="18"/>
        </w:rPr>
        <w:t xml:space="preserve"> Deceased, May 2020</w:t>
      </w:r>
    </w:p>
    <w:p w14:paraId="105DFA62" w14:textId="07D9049B" w:rsidR="00583183" w:rsidRPr="007D6801" w:rsidRDefault="00583183" w:rsidP="00583183">
      <w:pPr>
        <w:pageBreakBefore/>
        <w:spacing w:after="120" w:line="360" w:lineRule="auto"/>
        <w:jc w:val="center"/>
        <w:rPr>
          <w:b/>
          <w:sz w:val="22"/>
          <w:szCs w:val="22"/>
        </w:rPr>
      </w:pPr>
      <w:r w:rsidRPr="007D6801">
        <w:rPr>
          <w:b/>
          <w:sz w:val="22"/>
          <w:szCs w:val="22"/>
        </w:rPr>
        <w:lastRenderedPageBreak/>
        <w:t>SUPPLEMENTARY METHODS</w:t>
      </w:r>
    </w:p>
    <w:p w14:paraId="005B2E30" w14:textId="77777777" w:rsidR="00583183" w:rsidRPr="007D6801" w:rsidRDefault="00583183" w:rsidP="00583183">
      <w:pPr>
        <w:spacing w:after="120" w:line="360" w:lineRule="auto"/>
        <w:rPr>
          <w:b/>
          <w:sz w:val="22"/>
          <w:szCs w:val="22"/>
        </w:rPr>
      </w:pPr>
      <w:r w:rsidRPr="007D6801">
        <w:rPr>
          <w:b/>
          <w:sz w:val="22"/>
          <w:szCs w:val="22"/>
        </w:rPr>
        <w:t xml:space="preserve">Identifying, describing and excluding </w:t>
      </w:r>
      <w:proofErr w:type="spellStart"/>
      <w:r w:rsidRPr="008724E4">
        <w:rPr>
          <w:b/>
          <w:i/>
          <w:iCs/>
          <w:sz w:val="22"/>
          <w:szCs w:val="22"/>
        </w:rPr>
        <w:t>numt</w:t>
      </w:r>
      <w:proofErr w:type="spellEnd"/>
      <w:r w:rsidRPr="007D6801">
        <w:rPr>
          <w:b/>
          <w:sz w:val="22"/>
          <w:szCs w:val="22"/>
        </w:rPr>
        <w:t xml:space="preserve"> sequence</w:t>
      </w:r>
    </w:p>
    <w:p w14:paraId="503EEFA3" w14:textId="3BCCAE69" w:rsidR="00583183" w:rsidRPr="007D6801" w:rsidRDefault="00583183" w:rsidP="00583183">
      <w:pPr>
        <w:spacing w:after="120" w:line="360" w:lineRule="auto"/>
        <w:jc w:val="both"/>
        <w:rPr>
          <w:sz w:val="22"/>
          <w:szCs w:val="22"/>
        </w:rPr>
      </w:pPr>
      <w:r w:rsidRPr="007D6801">
        <w:rPr>
          <w:sz w:val="22"/>
          <w:szCs w:val="22"/>
        </w:rPr>
        <w:t xml:space="preserve">The </w:t>
      </w:r>
      <w:r w:rsidRPr="007D6801">
        <w:rPr>
          <w:i/>
          <w:sz w:val="22"/>
          <w:szCs w:val="22"/>
        </w:rPr>
        <w:t>Panthera</w:t>
      </w:r>
      <w:r w:rsidRPr="007D6801">
        <w:rPr>
          <w:sz w:val="22"/>
          <w:szCs w:val="22"/>
        </w:rPr>
        <w:t xml:space="preserve"> lineage is known to have undergone the translocation of a large fragment from the mitochondria into the nuclear genome (</w:t>
      </w:r>
      <w:proofErr w:type="spellStart"/>
      <w:r w:rsidRPr="007D6801">
        <w:rPr>
          <w:i/>
          <w:sz w:val="22"/>
          <w:szCs w:val="22"/>
        </w:rPr>
        <w:t>numt</w:t>
      </w:r>
      <w:proofErr w:type="spellEnd"/>
      <w:r w:rsidRPr="007D6801">
        <w:rPr>
          <w:sz w:val="22"/>
          <w:szCs w:val="22"/>
        </w:rPr>
        <w:t xml:space="preserve">, rather than cytoplasmic mitochondrial sequence </w:t>
      </w:r>
      <w:proofErr w:type="spellStart"/>
      <w:r w:rsidRPr="007D6801">
        <w:rPr>
          <w:i/>
          <w:sz w:val="22"/>
          <w:szCs w:val="22"/>
        </w:rPr>
        <w:t>cymt</w:t>
      </w:r>
      <w:proofErr w:type="spellEnd"/>
      <w:r w:rsidR="00E11DC3">
        <w:rPr>
          <w:iCs/>
          <w:sz w:val="22"/>
          <w:szCs w:val="22"/>
        </w:rPr>
        <w:t>)</w:t>
      </w:r>
      <w:r w:rsidR="00E11DC3">
        <w:rPr>
          <w:iCs/>
          <w:sz w:val="22"/>
          <w:szCs w:val="22"/>
        </w:rPr>
        <w:fldChar w:fldCharType="begin" w:fldLock="1"/>
      </w:r>
      <w:r w:rsidR="00600145">
        <w:rPr>
          <w:iCs/>
          <w:sz w:val="22"/>
          <w:szCs w:val="22"/>
        </w:rPr>
        <w:instrText>ADDIN CSL_CITATION {"citationItems":[{"id":"ITEM-1","itemData":{"DOI":"10.1016/j.gene.2005.08.023","ISSN":"03781119","abstract":"Translocation of cymtDNA into the nuclear genome, also referred to as numt, has been reported in many species, including several closely related to the domestic cat (Felis catus). We describe the recent transposition of 12,536 bp of the 17 kb mitochondrial genome into the nucleus of the common ancestor of the five Panthera genus species: tiger, P. tigris; snow leopard, P. uncia; jaguar, P. onca; leopard, P. pardus; and lion, P. leo. This nuclear integration, representing 74% of the mitochondrial genome, is one of the largest to be reported in eukaryotes. The Panthera genus numt differs from the numt previously described in the Felis genus in: (1) chromosomal location (F2-telomeric region vs. D2-centromeric region), (2) gene make up (from the ND5 to the ATP8 vs. from the CR to the COII), (3) size (12.5 vs. 7.9 kb), and (4) structure (single monomer vs. tandemly repeated in Felis). These distinctions indicate that the origin of this large numt fragment in the nuclear genome of the Panthera species is an independent insertion from that of the domestic cat lineage, which has been further supported by phylogenetic analyses. The tiger cymtDNA shared around 90% sequence identity with the homologous numt sequence, suggesting an origin for the Panthera numt at around 3.5 million years ago, prior to the radiation of the five extant Panthera species.","author":[{"dropping-particle":"","family":"Kim","given":"Jae Heup","non-dropping-particle":"","parse-names":false,"suffix":""},{"dropping-particle":"","family":"Antunes","given":"Agostinho","non-dropping-particle":"","parse-names":false,"suffix":""},{"dropping-particle":"","family":"Luo","given":"Shu Jin","non-dropping-particle":"","parse-names":false,"suffix":""},{"dropping-particle":"","family":"Menninger","given":"Joan","non-dropping-particle":"","parse-names":false,"suffix":""},{"dropping-particle":"","family":"Nash","given":"William G.","non-dropping-particle":"","parse-names":false,"suffix":""},{"dropping-particle":"","family":"O'Brien","given":"Stephen J.","non-dropping-particle":"","parse-names":false,"suffix":""},{"dropping-particle":"","family":"Johnson","given":"Warren E.","non-dropping-particle":"","parse-names":false,"suffix":""}],"container-title":"Gene","id":"ITEM-1","issue":"2","issued":{"date-parts":[["2006"]]},"page":"292-302","title":"Evolutionary analysis of a large mtDNA translocation (numt) into the nuclear genome of the Panthera genus species","type":"article-journal","volume":"366"},"uris":["http://www.mendeley.com/documents/?uuid=d3cd85ea-e462-4a9d-a0b8-aa354cdc0b8b"]},{"id":"ITEM-2","itemData":{"DOI":"10.5334/oq.24","ISSN":"2055298X","abstract":"The extinct cave lion (Panthera spelaea) was an apex predator of the Pleistocene, and one of the largest felid species ever to exist. We report the first mitochondrial genome sequences for this species, derived from two Beringian specimens, one of which has been radiocarbon dated to 29,860 ± 210 14C a BP. Phylogenetic analysis confirms the placement of the cave lion as the sister taxon to populations of the modern lion (P. leo). Using newly recovered stem pantherine fossils to calibrate a molecular clock, we estimate that P. spelaea and P. leo diverged about 1.89 million years ago (95% credibility interval: 1.23–2.93 million years), highlighting the likely position of this extinct carnivore as a distinct species.","author":[{"dropping-particle":"","family":"Barnett","given":"Ross","non-dropping-particle":"","parse-names":false,"suffix":""},{"dropping-particle":"","family":"Mendoza","given":"Marie Lisandra Zepeda","non-dropping-particle":"","parse-names":false,"suffix":""},{"dropping-particle":"","family":"Soares","given":"André Elias Rodrigues","non-dropping-particle":"","parse-names":false,"suffix":""},{"dropping-particle":"","family":"Ho","given":"Simon Y.W.","non-dropping-particle":"","parse-names":false,"suffix":""},{"dropping-particle":"","family":"Zazula","given":"Grant","non-dropping-particle":"","parse-names":false,"suffix":""},{"dropping-particle":"","family":"Yamaguchi","given":"Nobuyuki","non-dropping-particle":"","parse-names":false,"suffix":""},{"dropping-particle":"","family":"Shapiro","given":"Beth","non-dropping-particle":"","parse-names":false,"suffix":""},{"dropping-particle":"V.","family":"Kirillova","given":"Irina","non-dropping-particle":"","parse-names":false,"suffix":""},{"dropping-particle":"","family":"Larson","given":"Greger","non-dropping-particle":"","parse-names":false,"suffix":""},{"dropping-particle":"","family":"Gilbert","given":"M. Thomas P.","non-dropping-particle":"","parse-names":false,"suffix":""}],"container-title":"Open Quaternary","id":"ITEM-2","issued":{"date-parts":[["2016"]]},"page":"1-11","title":"Mitogenomics of the extinct cave lion, Panthera spelaea (Goldfuss, 1810), resolve its position within the panthera cats","type":"article-journal","volume":"2"},"uris":["http://www.mendeley.com/documents/?uuid=2b3d1232-4ad1-420c-ae4b-40215fbab547"]}],"mendeley":{"formattedCitation":"&lt;sup&gt;1,2&lt;/sup&gt;","plainTextFormattedCitation":"1,2","previouslyFormattedCitation":"&lt;sup&gt;1,3&lt;/sup&gt;"},"properties":{"noteIndex":0},"schema":"https://github.com/citation-style-language/schema/raw/master/csl-citation.json"}</w:instrText>
      </w:r>
      <w:r w:rsidR="00E11DC3">
        <w:rPr>
          <w:iCs/>
          <w:sz w:val="22"/>
          <w:szCs w:val="22"/>
        </w:rPr>
        <w:fldChar w:fldCharType="separate"/>
      </w:r>
      <w:r w:rsidR="00600145" w:rsidRPr="00600145">
        <w:rPr>
          <w:iCs/>
          <w:noProof/>
          <w:sz w:val="22"/>
          <w:szCs w:val="22"/>
          <w:vertAlign w:val="superscript"/>
        </w:rPr>
        <w:t>1,2</w:t>
      </w:r>
      <w:r w:rsidR="00E11DC3">
        <w:rPr>
          <w:iCs/>
          <w:sz w:val="22"/>
          <w:szCs w:val="22"/>
        </w:rPr>
        <w:fldChar w:fldCharType="end"/>
      </w:r>
      <w:r w:rsidRPr="007D6801">
        <w:rPr>
          <w:sz w:val="22"/>
          <w:szCs w:val="22"/>
        </w:rPr>
        <w:t>. In the single previous study that has used mitochondrial genomes from cave lions, this was dealt with by using a 2/3 consensus majority</w:t>
      </w:r>
      <w:r w:rsidR="00E11DC3">
        <w:rPr>
          <w:sz w:val="22"/>
          <w:szCs w:val="22"/>
        </w:rPr>
        <w:fldChar w:fldCharType="begin" w:fldLock="1"/>
      </w:r>
      <w:r w:rsidR="00600145">
        <w:rPr>
          <w:sz w:val="22"/>
          <w:szCs w:val="22"/>
        </w:rPr>
        <w:instrText>ADDIN CSL_CITATION {"citationItems":[{"id":"ITEM-1","itemData":{"DOI":"10.5334/oq.24","ISSN":"2055298X","abstract":"The extinct cave lion (Panthera spelaea) was an apex predator of the Pleistocene, and one of the largest felid species ever to exist. We report the first mitochondrial genome sequences for this species, derived from two Beringian specimens, one of which has been radiocarbon dated to 29,860 ± 210 14C a BP. Phylogenetic analysis confirms the placement of the cave lion as the sister taxon to populations of the modern lion (P. leo). Using newly recovered stem pantherine fossils to calibrate a molecular clock, we estimate that P. spelaea and P. leo diverged about 1.89 million years ago (95% credibility interval: 1.23–2.93 million years), highlighting the likely position of this extinct carnivore as a distinct species.","author":[{"dropping-particle":"","family":"Barnett","given":"Ross","non-dropping-particle":"","parse-names":false,"suffix":""},{"dropping-particle":"","family":"Mendoza","given":"Marie Lisandra Zepeda","non-dropping-particle":"","parse-names":false,"suffix":""},{"dropping-particle":"","family":"Soares","given":"André Elias Rodrigues","non-dropping-particle":"","parse-names":false,"suffix":""},{"dropping-particle":"","family":"Ho","given":"Simon Y.W.","non-dropping-particle":"","parse-names":false,"suffix":""},{"dropping-particle":"","family":"Zazula","given":"Grant","non-dropping-particle":"","parse-names":false,"suffix":""},{"dropping-particle":"","family":"Yamaguchi","given":"Nobuyuki","non-dropping-particle":"","parse-names":false,"suffix":""},{"dropping-particle":"","family":"Shapiro","given":"Beth","non-dropping-particle":"","parse-names":false,"suffix":""},{"dropping-particle":"V.","family":"Kirillova","given":"Irina","non-dropping-particle":"","parse-names":false,"suffix":""},{"dropping-particle":"","family":"Larson","given":"Greger","non-dropping-particle":"","parse-names":false,"suffix":""},{"dropping-particle":"","family":"Gilbert","given":"M. Thomas P.","non-dropping-particle":"","parse-names":false,"suffix":""}],"container-title":"Open Quaternary","id":"ITEM-1","issued":{"date-parts":[["2016"]]},"page":"1-11","title":"Mitogenomics of the extinct cave lion, Panthera spelaea (Goldfuss, 1810), resolve its position within the panthera cats","type":"article-journal","volume":"2"},"uris":["http://www.mendeley.com/documents/?uuid=2b3d1232-4ad1-420c-ae4b-40215fbab547"]}],"mendeley":{"formattedCitation":"&lt;sup&gt;2&lt;/sup&gt;","plainTextFormattedCitation":"2","previouslyFormattedCitation":"&lt;sup&gt;3&lt;/sup&gt;"},"properties":{"noteIndex":0},"schema":"https://github.com/citation-style-language/schema/raw/master/csl-citation.json"}</w:instrText>
      </w:r>
      <w:r w:rsidR="00E11DC3">
        <w:rPr>
          <w:sz w:val="22"/>
          <w:szCs w:val="22"/>
        </w:rPr>
        <w:fldChar w:fldCharType="separate"/>
      </w:r>
      <w:r w:rsidR="00600145" w:rsidRPr="00600145">
        <w:rPr>
          <w:noProof/>
          <w:sz w:val="22"/>
          <w:szCs w:val="22"/>
          <w:vertAlign w:val="superscript"/>
        </w:rPr>
        <w:t>2</w:t>
      </w:r>
      <w:r w:rsidR="00E11DC3">
        <w:rPr>
          <w:sz w:val="22"/>
          <w:szCs w:val="22"/>
        </w:rPr>
        <w:fldChar w:fldCharType="end"/>
      </w:r>
      <w:r w:rsidR="00E11DC3">
        <w:rPr>
          <w:sz w:val="22"/>
          <w:szCs w:val="22"/>
        </w:rPr>
        <w:t>,</w:t>
      </w:r>
      <w:r w:rsidRPr="007D6801">
        <w:rPr>
          <w:sz w:val="22"/>
          <w:szCs w:val="22"/>
        </w:rPr>
        <w:t xml:space="preserve"> however this strategy may be ineffective leading to some incorrect base-calls</w:t>
      </w:r>
      <w:r w:rsidR="00E11DC3">
        <w:rPr>
          <w:sz w:val="22"/>
          <w:szCs w:val="22"/>
        </w:rPr>
        <w:fldChar w:fldCharType="begin" w:fldLock="1"/>
      </w:r>
      <w:r w:rsidR="00600145">
        <w:rPr>
          <w:sz w:val="22"/>
          <w:szCs w:val="22"/>
        </w:rPr>
        <w:instrText>ADDIN CSL_CITATION {"citationItems":[{"id":"ITEM-1","itemData":{"DOI":"10.1186/s12859-015-0682-1","ISSN":"14712105","abstract":"Background: Cellular organelles with genomes of their own (e.g. plastids and mitochondria) can pass genetic sequences to other organellar genomes within the cell in many species across the eukaryote phylogeny. The extent of the occurrence of these organellar-derived inserted sequences (odins) is still unknown, but if not accounted for in genomic and phylogenetic studies, they can be a source of error. However, if correctly identified, these inserted sequences can be used for evolutionary and comparative genomic studies. Although such insertions can be detected using various laboratory and bioinformatic strategies, there is currently no straightforward way to apply them as a standard organellar genome assembly on next-generation sequencing data. Furthermore, most current methods for identification of such insertions are unsuitable for use on non-model organisms or ancient DNA datasets. Results: We present a bioinformatic method that uses phasing algorithms to reconstruct both source and inserted organelle sequences. The method was tested in different shotgun and organellar-enriched DNA high-throughput sequencing (HTS) datasets from ancient and modern samples. Specifically, we used datasets from lions (Panthera leo ssp. and Panthera leo leo) to characterize insertions from mitochondrial origin, and from common grapevine (Vitis vinifera) and bugle (Ajuga reptans) to characterize insertions derived from plastid genomes. Comparison of the results against other available organelle genome assembly methods demonstrated that our new method provides an improvement in the sequence assembly. Conclusion: Using datasets from a wide range of species and different levels of complexity we showed that our novel bioinformatic method based on phasing algorithms can be used to achieve the next two goals: i) reference-guided assembly of chloroplast/mitochondrial genomes from HTS data and ii) identification and simultaneous assembly of odins. This method represents the first application of haplotype phasing for automatic detection of odins and reference-based organellar genome assembly.","author":[{"dropping-particle":"","family":"Samaniego Castruita","given":"Jose Alfredo","non-dropping-particle":"","parse-names":false,"suffix":""},{"dropping-particle":"","family":"Zepeda Mendoza","given":"Marie Lisandra","non-dropping-particle":"","parse-names":false,"suffix":""},{"dropping-particle":"","family":"Barnett","given":"Ross","non-dropping-particle":"","parse-names":false,"suffix":""},{"dropping-particle":"","family":"Wales","given":"Nathan","non-dropping-particle":"","parse-names":false,"suffix":""},{"dropping-particle":"","family":"Gilbert","given":"M. Thomas P.","non-dropping-particle":"","parse-names":false,"suffix":""}],"container-title":"BMC Bioinformatics","id":"ITEM-1","issue":"1","issued":{"date-parts":[["2015"]]},"page":"1-13","publisher":"BMC Bioinformatics","title":"Odintifier - A computational method for identifying insertions of organellar origin from modern and ancient high-throughput sequencing data based on haplotype phasing","type":"article-journal","volume":"16"},"uris":["http://www.mendeley.com/documents/?uuid=17733c1b-ffc5-4b3e-8a52-41296db0ae11"]}],"mendeley":{"formattedCitation":"&lt;sup&gt;3&lt;/sup&gt;","plainTextFormattedCitation":"3","previouslyFormattedCitation":"&lt;sup&gt;2&lt;/sup&gt;"},"properties":{"noteIndex":0},"schema":"https://github.com/citation-style-language/schema/raw/master/csl-citation.json"}</w:instrText>
      </w:r>
      <w:r w:rsidR="00E11DC3">
        <w:rPr>
          <w:sz w:val="22"/>
          <w:szCs w:val="22"/>
        </w:rPr>
        <w:fldChar w:fldCharType="separate"/>
      </w:r>
      <w:r w:rsidR="00600145" w:rsidRPr="00600145">
        <w:rPr>
          <w:noProof/>
          <w:sz w:val="22"/>
          <w:szCs w:val="22"/>
          <w:vertAlign w:val="superscript"/>
        </w:rPr>
        <w:t>3</w:t>
      </w:r>
      <w:r w:rsidR="00E11DC3">
        <w:rPr>
          <w:sz w:val="22"/>
          <w:szCs w:val="22"/>
        </w:rPr>
        <w:fldChar w:fldCharType="end"/>
      </w:r>
      <w:r w:rsidRPr="007D6801">
        <w:rPr>
          <w:sz w:val="22"/>
          <w:szCs w:val="22"/>
        </w:rPr>
        <w:t xml:space="preserve">. We instead attempted to isolate the </w:t>
      </w:r>
      <w:proofErr w:type="spellStart"/>
      <w:r w:rsidRPr="007D6801">
        <w:rPr>
          <w:i/>
          <w:sz w:val="22"/>
          <w:szCs w:val="22"/>
        </w:rPr>
        <w:t>numt</w:t>
      </w:r>
      <w:proofErr w:type="spellEnd"/>
      <w:r w:rsidRPr="007D6801">
        <w:rPr>
          <w:sz w:val="22"/>
          <w:szCs w:val="22"/>
        </w:rPr>
        <w:t xml:space="preserve"> sequences using a modified version of the workflow described in Samaniego </w:t>
      </w:r>
      <w:proofErr w:type="spellStart"/>
      <w:r w:rsidRPr="007D6801">
        <w:rPr>
          <w:sz w:val="22"/>
          <w:szCs w:val="22"/>
        </w:rPr>
        <w:t>Castruita</w:t>
      </w:r>
      <w:proofErr w:type="spellEnd"/>
      <w:r w:rsidRPr="007D6801">
        <w:rPr>
          <w:sz w:val="22"/>
          <w:szCs w:val="22"/>
        </w:rPr>
        <w:t xml:space="preserve"> et al.</w:t>
      </w:r>
      <w:r w:rsidR="00E11DC3">
        <w:rPr>
          <w:sz w:val="22"/>
          <w:szCs w:val="22"/>
        </w:rPr>
        <w:fldChar w:fldCharType="begin" w:fldLock="1"/>
      </w:r>
      <w:r w:rsidR="00600145">
        <w:rPr>
          <w:sz w:val="22"/>
          <w:szCs w:val="22"/>
        </w:rPr>
        <w:instrText>ADDIN CSL_CITATION {"citationItems":[{"id":"ITEM-1","itemData":{"DOI":"10.1186/s12859-015-0682-1","ISSN":"14712105","abstract":"Background: Cellular organelles with genomes of their own (e.g. plastids and mitochondria) can pass genetic sequences to other organellar genomes within the cell in many species across the eukaryote phylogeny. The extent of the occurrence of these organellar-derived inserted sequences (odins) is still unknown, but if not accounted for in genomic and phylogenetic studies, they can be a source of error. However, if correctly identified, these inserted sequences can be used for evolutionary and comparative genomic studies. Although such insertions can be detected using various laboratory and bioinformatic strategies, there is currently no straightforward way to apply them as a standard organellar genome assembly on next-generation sequencing data. Furthermore, most current methods for identification of such insertions are unsuitable for use on non-model organisms or ancient DNA datasets. Results: We present a bioinformatic method that uses phasing algorithms to reconstruct both source and inserted organelle sequences. The method was tested in different shotgun and organellar-enriched DNA high-throughput sequencing (HTS) datasets from ancient and modern samples. Specifically, we used datasets from lions (Panthera leo ssp. and Panthera leo leo) to characterize insertions from mitochondrial origin, and from common grapevine (Vitis vinifera) and bugle (Ajuga reptans) to characterize insertions derived from plastid genomes. Comparison of the results against other available organelle genome assembly methods demonstrated that our new method provides an improvement in the sequence assembly. Conclusion: Using datasets from a wide range of species and different levels of complexity we showed that our novel bioinformatic method based on phasing algorithms can be used to achieve the next two goals: i) reference-guided assembly of chloroplast/mitochondrial genomes from HTS data and ii) identification and simultaneous assembly of odins. This method represents the first application of haplotype phasing for automatic detection of odins and reference-based organellar genome assembly.","author":[{"dropping-particle":"","family":"Samaniego Castruita","given":"Jose Alfredo","non-dropping-particle":"","parse-names":false,"suffix":""},{"dropping-particle":"","family":"Zepeda Mendoza","given":"Marie Lisandra","non-dropping-particle":"","parse-names":false,"suffix":""},{"dropping-particle":"","family":"Barnett","given":"Ross","non-dropping-particle":"","parse-names":false,"suffix":""},{"dropping-particle":"","family":"Wales","given":"Nathan","non-dropping-particle":"","parse-names":false,"suffix":""},{"dropping-particle":"","family":"Gilbert","given":"M. Thomas P.","non-dropping-particle":"","parse-names":false,"suffix":""}],"container-title":"BMC Bioinformatics","id":"ITEM-1","issue":"1","issued":{"date-parts":[["2015"]]},"page":"1-13","publisher":"BMC Bioinformatics","title":"Odintifier - A computational method for identifying insertions of organellar origin from modern and ancient high-throughput sequencing data based on haplotype phasing","type":"article-journal","volume":"16"},"uris":["http://www.mendeley.com/documents/?uuid=17733c1b-ffc5-4b3e-8a52-41296db0ae11"]}],"mendeley":{"formattedCitation":"&lt;sup&gt;3&lt;/sup&gt;","plainTextFormattedCitation":"3","previouslyFormattedCitation":"&lt;sup&gt;2&lt;/sup&gt;"},"properties":{"noteIndex":0},"schema":"https://github.com/citation-style-language/schema/raw/master/csl-citation.json"}</w:instrText>
      </w:r>
      <w:r w:rsidR="00E11DC3">
        <w:rPr>
          <w:sz w:val="22"/>
          <w:szCs w:val="22"/>
        </w:rPr>
        <w:fldChar w:fldCharType="separate"/>
      </w:r>
      <w:r w:rsidR="00600145" w:rsidRPr="00600145">
        <w:rPr>
          <w:noProof/>
          <w:sz w:val="22"/>
          <w:szCs w:val="22"/>
          <w:vertAlign w:val="superscript"/>
        </w:rPr>
        <w:t>3</w:t>
      </w:r>
      <w:r w:rsidR="00E11DC3">
        <w:rPr>
          <w:sz w:val="22"/>
          <w:szCs w:val="22"/>
        </w:rPr>
        <w:fldChar w:fldCharType="end"/>
      </w:r>
      <w:r w:rsidRPr="007D6801">
        <w:rPr>
          <w:sz w:val="22"/>
          <w:szCs w:val="22"/>
        </w:rPr>
        <w:t xml:space="preserve"> (see Figure S1), whereby we phased the short reads mapped to the reference mitochondrial genome (above) and then concatenated our putative </w:t>
      </w:r>
      <w:proofErr w:type="spellStart"/>
      <w:r w:rsidRPr="007D6801">
        <w:rPr>
          <w:i/>
          <w:sz w:val="22"/>
          <w:szCs w:val="22"/>
        </w:rPr>
        <w:t>cymt</w:t>
      </w:r>
      <w:proofErr w:type="spellEnd"/>
      <w:r w:rsidRPr="007D6801">
        <w:rPr>
          <w:sz w:val="22"/>
          <w:szCs w:val="22"/>
        </w:rPr>
        <w:t xml:space="preserve"> and </w:t>
      </w:r>
      <w:proofErr w:type="spellStart"/>
      <w:r w:rsidRPr="007D6801">
        <w:rPr>
          <w:i/>
          <w:sz w:val="22"/>
          <w:szCs w:val="22"/>
        </w:rPr>
        <w:t>numt</w:t>
      </w:r>
      <w:proofErr w:type="spellEnd"/>
      <w:r w:rsidRPr="007D6801">
        <w:rPr>
          <w:sz w:val="22"/>
          <w:szCs w:val="22"/>
        </w:rPr>
        <w:t xml:space="preserve"> sequences and remapped to this as a consensus. This was done twice, so that the reads could also be mapped with the two regions in switched positions in the consensus to identify which of the phased consensus sequences was the </w:t>
      </w:r>
      <w:proofErr w:type="spellStart"/>
      <w:r w:rsidRPr="007D6801">
        <w:rPr>
          <w:i/>
          <w:sz w:val="22"/>
          <w:szCs w:val="22"/>
        </w:rPr>
        <w:t>numt</w:t>
      </w:r>
      <w:proofErr w:type="spellEnd"/>
      <w:r w:rsidRPr="007D6801">
        <w:rPr>
          <w:sz w:val="22"/>
          <w:szCs w:val="22"/>
        </w:rPr>
        <w:t xml:space="preserve"> and which was the </w:t>
      </w:r>
      <w:proofErr w:type="spellStart"/>
      <w:r w:rsidRPr="007D6801">
        <w:rPr>
          <w:i/>
          <w:sz w:val="22"/>
          <w:szCs w:val="22"/>
        </w:rPr>
        <w:t>cymt</w:t>
      </w:r>
      <w:proofErr w:type="spellEnd"/>
      <w:r w:rsidRPr="007D6801">
        <w:rPr>
          <w:i/>
          <w:sz w:val="22"/>
          <w:szCs w:val="22"/>
        </w:rPr>
        <w:t xml:space="preserve"> </w:t>
      </w:r>
      <w:r w:rsidRPr="007D6801">
        <w:rPr>
          <w:sz w:val="22"/>
          <w:szCs w:val="22"/>
        </w:rPr>
        <w:t xml:space="preserve">sequence. The effectiveness of this approach was determined based on a) the variation in pileup depth, and b) presence/absence of multi-allelic sites across the two concatenated sequences. A UPGMA phylogeny was constructed in </w:t>
      </w:r>
      <w:proofErr w:type="spellStart"/>
      <w:r w:rsidRPr="007D6801">
        <w:rPr>
          <w:sz w:val="22"/>
          <w:szCs w:val="22"/>
        </w:rPr>
        <w:t>Geneious</w:t>
      </w:r>
      <w:proofErr w:type="spellEnd"/>
      <w:r w:rsidRPr="007D6801">
        <w:rPr>
          <w:sz w:val="22"/>
          <w:szCs w:val="22"/>
        </w:rPr>
        <w:t xml:space="preserve"> 9.0.5 comparing the </w:t>
      </w:r>
      <w:proofErr w:type="spellStart"/>
      <w:r w:rsidRPr="007D6801">
        <w:rPr>
          <w:i/>
          <w:iCs/>
          <w:sz w:val="22"/>
          <w:szCs w:val="22"/>
        </w:rPr>
        <w:t>Felis</w:t>
      </w:r>
      <w:proofErr w:type="spellEnd"/>
      <w:r w:rsidRPr="007D6801">
        <w:rPr>
          <w:sz w:val="22"/>
          <w:szCs w:val="22"/>
        </w:rPr>
        <w:t xml:space="preserve"> </w:t>
      </w:r>
      <w:proofErr w:type="spellStart"/>
      <w:r w:rsidRPr="007D6801">
        <w:rPr>
          <w:i/>
          <w:sz w:val="22"/>
          <w:szCs w:val="22"/>
        </w:rPr>
        <w:t>catus</w:t>
      </w:r>
      <w:proofErr w:type="spellEnd"/>
      <w:r w:rsidRPr="007D6801">
        <w:rPr>
          <w:sz w:val="22"/>
          <w:szCs w:val="22"/>
        </w:rPr>
        <w:t xml:space="preserve">, </w:t>
      </w:r>
      <w:r w:rsidRPr="007D6801">
        <w:rPr>
          <w:i/>
          <w:iCs/>
          <w:sz w:val="22"/>
          <w:szCs w:val="22"/>
        </w:rPr>
        <w:t xml:space="preserve">P. </w:t>
      </w:r>
      <w:proofErr w:type="spellStart"/>
      <w:r w:rsidRPr="007D6801">
        <w:rPr>
          <w:i/>
          <w:sz w:val="22"/>
          <w:szCs w:val="22"/>
        </w:rPr>
        <w:t>tigris</w:t>
      </w:r>
      <w:proofErr w:type="spellEnd"/>
      <w:r w:rsidRPr="007D6801">
        <w:rPr>
          <w:sz w:val="22"/>
          <w:szCs w:val="22"/>
        </w:rPr>
        <w:t xml:space="preserve"> and </w:t>
      </w:r>
      <w:r w:rsidRPr="007D6801">
        <w:rPr>
          <w:i/>
          <w:iCs/>
          <w:sz w:val="22"/>
          <w:szCs w:val="22"/>
        </w:rPr>
        <w:t xml:space="preserve">P. </w:t>
      </w:r>
      <w:r w:rsidRPr="007D6801">
        <w:rPr>
          <w:i/>
          <w:sz w:val="22"/>
          <w:szCs w:val="22"/>
        </w:rPr>
        <w:t>spelaea</w:t>
      </w:r>
      <w:r w:rsidRPr="007D6801">
        <w:rPr>
          <w:sz w:val="22"/>
          <w:szCs w:val="22"/>
        </w:rPr>
        <w:t xml:space="preserve"> </w:t>
      </w:r>
      <w:proofErr w:type="spellStart"/>
      <w:r w:rsidRPr="007D6801">
        <w:rPr>
          <w:i/>
          <w:sz w:val="22"/>
          <w:szCs w:val="22"/>
        </w:rPr>
        <w:t>numt</w:t>
      </w:r>
      <w:proofErr w:type="spellEnd"/>
      <w:r w:rsidRPr="007D6801">
        <w:rPr>
          <w:sz w:val="22"/>
          <w:szCs w:val="22"/>
        </w:rPr>
        <w:t xml:space="preserve"> with the </w:t>
      </w:r>
      <w:r w:rsidRPr="007D6801">
        <w:rPr>
          <w:i/>
          <w:iCs/>
          <w:sz w:val="22"/>
          <w:szCs w:val="22"/>
        </w:rPr>
        <w:t xml:space="preserve">F. </w:t>
      </w:r>
      <w:proofErr w:type="spellStart"/>
      <w:r w:rsidRPr="007D6801">
        <w:rPr>
          <w:i/>
          <w:sz w:val="22"/>
          <w:szCs w:val="22"/>
        </w:rPr>
        <w:t>catus</w:t>
      </w:r>
      <w:proofErr w:type="spellEnd"/>
      <w:r w:rsidRPr="007D6801">
        <w:rPr>
          <w:sz w:val="22"/>
          <w:szCs w:val="22"/>
        </w:rPr>
        <w:t xml:space="preserve">, </w:t>
      </w:r>
      <w:r w:rsidRPr="007D6801">
        <w:rPr>
          <w:i/>
          <w:iCs/>
          <w:sz w:val="22"/>
          <w:szCs w:val="22"/>
        </w:rPr>
        <w:t xml:space="preserve">P. </w:t>
      </w:r>
      <w:proofErr w:type="spellStart"/>
      <w:r w:rsidRPr="007D6801">
        <w:rPr>
          <w:i/>
          <w:sz w:val="22"/>
          <w:szCs w:val="22"/>
        </w:rPr>
        <w:t>tigris</w:t>
      </w:r>
      <w:proofErr w:type="spellEnd"/>
      <w:r w:rsidRPr="007D6801">
        <w:rPr>
          <w:sz w:val="22"/>
          <w:szCs w:val="22"/>
        </w:rPr>
        <w:t xml:space="preserve">, </w:t>
      </w:r>
      <w:r w:rsidRPr="007D6801">
        <w:rPr>
          <w:i/>
          <w:iCs/>
          <w:sz w:val="22"/>
          <w:szCs w:val="22"/>
        </w:rPr>
        <w:t xml:space="preserve">P. </w:t>
      </w:r>
      <w:proofErr w:type="spellStart"/>
      <w:r w:rsidRPr="007D6801">
        <w:rPr>
          <w:i/>
          <w:sz w:val="22"/>
          <w:szCs w:val="22"/>
        </w:rPr>
        <w:t>pardus</w:t>
      </w:r>
      <w:proofErr w:type="spellEnd"/>
      <w:r w:rsidRPr="007D6801">
        <w:rPr>
          <w:sz w:val="22"/>
          <w:szCs w:val="22"/>
        </w:rPr>
        <w:t xml:space="preserve">, </w:t>
      </w:r>
      <w:r w:rsidRPr="007D6801">
        <w:rPr>
          <w:i/>
          <w:iCs/>
          <w:sz w:val="22"/>
          <w:szCs w:val="22"/>
        </w:rPr>
        <w:t xml:space="preserve">P. </w:t>
      </w:r>
      <w:r w:rsidRPr="007D6801">
        <w:rPr>
          <w:i/>
          <w:sz w:val="22"/>
          <w:szCs w:val="22"/>
        </w:rPr>
        <w:t xml:space="preserve">spelaea </w:t>
      </w:r>
      <w:r w:rsidRPr="007D6801">
        <w:rPr>
          <w:sz w:val="22"/>
          <w:szCs w:val="22"/>
        </w:rPr>
        <w:t>and</w:t>
      </w:r>
      <w:r w:rsidRPr="007D6801">
        <w:rPr>
          <w:i/>
          <w:sz w:val="22"/>
          <w:szCs w:val="22"/>
        </w:rPr>
        <w:t xml:space="preserve"> P. </w:t>
      </w:r>
      <w:proofErr w:type="spellStart"/>
      <w:r w:rsidRPr="007D6801">
        <w:rPr>
          <w:i/>
          <w:sz w:val="22"/>
          <w:szCs w:val="22"/>
        </w:rPr>
        <w:t>leo</w:t>
      </w:r>
      <w:proofErr w:type="spellEnd"/>
      <w:r w:rsidRPr="007D6801">
        <w:rPr>
          <w:sz w:val="22"/>
          <w:szCs w:val="22"/>
        </w:rPr>
        <w:t xml:space="preserve"> </w:t>
      </w:r>
      <w:proofErr w:type="spellStart"/>
      <w:r w:rsidRPr="007D6801">
        <w:rPr>
          <w:i/>
          <w:sz w:val="22"/>
          <w:szCs w:val="22"/>
        </w:rPr>
        <w:t>cymt</w:t>
      </w:r>
      <w:proofErr w:type="spellEnd"/>
      <w:r w:rsidRPr="007D6801">
        <w:rPr>
          <w:sz w:val="22"/>
          <w:szCs w:val="22"/>
        </w:rPr>
        <w:t xml:space="preserve"> (the </w:t>
      </w:r>
      <w:r w:rsidRPr="007D6801">
        <w:rPr>
          <w:i/>
          <w:iCs/>
          <w:sz w:val="22"/>
          <w:szCs w:val="22"/>
        </w:rPr>
        <w:t xml:space="preserve">P. </w:t>
      </w:r>
      <w:proofErr w:type="spellStart"/>
      <w:r w:rsidRPr="007D6801">
        <w:rPr>
          <w:i/>
          <w:sz w:val="22"/>
          <w:szCs w:val="22"/>
        </w:rPr>
        <w:t>leo</w:t>
      </w:r>
      <w:proofErr w:type="spellEnd"/>
      <w:r w:rsidRPr="007D6801">
        <w:rPr>
          <w:i/>
          <w:sz w:val="22"/>
          <w:szCs w:val="22"/>
        </w:rPr>
        <w:t xml:space="preserve"> </w:t>
      </w:r>
      <w:r w:rsidRPr="007D6801">
        <w:rPr>
          <w:sz w:val="22"/>
          <w:szCs w:val="22"/>
        </w:rPr>
        <w:t>and</w:t>
      </w:r>
      <w:r w:rsidRPr="007D6801">
        <w:rPr>
          <w:i/>
          <w:sz w:val="22"/>
          <w:szCs w:val="22"/>
        </w:rPr>
        <w:t xml:space="preserve"> P. </w:t>
      </w:r>
      <w:proofErr w:type="spellStart"/>
      <w:r w:rsidRPr="007D6801">
        <w:rPr>
          <w:i/>
          <w:sz w:val="22"/>
          <w:szCs w:val="22"/>
        </w:rPr>
        <w:t>pardus</w:t>
      </w:r>
      <w:proofErr w:type="spellEnd"/>
      <w:r w:rsidRPr="007D6801">
        <w:rPr>
          <w:i/>
          <w:sz w:val="22"/>
          <w:szCs w:val="22"/>
        </w:rPr>
        <w:t xml:space="preserve"> </w:t>
      </w:r>
      <w:proofErr w:type="spellStart"/>
      <w:r w:rsidRPr="007D6801">
        <w:rPr>
          <w:i/>
          <w:sz w:val="22"/>
          <w:szCs w:val="22"/>
        </w:rPr>
        <w:t>numts</w:t>
      </w:r>
      <w:proofErr w:type="spellEnd"/>
      <w:r w:rsidRPr="007D6801">
        <w:rPr>
          <w:sz w:val="22"/>
          <w:szCs w:val="22"/>
        </w:rPr>
        <w:t xml:space="preserve"> are not available), with 1000 bootstrap replicates.</w:t>
      </w:r>
      <w:r w:rsidR="00002EB7">
        <w:rPr>
          <w:sz w:val="22"/>
          <w:szCs w:val="22"/>
        </w:rPr>
        <w:t xml:space="preserve"> </w:t>
      </w:r>
      <w:r w:rsidR="00002EB7" w:rsidRPr="0085757C">
        <w:rPr>
          <w:sz w:val="22"/>
          <w:szCs w:val="22"/>
        </w:rPr>
        <w:t xml:space="preserve">The full mitochondrial sequence (15,280 bp), as well as the central </w:t>
      </w:r>
      <w:proofErr w:type="spellStart"/>
      <w:r w:rsidR="00002EB7" w:rsidRPr="0085757C">
        <w:rPr>
          <w:i/>
          <w:sz w:val="22"/>
          <w:szCs w:val="22"/>
        </w:rPr>
        <w:t>cymt</w:t>
      </w:r>
      <w:proofErr w:type="spellEnd"/>
      <w:r w:rsidR="00002EB7" w:rsidRPr="0085757C">
        <w:rPr>
          <w:sz w:val="22"/>
          <w:szCs w:val="22"/>
        </w:rPr>
        <w:t xml:space="preserve"> (6,317 bp; separately, phased using our pipeline) from one representative with high coverage was submitted to the MITOS web server (</w:t>
      </w:r>
      <w:hyperlink r:id="rId5">
        <w:r w:rsidR="00002EB7" w:rsidRPr="0085757C">
          <w:rPr>
            <w:rStyle w:val="InternetLink"/>
            <w:color w:val="0563C1"/>
            <w:sz w:val="22"/>
            <w:szCs w:val="22"/>
          </w:rPr>
          <w:t>http://mitos.bioinf.uni-leipzig.de/index.py</w:t>
        </w:r>
      </w:hyperlink>
      <w:r w:rsidR="00002EB7" w:rsidRPr="0085757C">
        <w:rPr>
          <w:sz w:val="22"/>
          <w:szCs w:val="22"/>
        </w:rPr>
        <w:t>) for annotation.</w:t>
      </w:r>
      <w:r w:rsidR="00002EB7">
        <w:rPr>
          <w:sz w:val="22"/>
          <w:szCs w:val="22"/>
        </w:rPr>
        <w:t xml:space="preserve"> </w:t>
      </w:r>
      <w:r w:rsidR="00002EB7" w:rsidRPr="0085757C">
        <w:rPr>
          <w:sz w:val="22"/>
          <w:szCs w:val="22"/>
        </w:rPr>
        <w:t xml:space="preserve">We did not attempt to annotate the </w:t>
      </w:r>
      <w:proofErr w:type="spellStart"/>
      <w:r w:rsidR="00002EB7" w:rsidRPr="0085757C">
        <w:rPr>
          <w:i/>
          <w:sz w:val="22"/>
          <w:szCs w:val="22"/>
        </w:rPr>
        <w:t>numt</w:t>
      </w:r>
      <w:proofErr w:type="spellEnd"/>
      <w:r w:rsidR="00002EB7" w:rsidRPr="0085757C">
        <w:rPr>
          <w:sz w:val="22"/>
          <w:szCs w:val="22"/>
        </w:rPr>
        <w:t xml:space="preserve"> sequence because all </w:t>
      </w:r>
      <w:proofErr w:type="spellStart"/>
      <w:r w:rsidR="00002EB7" w:rsidRPr="0085757C">
        <w:rPr>
          <w:i/>
          <w:sz w:val="22"/>
          <w:szCs w:val="22"/>
        </w:rPr>
        <w:t>numt</w:t>
      </w:r>
      <w:proofErr w:type="spellEnd"/>
      <w:r w:rsidR="00002EB7" w:rsidRPr="0085757C">
        <w:rPr>
          <w:sz w:val="22"/>
          <w:szCs w:val="22"/>
        </w:rPr>
        <w:t xml:space="preserve"> sequences recovered had regions with zero coverage (possibly an indication of deletions in the sequence, relative to the </w:t>
      </w:r>
      <w:proofErr w:type="spellStart"/>
      <w:r w:rsidR="00002EB7" w:rsidRPr="0085757C">
        <w:rPr>
          <w:i/>
          <w:iCs/>
          <w:sz w:val="22"/>
          <w:szCs w:val="22"/>
        </w:rPr>
        <w:t>cymt</w:t>
      </w:r>
      <w:proofErr w:type="spellEnd"/>
      <w:r w:rsidR="00002EB7" w:rsidRPr="0085757C">
        <w:rPr>
          <w:sz w:val="22"/>
          <w:szCs w:val="22"/>
        </w:rPr>
        <w:t xml:space="preserve"> sequence).</w:t>
      </w:r>
      <w:r w:rsidR="00002EB7">
        <w:rPr>
          <w:sz w:val="22"/>
          <w:szCs w:val="22"/>
        </w:rPr>
        <w:t xml:space="preserve"> </w:t>
      </w:r>
      <w:r w:rsidR="00002EB7" w:rsidRPr="0085757C">
        <w:rPr>
          <w:sz w:val="22"/>
          <w:szCs w:val="22"/>
        </w:rPr>
        <w:t xml:space="preserve">While it was possible to separate the </w:t>
      </w:r>
      <w:proofErr w:type="spellStart"/>
      <w:r w:rsidR="00002EB7" w:rsidRPr="0085757C">
        <w:rPr>
          <w:i/>
          <w:iCs/>
          <w:sz w:val="22"/>
          <w:szCs w:val="22"/>
        </w:rPr>
        <w:t>numt</w:t>
      </w:r>
      <w:proofErr w:type="spellEnd"/>
      <w:r w:rsidR="00002EB7" w:rsidRPr="0085757C">
        <w:rPr>
          <w:i/>
          <w:iCs/>
          <w:sz w:val="22"/>
          <w:szCs w:val="22"/>
        </w:rPr>
        <w:t xml:space="preserve"> </w:t>
      </w:r>
      <w:r w:rsidR="00002EB7" w:rsidRPr="0085757C">
        <w:rPr>
          <w:sz w:val="22"/>
          <w:szCs w:val="22"/>
        </w:rPr>
        <w:t xml:space="preserve">and </w:t>
      </w:r>
      <w:proofErr w:type="spellStart"/>
      <w:r w:rsidR="00002EB7" w:rsidRPr="0085757C">
        <w:rPr>
          <w:i/>
          <w:iCs/>
          <w:sz w:val="22"/>
          <w:szCs w:val="22"/>
        </w:rPr>
        <w:t>cymt</w:t>
      </w:r>
      <w:proofErr w:type="spellEnd"/>
      <w:r w:rsidR="00002EB7" w:rsidRPr="0085757C">
        <w:rPr>
          <w:i/>
          <w:iCs/>
          <w:sz w:val="22"/>
          <w:szCs w:val="22"/>
        </w:rPr>
        <w:t xml:space="preserve"> </w:t>
      </w:r>
      <w:r w:rsidR="00002EB7" w:rsidRPr="0085757C">
        <w:rPr>
          <w:sz w:val="22"/>
          <w:szCs w:val="22"/>
        </w:rPr>
        <w:t xml:space="preserve">sequences for a subset of the high coverage </w:t>
      </w:r>
      <w:proofErr w:type="spellStart"/>
      <w:r w:rsidR="00002EB7" w:rsidRPr="0085757C">
        <w:rPr>
          <w:sz w:val="22"/>
          <w:szCs w:val="22"/>
        </w:rPr>
        <w:t>mito</w:t>
      </w:r>
      <w:proofErr w:type="spellEnd"/>
      <w:r w:rsidR="00002EB7" w:rsidRPr="0085757C">
        <w:rPr>
          <w:sz w:val="22"/>
          <w:szCs w:val="22"/>
        </w:rPr>
        <w:t xml:space="preserve">-genomes (Supplementary Methods and Results), this was not the case for the majority of our samples and so for </w:t>
      </w:r>
      <w:r w:rsidR="00002EB7">
        <w:rPr>
          <w:sz w:val="22"/>
          <w:szCs w:val="22"/>
        </w:rPr>
        <w:t>all</w:t>
      </w:r>
      <w:r w:rsidR="00002EB7" w:rsidRPr="0085757C">
        <w:rPr>
          <w:sz w:val="22"/>
          <w:szCs w:val="22"/>
        </w:rPr>
        <w:t xml:space="preserve"> analyses</w:t>
      </w:r>
      <w:r w:rsidR="00002EB7">
        <w:rPr>
          <w:sz w:val="22"/>
          <w:szCs w:val="22"/>
        </w:rPr>
        <w:t xml:space="preserve"> </w:t>
      </w:r>
      <w:r w:rsidR="00002EB7" w:rsidRPr="0085757C">
        <w:rPr>
          <w:sz w:val="22"/>
          <w:szCs w:val="22"/>
        </w:rPr>
        <w:t xml:space="preserve">the </w:t>
      </w:r>
      <w:proofErr w:type="spellStart"/>
      <w:r w:rsidR="00002EB7" w:rsidRPr="0085757C">
        <w:rPr>
          <w:i/>
          <w:iCs/>
          <w:sz w:val="22"/>
          <w:szCs w:val="22"/>
        </w:rPr>
        <w:t>numt</w:t>
      </w:r>
      <w:proofErr w:type="spellEnd"/>
      <w:r w:rsidR="00002EB7" w:rsidRPr="0085757C">
        <w:rPr>
          <w:sz w:val="22"/>
          <w:szCs w:val="22"/>
        </w:rPr>
        <w:t xml:space="preserve"> region</w:t>
      </w:r>
      <w:r w:rsidR="00002EB7">
        <w:rPr>
          <w:sz w:val="22"/>
          <w:szCs w:val="22"/>
        </w:rPr>
        <w:t xml:space="preserve"> was excluded (unless explicitly stated otherwise, Figure S7), leaving a final </w:t>
      </w:r>
      <w:r w:rsidR="00002EB7" w:rsidRPr="0085757C">
        <w:rPr>
          <w:sz w:val="22"/>
          <w:szCs w:val="22"/>
        </w:rPr>
        <w:t>trimmed sequence</w:t>
      </w:r>
      <w:r w:rsidR="00002EB7">
        <w:rPr>
          <w:sz w:val="22"/>
          <w:szCs w:val="22"/>
        </w:rPr>
        <w:t xml:space="preserve"> of</w:t>
      </w:r>
      <w:r w:rsidR="00002EB7" w:rsidRPr="0085757C">
        <w:rPr>
          <w:sz w:val="22"/>
          <w:szCs w:val="22"/>
        </w:rPr>
        <w:t xml:space="preserve"> 7,929 bp.</w:t>
      </w:r>
    </w:p>
    <w:p w14:paraId="4EAC2375" w14:textId="77777777" w:rsidR="00325365" w:rsidRPr="007D6801" w:rsidRDefault="00325365" w:rsidP="00325365">
      <w:pPr>
        <w:spacing w:after="120" w:line="360" w:lineRule="auto"/>
        <w:jc w:val="both"/>
      </w:pPr>
      <w:r w:rsidRPr="007D6801">
        <w:rPr>
          <w:noProof/>
        </w:rPr>
        <w:lastRenderedPageBreak/>
        <w:drawing>
          <wp:inline distT="0" distB="0" distL="0" distR="0" wp14:anchorId="714EE3E3" wp14:editId="7A89651C">
            <wp:extent cx="5727700" cy="5055235"/>
            <wp:effectExtent l="0" t="0" r="0" b="0"/>
            <wp:docPr id="3" name="Picture"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6"/>
                    <a:stretch>
                      <a:fillRect/>
                    </a:stretch>
                  </pic:blipFill>
                  <pic:spPr bwMode="auto">
                    <a:xfrm>
                      <a:off x="0" y="0"/>
                      <a:ext cx="5727700" cy="5055235"/>
                    </a:xfrm>
                    <a:prstGeom prst="rect">
                      <a:avLst/>
                    </a:prstGeom>
                    <a:noFill/>
                    <a:ln w="9525">
                      <a:noFill/>
                      <a:miter lim="800000"/>
                      <a:headEnd/>
                      <a:tailEnd/>
                    </a:ln>
                  </pic:spPr>
                </pic:pic>
              </a:graphicData>
            </a:graphic>
          </wp:inline>
        </w:drawing>
      </w:r>
    </w:p>
    <w:p w14:paraId="3CD92435" w14:textId="77777777" w:rsidR="00325365" w:rsidRPr="007D6801" w:rsidRDefault="00325365" w:rsidP="00325365">
      <w:pPr>
        <w:spacing w:after="120" w:line="360" w:lineRule="auto"/>
        <w:jc w:val="both"/>
        <w:rPr>
          <w:sz w:val="22"/>
          <w:szCs w:val="22"/>
        </w:rPr>
        <w:sectPr w:rsidR="00325365" w:rsidRPr="007D6801">
          <w:pgSz w:w="11906" w:h="16838"/>
          <w:pgMar w:top="1440" w:right="1440" w:bottom="1440" w:left="1440" w:header="0" w:footer="0" w:gutter="0"/>
          <w:lnNumType w:countBy="1" w:restart="continuous"/>
          <w:pgNumType w:start="1"/>
          <w:cols w:space="720"/>
          <w:formProt w:val="0"/>
          <w:docGrid w:linePitch="326" w:charSpace="-6145"/>
        </w:sectPr>
      </w:pPr>
      <w:r w:rsidRPr="007D6801">
        <w:rPr>
          <w:b/>
          <w:sz w:val="22"/>
          <w:szCs w:val="22"/>
        </w:rPr>
        <w:t xml:space="preserve">Figure S1 </w:t>
      </w:r>
      <w:proofErr w:type="spellStart"/>
      <w:r w:rsidRPr="007D6801">
        <w:rPr>
          <w:i/>
          <w:sz w:val="22"/>
          <w:szCs w:val="22"/>
        </w:rPr>
        <w:t>numt</w:t>
      </w:r>
      <w:proofErr w:type="spellEnd"/>
      <w:r w:rsidRPr="007D6801">
        <w:rPr>
          <w:sz w:val="22"/>
          <w:szCs w:val="22"/>
        </w:rPr>
        <w:t xml:space="preserve"> identification pipeline. </w:t>
      </w:r>
      <w:proofErr w:type="spellStart"/>
      <w:r w:rsidRPr="007D6801">
        <w:rPr>
          <w:i/>
          <w:sz w:val="22"/>
          <w:szCs w:val="22"/>
        </w:rPr>
        <w:t>Numt</w:t>
      </w:r>
      <w:proofErr w:type="spellEnd"/>
      <w:r w:rsidRPr="007D6801">
        <w:rPr>
          <w:sz w:val="22"/>
          <w:szCs w:val="22"/>
        </w:rPr>
        <w:t xml:space="preserve"> sequence is shown in red and </w:t>
      </w:r>
      <w:proofErr w:type="spellStart"/>
      <w:r w:rsidRPr="007D6801">
        <w:rPr>
          <w:i/>
          <w:sz w:val="22"/>
          <w:szCs w:val="22"/>
        </w:rPr>
        <w:t>cymt</w:t>
      </w:r>
      <w:proofErr w:type="spellEnd"/>
      <w:r w:rsidRPr="007D6801">
        <w:rPr>
          <w:sz w:val="22"/>
          <w:szCs w:val="22"/>
        </w:rPr>
        <w:t xml:space="preserve"> is shown in green</w:t>
      </w:r>
    </w:p>
    <w:p w14:paraId="046E2824" w14:textId="77777777" w:rsidR="00583183" w:rsidRPr="007D6801" w:rsidRDefault="00583183" w:rsidP="00583183">
      <w:pPr>
        <w:spacing w:after="120" w:line="360" w:lineRule="auto"/>
        <w:jc w:val="center"/>
        <w:rPr>
          <w:b/>
          <w:sz w:val="22"/>
          <w:szCs w:val="22"/>
        </w:rPr>
      </w:pPr>
      <w:r w:rsidRPr="007D6801">
        <w:rPr>
          <w:b/>
          <w:sz w:val="22"/>
          <w:szCs w:val="22"/>
        </w:rPr>
        <w:lastRenderedPageBreak/>
        <w:t>SUPPLEMENTARY RESULTS</w:t>
      </w:r>
    </w:p>
    <w:p w14:paraId="0F3D4BB7" w14:textId="144BF406" w:rsidR="00C11F4E" w:rsidRPr="007D6801" w:rsidRDefault="00583183" w:rsidP="00C11F4E">
      <w:pPr>
        <w:spacing w:after="120" w:line="360" w:lineRule="auto"/>
        <w:jc w:val="both"/>
        <w:rPr>
          <w:sz w:val="22"/>
          <w:szCs w:val="22"/>
        </w:rPr>
      </w:pPr>
      <w:r w:rsidRPr="007D6801">
        <w:rPr>
          <w:sz w:val="22"/>
          <w:szCs w:val="22"/>
        </w:rPr>
        <w:t xml:space="preserve">By combining newly generated </w:t>
      </w:r>
      <w:r w:rsidR="00E26861" w:rsidRPr="00426652">
        <w:rPr>
          <w:sz w:val="22"/>
          <w:szCs w:val="22"/>
          <w:vertAlign w:val="superscript"/>
        </w:rPr>
        <w:t>14</w:t>
      </w:r>
      <w:r w:rsidRPr="007D6801">
        <w:rPr>
          <w:sz w:val="22"/>
          <w:szCs w:val="22"/>
        </w:rPr>
        <w:t xml:space="preserve">C tip dates with split-time prior that takes into account fossil calibration, we estimate a split time between cave lions and lions of 1.85 </w:t>
      </w:r>
      <w:proofErr w:type="spellStart"/>
      <w:r w:rsidRPr="007D6801">
        <w:rPr>
          <w:sz w:val="22"/>
          <w:szCs w:val="22"/>
        </w:rPr>
        <w:t>mya</w:t>
      </w:r>
      <w:proofErr w:type="spellEnd"/>
      <w:r w:rsidRPr="007D6801">
        <w:rPr>
          <w:sz w:val="22"/>
          <w:szCs w:val="22"/>
        </w:rPr>
        <w:t xml:space="preserve"> (million radiocarbon years before present; 95% credibility interval: 0.52 – 2.91 </w:t>
      </w:r>
      <w:proofErr w:type="spellStart"/>
      <w:r w:rsidRPr="007D6801">
        <w:rPr>
          <w:sz w:val="22"/>
          <w:szCs w:val="22"/>
        </w:rPr>
        <w:t>mya</w:t>
      </w:r>
      <w:proofErr w:type="spellEnd"/>
      <w:r w:rsidRPr="007D6801">
        <w:rPr>
          <w:sz w:val="22"/>
          <w:szCs w:val="22"/>
        </w:rPr>
        <w:t>). Using only fossil calibrations, the cave lion / lion divergence has previously been estimated at 2.08 mya</w:t>
      </w:r>
      <w:r w:rsidR="00E11DC3">
        <w:rPr>
          <w:sz w:val="22"/>
          <w:szCs w:val="22"/>
        </w:rPr>
        <w:fldChar w:fldCharType="begin" w:fldLock="1"/>
      </w:r>
      <w:r w:rsidR="00600145">
        <w:rPr>
          <w:sz w:val="22"/>
          <w:szCs w:val="22"/>
        </w:rPr>
        <w:instrText>ADDIN CSL_CITATION {"citationItems":[{"id":"ITEM-1","itemData":{"DOI":"10.5334/oq.24","ISSN":"2055298X","abstract":"The extinct cave lion (Panthera spelaea) was an apex predator of the Pleistocene, and one of the largest felid species ever to exist. We report the first mitochondrial genome sequences for this species, derived from two Beringian specimens, one of which has been radiocarbon dated to 29,860 ± 210 14C a BP. Phylogenetic analysis confirms the placement of the cave lion as the sister taxon to populations of the modern lion (P. leo). Using newly recovered stem pantherine fossils to calibrate a molecular clock, we estimate that P. spelaea and P. leo diverged about 1.89 million years ago (95% credibility interval: 1.23–2.93 million years), highlighting the likely position of this extinct carnivore as a distinct species.","author":[{"dropping-particle":"","family":"Barnett","given":"Ross","non-dropping-particle":"","parse-names":false,"suffix":""},{"dropping-particle":"","family":"Mendoza","given":"Marie Lisandra Zepeda","non-dropping-particle":"","parse-names":false,"suffix":""},{"dropping-particle":"","family":"Soares","given":"André Elias Rodrigues","non-dropping-particle":"","parse-names":false,"suffix":""},{"dropping-particle":"","family":"Ho","given":"Simon Y.W.","non-dropping-particle":"","parse-names":false,"suffix":""},{"dropping-particle":"","family":"Zazula","given":"Grant","non-dropping-particle":"","parse-names":false,"suffix":""},{"dropping-particle":"","family":"Yamaguchi","given":"Nobuyuki","non-dropping-particle":"","parse-names":false,"suffix":""},{"dropping-particle":"","family":"Shapiro","given":"Beth","non-dropping-particle":"","parse-names":false,"suffix":""},{"dropping-particle":"V.","family":"Kirillova","given":"Irina","non-dropping-particle":"","parse-names":false,"suffix":""},{"dropping-particle":"","family":"Larson","given":"Greger","non-dropping-particle":"","parse-names":false,"suffix":""},{"dropping-particle":"","family":"Gilbert","given":"M. Thomas P.","non-dropping-particle":"","parse-names":false,"suffix":""}],"container-title":"Open Quaternary","id":"ITEM-1","issued":{"date-parts":[["2016"]]},"page":"1-11","title":"Mitogenomics of the extinct cave lion, Panthera spelaea (Goldfuss, 1810), resolve its position within the panthera cats","type":"article-journal","volume":"2"},"uris":["http://www.mendeley.com/documents/?uuid=2b3d1232-4ad1-420c-ae4b-40215fbab547"]}],"mendeley":{"formattedCitation":"&lt;sup&gt;2&lt;/sup&gt;","plainTextFormattedCitation":"2","previouslyFormattedCitation":"&lt;sup&gt;3&lt;/sup&gt;"},"properties":{"noteIndex":0},"schema":"https://github.com/citation-style-language/schema/raw/master/csl-citation.json"}</w:instrText>
      </w:r>
      <w:r w:rsidR="00E11DC3">
        <w:rPr>
          <w:sz w:val="22"/>
          <w:szCs w:val="22"/>
        </w:rPr>
        <w:fldChar w:fldCharType="separate"/>
      </w:r>
      <w:r w:rsidR="00600145" w:rsidRPr="00600145">
        <w:rPr>
          <w:noProof/>
          <w:sz w:val="22"/>
          <w:szCs w:val="22"/>
          <w:vertAlign w:val="superscript"/>
        </w:rPr>
        <w:t>2</w:t>
      </w:r>
      <w:r w:rsidR="00E11DC3">
        <w:rPr>
          <w:sz w:val="22"/>
          <w:szCs w:val="22"/>
        </w:rPr>
        <w:fldChar w:fldCharType="end"/>
      </w:r>
      <w:r w:rsidRPr="007D6801">
        <w:rPr>
          <w:sz w:val="22"/>
          <w:szCs w:val="22"/>
        </w:rPr>
        <w:t xml:space="preserve">. This phylogeny recapitulates previous studies identifying reciprocally monophyletic clades in West/Central/North Africa and South Asia with respect to those from North East/South East/South West Africa (Figure 1; present study, 397 </w:t>
      </w:r>
      <w:proofErr w:type="spellStart"/>
      <w:r w:rsidRPr="007D6801">
        <w:rPr>
          <w:sz w:val="22"/>
          <w:szCs w:val="22"/>
        </w:rPr>
        <w:t>kya</w:t>
      </w:r>
      <w:proofErr w:type="spellEnd"/>
      <w:r w:rsidRPr="007D6801">
        <w:rPr>
          <w:sz w:val="22"/>
          <w:szCs w:val="22"/>
        </w:rPr>
        <w:t xml:space="preserve"> [95% credibility interval: 47.6 – 929 </w:t>
      </w:r>
      <w:proofErr w:type="spellStart"/>
      <w:r w:rsidRPr="007D6801">
        <w:rPr>
          <w:sz w:val="22"/>
          <w:szCs w:val="22"/>
        </w:rPr>
        <w:t>kya</w:t>
      </w:r>
      <w:proofErr w:type="spellEnd"/>
      <w:r w:rsidRPr="007D6801">
        <w:rPr>
          <w:sz w:val="22"/>
          <w:szCs w:val="22"/>
        </w:rPr>
        <w:t>]; previous estimates, 245 kya</w:t>
      </w:r>
      <w:r w:rsidR="00E11DC3">
        <w:rPr>
          <w:sz w:val="22"/>
          <w:szCs w:val="22"/>
        </w:rPr>
        <w:fldChar w:fldCharType="begin" w:fldLock="1"/>
      </w:r>
      <w:r w:rsidR="00E11DC3">
        <w:rPr>
          <w:sz w:val="22"/>
          <w:szCs w:val="22"/>
        </w:rPr>
        <w:instrText>ADDIN CSL_CITATION {"citationItems":[{"id":"ITEM-1","itemData":{"DOI":"10.1038/srep30807","ISSN":"20452322","abstract":"Comparative phylogeography of African savannah mammals shows a congruent pattern in which populations in West/Central Africa are distinct from populations in East/Southern Africa. However, for the lion, all African populations are currently classified as a single subspecies (Panthera leo leo), while the only remaining population in Asia is considered to be distinct (Panthera leo persica). This distinction is disputed both by morphological and genetic data. In this study we introduce the lion as a model for African phylogeography. Analyses of mtDNA sequences reveal six supported clades and a strongly supported ancestral dichotomy with northern populations (West Africa, Central Africa, North Africa/Asia) on one branch, and southern populations (North East Africa, East/Southern Africa and South West Africa) on the other. We review taxonomies and phylogenies of other large savannah mammals, illustrating that similar clades are found in other species. The described phylogeographic pattern is considered in relation to large scale environmental changes in Africa over the past 300,000 years, attributable to climate. Refugial areas, predicted by climate envelope models, further confirm the observed pattern. We support the revision of current lion taxonomy, as recognition of a northern and a southern subspecies is more parsimonious with the evolutionary history of the lion.","author":[{"dropping-particle":"","family":"Bertola","given":"L. D.","non-dropping-particle":"","parse-names":false,"suffix":""},{"dropping-particle":"","family":"Jongbloed","given":"H.","non-dropping-particle":"","parse-names":false,"suffix":""},{"dropping-particle":"","family":"Gaag","given":"K. J.","non-dropping-particle":"Van Der","parse-names":false,"suffix":""},{"dropping-particle":"","family":"Knijff","given":"P.","non-dropping-particle":"De","parse-names":false,"suffix":""},{"dropping-particle":"","family":"Yamaguchi","given":"N.","non-dropping-particle":"","parse-names":false,"suffix":""},{"dropping-particle":"","family":"Hooghiemstra","given":"H.","non-dropping-particle":"","parse-names":false,"suffix":""},{"dropping-particle":"","family":"Bauer","given":"H.","non-dropping-particle":"","parse-names":false,"suffix":""},{"dropping-particle":"","family":"Henschel","given":"P.","non-dropping-particle":"","parse-names":false,"suffix":""},{"dropping-particle":"","family":"White","given":"P. A.","non-dropping-particle":"","parse-names":false,"suffix":""},{"dropping-particle":"","family":"Driscoll","given":"C. A.","non-dropping-particle":"","parse-names":false,"suffix":""},{"dropping-particle":"","family":"Tende","given":"T.","non-dropping-particle":"","parse-names":false,"suffix":""},{"dropping-particle":"","family":"Ottosson","given":"U.","non-dropping-particle":"","parse-names":false,"suffix":""},{"dropping-particle":"","family":"Saidu","given":"Y.","non-dropping-particle":"","parse-names":false,"suffix":""},{"dropping-particle":"","family":"Vrieling","given":"K.","non-dropping-particle":"","parse-names":false,"suffix":""},{"dropping-particle":"","family":"Iongh","given":"H. H.","non-dropping-particle":"De","parse-names":false,"suffix":""}],"container-title":"Scientific Reports","id":"ITEM-1","issue":"August 2016","issued":{"date-parts":[["2016"]]},"page":"1-11","publisher":"Nature Publishing Group","title":"Phylogeographic Patterns in Africa and High Resolution Delineation of Genetic Clades in the Lion (Panthera leo)","type":"article-journal","volume":"6"},"uris":["http://www.mendeley.com/documents/?uuid=df1d6503-26e8-4300-aabd-86eefae81491"]}],"mendeley":{"formattedCitation":"&lt;sup&gt;4&lt;/sup&gt;","plainTextFormattedCitation":"4","previouslyFormattedCitation":"&lt;sup&gt;4&lt;/sup&gt;"},"properties":{"noteIndex":0},"schema":"https://github.com/citation-style-language/schema/raw/master/csl-citation.json"}</w:instrText>
      </w:r>
      <w:r w:rsidR="00E11DC3">
        <w:rPr>
          <w:sz w:val="22"/>
          <w:szCs w:val="22"/>
        </w:rPr>
        <w:fldChar w:fldCharType="separate"/>
      </w:r>
      <w:r w:rsidR="00E11DC3" w:rsidRPr="00E11DC3">
        <w:rPr>
          <w:noProof/>
          <w:sz w:val="22"/>
          <w:szCs w:val="22"/>
          <w:vertAlign w:val="superscript"/>
        </w:rPr>
        <w:t>4</w:t>
      </w:r>
      <w:r w:rsidR="00E11DC3">
        <w:rPr>
          <w:sz w:val="22"/>
          <w:szCs w:val="22"/>
        </w:rPr>
        <w:fldChar w:fldCharType="end"/>
      </w:r>
      <w:r w:rsidRPr="007D6801">
        <w:rPr>
          <w:sz w:val="22"/>
          <w:szCs w:val="22"/>
        </w:rPr>
        <w:t>, 124 kya</w:t>
      </w:r>
      <w:r w:rsidR="00E11DC3">
        <w:rPr>
          <w:sz w:val="22"/>
          <w:szCs w:val="22"/>
        </w:rPr>
        <w:fldChar w:fldCharType="begin" w:fldLock="1"/>
      </w:r>
      <w:r w:rsidR="00483B91">
        <w:rPr>
          <w:sz w:val="22"/>
          <w:szCs w:val="22"/>
        </w:rPr>
        <w:instrText>ADDIN CSL_CITATION {"citationItems":[{"id":"ITEM-1","itemData":{"DOI":"10.1186/1471-2148-14-70","ISSN":"14712148","abstract":"Background: Understanding the demographic history of a population is critical to conservation and to our broader understanding of evolutionary processes. For many tropical large mammals, however, this aim is confounded by the absence of fossil material and by the misleading signal obtained from genetic data of recently fragmented and isolated populations. This is particularly true for the lion which as a consequence of millennia of human persecution, has large gaps in its natural distribution and several recently extinct populations. Results: We sequenced mitochondrial DNA from museum-preserved individuals, including the extinct Barbary lion (Panthera leo leo) and Iranian lion (P. l. persica), as well as lions from West and Central Africa. We added these to a broader sample of lion sequences, resulting in a data set spanning the historical range of lions. Our Bayesian phylogeographical analyses provide evidence for highly supported, reciprocally monophyletic lion clades. Using a molecular clock, we estimated that recent lion lineages began to diverge in the Late Pleistocene. Expanding equatorial rainforest probably separated lions in South and East Africa from other populations. West African lions then expanded into Central Africa during periods of rainforest contraction. Lastly, we found evidence of two separate incursions into Asia from North Africa, first into India and later into the Middle East. Conclusions: We have identified deep, well-supported splits within the mitochondrial phylogeny of African lions, arguing for recognition of some regional populations as worthy of independent conservation. More morphological and nuclear DNA data are now needed to test these subdivisions. © 2014 Barnett et al.; licensee BioMed Central Ltd.","author":[{"dropping-particle":"","family":"Barnett","given":"Ross","non-dropping-particle":"","parse-names":false,"suffix":""},{"dropping-particle":"","family":"Yamaguchi","given":"Nobuyuki","non-dropping-particle":"","parse-names":false,"suffix":""},{"dropping-particle":"","family":"Shapiro","given":"Beth","non-dropping-particle":"","parse-names":false,"suffix":""},{"dropping-particle":"","family":"Ho","given":"Simon Yw","non-dropping-particle":"","parse-names":false,"suffix":""},{"dropping-particle":"","family":"Barnes","given":"Ian","non-dropping-particle":"","parse-names":false,"suffix":""},{"dropping-particle":"","family":"Sabin","given":"Richard","non-dropping-particle":"","parse-names":false,"suffix":""},{"dropping-particle":"","family":"Werdelin","given":"Lars","non-dropping-particle":"","parse-names":false,"suffix":""},{"dropping-particle":"","family":"Cuisin","given":"Jacques","non-dropping-particle":"","parse-names":false,"suffix":""},{"dropping-particle":"","family":"Larson","given":"Greger","non-dropping-particle":"","parse-names":false,"suffix":""}],"container-title":"BMC Evolutionary Biology","id":"ITEM-1","issue":"1","issued":{"date-parts":[["2014"]]},"title":"Revealing the maternal demographic history of Panthera leo using ancient DNA and a spatially explicit genealogical analysis","type":"article-journal","volume":"14"},"uris":["http://www.mendeley.com/documents/?uuid=c29727de-0c07-4a01-88c6-7c98727459b6"]}],"mendeley":{"formattedCitation":"&lt;sup&gt;5&lt;/sup&gt;","plainTextFormattedCitation":"5","previouslyFormattedCitation":"&lt;sup&gt;5&lt;/sup&gt;"},"properties":{"noteIndex":0},"schema":"https://github.com/citation-style-language/schema/raw/master/csl-citation.json"}</w:instrText>
      </w:r>
      <w:r w:rsidR="00E11DC3">
        <w:rPr>
          <w:sz w:val="22"/>
          <w:szCs w:val="22"/>
        </w:rPr>
        <w:fldChar w:fldCharType="separate"/>
      </w:r>
      <w:r w:rsidR="00E11DC3" w:rsidRPr="00E11DC3">
        <w:rPr>
          <w:noProof/>
          <w:sz w:val="22"/>
          <w:szCs w:val="22"/>
          <w:vertAlign w:val="superscript"/>
        </w:rPr>
        <w:t>5</w:t>
      </w:r>
      <w:r w:rsidR="00E11DC3">
        <w:rPr>
          <w:sz w:val="22"/>
          <w:szCs w:val="22"/>
        </w:rPr>
        <w:fldChar w:fldCharType="end"/>
      </w:r>
      <w:r w:rsidRPr="007D6801">
        <w:rPr>
          <w:sz w:val="22"/>
          <w:szCs w:val="22"/>
        </w:rPr>
        <w:t>)</w:t>
      </w:r>
      <w:r w:rsidR="008D5720" w:rsidRPr="007D6801">
        <w:rPr>
          <w:sz w:val="22"/>
          <w:szCs w:val="22"/>
        </w:rPr>
        <w:t xml:space="preserve">. </w:t>
      </w:r>
      <w:r w:rsidR="00325365" w:rsidRPr="007D6801">
        <w:rPr>
          <w:sz w:val="22"/>
          <w:szCs w:val="22"/>
        </w:rPr>
        <w:t xml:space="preserve">Using only </w:t>
      </w:r>
      <w:r w:rsidR="00E26861" w:rsidRPr="007D6801">
        <w:rPr>
          <w:sz w:val="22"/>
          <w:szCs w:val="22"/>
          <w:vertAlign w:val="superscript"/>
        </w:rPr>
        <w:t>14</w:t>
      </w:r>
      <w:r w:rsidR="00325365" w:rsidRPr="007D6801">
        <w:rPr>
          <w:sz w:val="22"/>
          <w:szCs w:val="22"/>
        </w:rPr>
        <w:t xml:space="preserve">C tip dates to inform the analysis leads to a divergence estimate that is considerably younger, at 550 </w:t>
      </w:r>
      <w:proofErr w:type="spellStart"/>
      <w:r w:rsidR="00325365" w:rsidRPr="007D6801">
        <w:rPr>
          <w:sz w:val="22"/>
          <w:szCs w:val="22"/>
        </w:rPr>
        <w:t>kya</w:t>
      </w:r>
      <w:proofErr w:type="spellEnd"/>
      <w:r w:rsidR="00325365" w:rsidRPr="007D6801">
        <w:rPr>
          <w:sz w:val="22"/>
          <w:szCs w:val="22"/>
        </w:rPr>
        <w:t xml:space="preserve"> (0.17 – 3.96 </w:t>
      </w:r>
      <w:proofErr w:type="spellStart"/>
      <w:r w:rsidR="00325365" w:rsidRPr="007D6801">
        <w:rPr>
          <w:sz w:val="22"/>
          <w:szCs w:val="22"/>
        </w:rPr>
        <w:t>mya</w:t>
      </w:r>
      <w:proofErr w:type="spellEnd"/>
      <w:r w:rsidR="00325365" w:rsidRPr="007D6801">
        <w:rPr>
          <w:sz w:val="22"/>
          <w:szCs w:val="22"/>
        </w:rPr>
        <w:t xml:space="preserve">; Figure </w:t>
      </w:r>
      <w:r w:rsidR="002247F6" w:rsidRPr="007D6801">
        <w:rPr>
          <w:sz w:val="22"/>
          <w:szCs w:val="22"/>
        </w:rPr>
        <w:t>S2</w:t>
      </w:r>
      <w:r w:rsidR="00325365" w:rsidRPr="007D6801">
        <w:rPr>
          <w:sz w:val="22"/>
          <w:szCs w:val="22"/>
        </w:rPr>
        <w:t>)</w:t>
      </w:r>
      <w:r w:rsidR="00C11F4E" w:rsidRPr="007D6801">
        <w:rPr>
          <w:sz w:val="22"/>
          <w:szCs w:val="22"/>
        </w:rPr>
        <w:t xml:space="preserve">. </w:t>
      </w:r>
    </w:p>
    <w:p w14:paraId="7E36CED5" w14:textId="404B70D3" w:rsidR="008D5720" w:rsidRPr="007D6801" w:rsidRDefault="00E26861" w:rsidP="00583183">
      <w:pPr>
        <w:spacing w:after="120" w:line="360" w:lineRule="auto"/>
        <w:jc w:val="both"/>
        <w:rPr>
          <w:sz w:val="22"/>
          <w:szCs w:val="22"/>
        </w:rPr>
      </w:pPr>
      <w:r>
        <w:rPr>
          <w:sz w:val="22"/>
          <w:szCs w:val="22"/>
        </w:rPr>
        <w:t>A r</w:t>
      </w:r>
      <w:r w:rsidRPr="007D6801">
        <w:rPr>
          <w:sz w:val="22"/>
          <w:szCs w:val="22"/>
        </w:rPr>
        <w:t>andomiz</w:t>
      </w:r>
      <w:r w:rsidR="00E35001">
        <w:rPr>
          <w:sz w:val="22"/>
          <w:szCs w:val="22"/>
        </w:rPr>
        <w:t>ation</w:t>
      </w:r>
      <w:r w:rsidRPr="007D6801">
        <w:rPr>
          <w:sz w:val="22"/>
          <w:szCs w:val="22"/>
        </w:rPr>
        <w:t xml:space="preserve"> </w:t>
      </w:r>
      <w:r>
        <w:rPr>
          <w:sz w:val="22"/>
          <w:szCs w:val="22"/>
        </w:rPr>
        <w:t xml:space="preserve">approach was carried out whereby </w:t>
      </w:r>
      <w:r w:rsidR="00E35001" w:rsidRPr="00426652">
        <w:rPr>
          <w:sz w:val="22"/>
          <w:szCs w:val="22"/>
          <w:vertAlign w:val="superscript"/>
        </w:rPr>
        <w:t>14</w:t>
      </w:r>
      <w:r w:rsidR="00E35001">
        <w:rPr>
          <w:sz w:val="22"/>
          <w:szCs w:val="22"/>
        </w:rPr>
        <w:t>C tip dates were randomized, with the hypothesis being that if the tip dates were providing little or no information into the tree, changing the tip dates would not significantly affect the posterior mutation rate</w:t>
      </w:r>
      <w:r w:rsidR="00E35001">
        <w:rPr>
          <w:sz w:val="22"/>
          <w:szCs w:val="22"/>
        </w:rPr>
        <w:fldChar w:fldCharType="begin" w:fldLock="1"/>
      </w:r>
      <w:r w:rsidR="00E35001">
        <w:rPr>
          <w:sz w:val="22"/>
          <w:szCs w:val="22"/>
        </w:rPr>
        <w:instrText>ADDIN CSL_CITATION {"citationItems":[{"id":"ITEM-1","itemData":{"DOI":"10.1093/sysbio/syq099","ISSN":"10635157","author":[{"dropping-particle":"","family":"Ho","given":"Simon Y.W.","non-dropping-particle":"","parse-names":false,"suffix":""},{"dropping-particle":"","family":"Lanfear","given":"Robert","non-dropping-particle":"","parse-names":false,"suffix":""},{"dropping-particle":"","family":"Phillips","given":"Matthew J.","non-dropping-particle":"","parse-names":false,"suffix":""},{"dropping-particle":"","family":"Barnes","given":"Ian","non-dropping-particle":"","parse-names":false,"suffix":""},{"dropping-particle":"","family":"Thomas","given":"Jessica A.","non-dropping-particle":"","parse-names":false,"suffix":""},{"dropping-particle":"","family":"Kolokotronis","given":"Sergios Orestis","non-dropping-particle":"","parse-names":false,"suffix":""},{"dropping-particle":"","family":"Shapiro","given":"Beth","non-dropping-particle":"","parse-names":false,"suffix":""}],"container-title":"Systematic Biology","id":"ITEM-1","issue":"3","issued":{"date-parts":[["2011"]]},"page":"366-375","title":"Bayesian estimation of substitution rates from ancient DNA sequences with low information content","type":"article","volume":"60"},"uris":["http://www.mendeley.com/documents/?uuid=96f5df66-7e3d-35b4-8711-064d005bee88"]}],"mendeley":{"formattedCitation":"&lt;sup&gt;6&lt;/sup&gt;","plainTextFormattedCitation":"6","previouslyFormattedCitation":"&lt;sup&gt;6&lt;/sup&gt;"},"properties":{"noteIndex":0},"schema":"https://github.com/citation-style-language/schema/raw/master/csl-citation.json"}</w:instrText>
      </w:r>
      <w:r w:rsidR="00E35001">
        <w:rPr>
          <w:sz w:val="22"/>
          <w:szCs w:val="22"/>
        </w:rPr>
        <w:fldChar w:fldCharType="separate"/>
      </w:r>
      <w:r w:rsidR="00E35001" w:rsidRPr="00483B91">
        <w:rPr>
          <w:noProof/>
          <w:sz w:val="22"/>
          <w:szCs w:val="22"/>
          <w:vertAlign w:val="superscript"/>
        </w:rPr>
        <w:t>6</w:t>
      </w:r>
      <w:r w:rsidR="00E35001">
        <w:rPr>
          <w:sz w:val="22"/>
          <w:szCs w:val="22"/>
        </w:rPr>
        <w:fldChar w:fldCharType="end"/>
      </w:r>
      <w:r w:rsidR="00E35001">
        <w:rPr>
          <w:sz w:val="22"/>
          <w:szCs w:val="22"/>
        </w:rPr>
        <w:t>. This approach l</w:t>
      </w:r>
      <w:r w:rsidR="00E35001" w:rsidRPr="007D6801">
        <w:rPr>
          <w:sz w:val="22"/>
          <w:szCs w:val="22"/>
        </w:rPr>
        <w:t xml:space="preserve">ed </w:t>
      </w:r>
      <w:r w:rsidR="00A02A7C" w:rsidRPr="007D6801">
        <w:rPr>
          <w:sz w:val="22"/>
          <w:szCs w:val="22"/>
        </w:rPr>
        <w:t xml:space="preserve">to mutation rate estimates with 95%HPD intervals that did not overlap the tree mutation rate estimate (Figure </w:t>
      </w:r>
      <w:r w:rsidR="002247F6" w:rsidRPr="007D6801">
        <w:rPr>
          <w:sz w:val="22"/>
          <w:szCs w:val="22"/>
        </w:rPr>
        <w:t>S3</w:t>
      </w:r>
      <w:r w:rsidR="00A02A7C" w:rsidRPr="007D6801">
        <w:rPr>
          <w:sz w:val="22"/>
          <w:szCs w:val="22"/>
        </w:rPr>
        <w:t>),</w:t>
      </w:r>
      <w:r w:rsidR="008D5720" w:rsidRPr="007D6801">
        <w:rPr>
          <w:sz w:val="22"/>
          <w:szCs w:val="22"/>
        </w:rPr>
        <w:t xml:space="preserve"> </w:t>
      </w:r>
      <w:r w:rsidR="00A02A7C" w:rsidRPr="007D6801">
        <w:rPr>
          <w:sz w:val="22"/>
          <w:szCs w:val="22"/>
        </w:rPr>
        <w:t xml:space="preserve">demonstrating that </w:t>
      </w:r>
      <w:r w:rsidR="008D5720" w:rsidRPr="007D6801">
        <w:rPr>
          <w:sz w:val="22"/>
          <w:szCs w:val="22"/>
        </w:rPr>
        <w:t>the tip dates we are using as priors are providing reliable mutation rate information into the tree</w:t>
      </w:r>
      <w:r w:rsidR="00600145">
        <w:rPr>
          <w:sz w:val="22"/>
          <w:szCs w:val="22"/>
        </w:rPr>
        <w:t>s</w:t>
      </w:r>
      <w:r w:rsidR="00E35001">
        <w:rPr>
          <w:sz w:val="22"/>
          <w:szCs w:val="22"/>
        </w:rPr>
        <w:t>, and thereby justifying our approach of including tip dates priors as part of the divergence time estimation</w:t>
      </w:r>
      <w:r w:rsidR="008D5720" w:rsidRPr="007D6801">
        <w:rPr>
          <w:sz w:val="22"/>
          <w:szCs w:val="22"/>
        </w:rPr>
        <w:t xml:space="preserve">. </w:t>
      </w:r>
    </w:p>
    <w:p w14:paraId="43CC15F8" w14:textId="2D53FE73" w:rsidR="00583183" w:rsidRPr="007D6801" w:rsidRDefault="00583183" w:rsidP="00583183">
      <w:pPr>
        <w:spacing w:after="120" w:line="360" w:lineRule="auto"/>
        <w:jc w:val="both"/>
        <w:rPr>
          <w:sz w:val="22"/>
          <w:szCs w:val="22"/>
        </w:rPr>
      </w:pPr>
      <w:r w:rsidRPr="007D6801">
        <w:rPr>
          <w:sz w:val="22"/>
          <w:szCs w:val="22"/>
        </w:rPr>
        <w:t xml:space="preserve">Our results show clear evidence for a nuclear mitochondrial insertion, or </w:t>
      </w:r>
      <w:proofErr w:type="spellStart"/>
      <w:r w:rsidRPr="007D6801">
        <w:rPr>
          <w:i/>
          <w:sz w:val="22"/>
          <w:szCs w:val="22"/>
        </w:rPr>
        <w:t>numt</w:t>
      </w:r>
      <w:proofErr w:type="spellEnd"/>
      <w:r w:rsidRPr="007D6801">
        <w:rPr>
          <w:sz w:val="22"/>
          <w:szCs w:val="22"/>
        </w:rPr>
        <w:t xml:space="preserve">, in our cave lion samples seen as variable sites and a plateau of higher than average coverage when reads were originally mapped to the cave lion reference sequence. We were able to extract this </w:t>
      </w:r>
      <w:proofErr w:type="spellStart"/>
      <w:r w:rsidRPr="007D6801">
        <w:rPr>
          <w:i/>
          <w:iCs/>
          <w:sz w:val="22"/>
          <w:szCs w:val="22"/>
        </w:rPr>
        <w:t>numt</w:t>
      </w:r>
      <w:proofErr w:type="spellEnd"/>
      <w:r w:rsidRPr="007D6801">
        <w:rPr>
          <w:sz w:val="22"/>
          <w:szCs w:val="22"/>
        </w:rPr>
        <w:t xml:space="preserve"> sequence from a subset of our samples with higher average coverage across the mitochondrial genome. The number of reads mapping to the </w:t>
      </w:r>
      <w:proofErr w:type="spellStart"/>
      <w:r w:rsidRPr="007D6801">
        <w:rPr>
          <w:i/>
          <w:sz w:val="22"/>
          <w:szCs w:val="22"/>
        </w:rPr>
        <w:t>numt</w:t>
      </w:r>
      <w:proofErr w:type="spellEnd"/>
      <w:r w:rsidRPr="007D6801">
        <w:rPr>
          <w:sz w:val="22"/>
          <w:szCs w:val="22"/>
        </w:rPr>
        <w:t xml:space="preserve"> were highly variable, and in some </w:t>
      </w:r>
      <w:proofErr w:type="gramStart"/>
      <w:r w:rsidRPr="007D6801">
        <w:rPr>
          <w:sz w:val="22"/>
          <w:szCs w:val="22"/>
        </w:rPr>
        <w:t>cases</w:t>
      </w:r>
      <w:proofErr w:type="gramEnd"/>
      <w:r w:rsidRPr="007D6801">
        <w:rPr>
          <w:sz w:val="22"/>
          <w:szCs w:val="22"/>
        </w:rPr>
        <w:t xml:space="preserve"> there may be more reads that map to the </w:t>
      </w:r>
      <w:proofErr w:type="spellStart"/>
      <w:r w:rsidRPr="007D6801">
        <w:rPr>
          <w:i/>
          <w:sz w:val="22"/>
          <w:szCs w:val="22"/>
        </w:rPr>
        <w:t>numt</w:t>
      </w:r>
      <w:proofErr w:type="spellEnd"/>
      <w:r w:rsidRPr="007D6801">
        <w:rPr>
          <w:sz w:val="22"/>
          <w:szCs w:val="22"/>
        </w:rPr>
        <w:t xml:space="preserve"> than the </w:t>
      </w:r>
      <w:proofErr w:type="spellStart"/>
      <w:r w:rsidRPr="007D6801">
        <w:rPr>
          <w:i/>
          <w:sz w:val="22"/>
          <w:szCs w:val="22"/>
        </w:rPr>
        <w:t>cymt</w:t>
      </w:r>
      <w:proofErr w:type="spellEnd"/>
      <w:r w:rsidRPr="007D6801">
        <w:rPr>
          <w:sz w:val="22"/>
          <w:szCs w:val="22"/>
        </w:rPr>
        <w:t xml:space="preserve"> portion of the mitochondrial sequence (e.g. Sample 10, Figure S</w:t>
      </w:r>
      <w:r w:rsidR="002247F6" w:rsidRPr="007D6801">
        <w:rPr>
          <w:sz w:val="22"/>
          <w:szCs w:val="22"/>
        </w:rPr>
        <w:t>6</w:t>
      </w:r>
      <w:r w:rsidRPr="007D6801">
        <w:rPr>
          <w:sz w:val="22"/>
          <w:szCs w:val="22"/>
        </w:rPr>
        <w:t>). This result strongly suggests that using a 2/3 consensus threshold is not an appropriate method</w:t>
      </w:r>
      <w:r w:rsidR="00483B91">
        <w:rPr>
          <w:sz w:val="22"/>
          <w:szCs w:val="22"/>
        </w:rPr>
        <w:fldChar w:fldCharType="begin" w:fldLock="1"/>
      </w:r>
      <w:r w:rsidR="00600145">
        <w:rPr>
          <w:sz w:val="22"/>
          <w:szCs w:val="22"/>
        </w:rPr>
        <w:instrText>ADDIN CSL_CITATION {"citationItems":[{"id":"ITEM-1","itemData":{"DOI":"10.5334/oq.24","ISSN":"2055298X","abstract":"The extinct cave lion (Panthera spelaea) was an apex predator of the Pleistocene, and one of the largest felid species ever to exist. We report the first mitochondrial genome sequences for this species, derived from two Beringian specimens, one of which has been radiocarbon dated to 29,860 ± 210 14C a BP. Phylogenetic analysis confirms the placement of the cave lion as the sister taxon to populations of the modern lion (P. leo). Using newly recovered stem pantherine fossils to calibrate a molecular clock, we estimate that P. spelaea and P. leo diverged about 1.89 million years ago (95% credibility interval: 1.23–2.93 million years), highlighting the likely position of this extinct carnivore as a distinct species.","author":[{"dropping-particle":"","family":"Barnett","given":"Ross","non-dropping-particle":"","parse-names":false,"suffix":""},{"dropping-particle":"","family":"Mendoza","given":"Marie Lisandra Zepeda","non-dropping-particle":"","parse-names":false,"suffix":""},{"dropping-particle":"","family":"Soares","given":"André Elias Rodrigues","non-dropping-particle":"","parse-names":false,"suffix":""},{"dropping-particle":"","family":"Ho","given":"Simon Y.W.","non-dropping-particle":"","parse-names":false,"suffix":""},{"dropping-particle":"","family":"Zazula","given":"Grant","non-dropping-particle":"","parse-names":false,"suffix":""},{"dropping-particle":"","family":"Yamaguchi","given":"Nobuyuki","non-dropping-particle":"","parse-names":false,"suffix":""},{"dropping-particle":"","family":"Shapiro","given":"Beth","non-dropping-particle":"","parse-names":false,"suffix":""},{"dropping-particle":"V.","family":"Kirillova","given":"Irina","non-dropping-particle":"","parse-names":false,"suffix":""},{"dropping-particle":"","family":"Larson","given":"Greger","non-dropping-particle":"","parse-names":false,"suffix":""},{"dropping-particle":"","family":"Gilbert","given":"M. Thomas P.","non-dropping-particle":"","parse-names":false,"suffix":""}],"container-title":"Open Quaternary","id":"ITEM-1","issued":{"date-parts":[["2016"]]},"page":"1-11","title":"Mitogenomics of the extinct cave lion, Panthera spelaea (Goldfuss, 1810), resolve its position within the panthera cats","type":"article-journal","volume":"2"},"uris":["http://www.mendeley.com/documents/?uuid=2b3d1232-4ad1-420c-ae4b-40215fbab547"]}],"mendeley":{"formattedCitation":"&lt;sup&gt;2&lt;/sup&gt;","plainTextFormattedCitation":"2","previouslyFormattedCitation":"&lt;sup&gt;3&lt;/sup&gt;"},"properties":{"noteIndex":0},"schema":"https://github.com/citation-style-language/schema/raw/master/csl-citation.json"}</w:instrText>
      </w:r>
      <w:r w:rsidR="00483B91">
        <w:rPr>
          <w:sz w:val="22"/>
          <w:szCs w:val="22"/>
        </w:rPr>
        <w:fldChar w:fldCharType="separate"/>
      </w:r>
      <w:r w:rsidR="00600145" w:rsidRPr="00600145">
        <w:rPr>
          <w:noProof/>
          <w:sz w:val="22"/>
          <w:szCs w:val="22"/>
          <w:vertAlign w:val="superscript"/>
        </w:rPr>
        <w:t>2</w:t>
      </w:r>
      <w:r w:rsidR="00483B91">
        <w:rPr>
          <w:sz w:val="22"/>
          <w:szCs w:val="22"/>
        </w:rPr>
        <w:fldChar w:fldCharType="end"/>
      </w:r>
      <w:r w:rsidRPr="007D6801">
        <w:rPr>
          <w:sz w:val="22"/>
          <w:szCs w:val="22"/>
        </w:rPr>
        <w:t xml:space="preserve"> and may lead to incorrect base calls or even bias the results towards the </w:t>
      </w:r>
      <w:proofErr w:type="spellStart"/>
      <w:r w:rsidRPr="007D6801">
        <w:rPr>
          <w:i/>
          <w:sz w:val="22"/>
          <w:szCs w:val="22"/>
        </w:rPr>
        <w:t>numt</w:t>
      </w:r>
      <w:proofErr w:type="spellEnd"/>
      <w:r w:rsidRPr="007D6801">
        <w:rPr>
          <w:sz w:val="22"/>
          <w:szCs w:val="22"/>
        </w:rPr>
        <w:t xml:space="preserve"> sequence rather than then </w:t>
      </w:r>
      <w:proofErr w:type="spellStart"/>
      <w:r w:rsidRPr="007D6801">
        <w:rPr>
          <w:i/>
          <w:sz w:val="22"/>
          <w:szCs w:val="22"/>
        </w:rPr>
        <w:t>cymt</w:t>
      </w:r>
      <w:proofErr w:type="spellEnd"/>
      <w:r w:rsidRPr="007D6801">
        <w:rPr>
          <w:sz w:val="22"/>
          <w:szCs w:val="22"/>
        </w:rPr>
        <w:t xml:space="preserve"> one. By mapping to a consensus that included both the putative </w:t>
      </w:r>
      <w:proofErr w:type="spellStart"/>
      <w:r w:rsidRPr="007D6801">
        <w:rPr>
          <w:i/>
          <w:sz w:val="22"/>
          <w:szCs w:val="22"/>
        </w:rPr>
        <w:t>numt</w:t>
      </w:r>
      <w:proofErr w:type="spellEnd"/>
      <w:r w:rsidRPr="007D6801">
        <w:rPr>
          <w:sz w:val="22"/>
          <w:szCs w:val="22"/>
        </w:rPr>
        <w:t xml:space="preserve"> and </w:t>
      </w:r>
      <w:proofErr w:type="spellStart"/>
      <w:r w:rsidRPr="007D6801">
        <w:rPr>
          <w:i/>
          <w:sz w:val="22"/>
          <w:szCs w:val="22"/>
        </w:rPr>
        <w:t>cymt</w:t>
      </w:r>
      <w:proofErr w:type="spellEnd"/>
      <w:r w:rsidRPr="007D6801">
        <w:rPr>
          <w:sz w:val="22"/>
          <w:szCs w:val="22"/>
        </w:rPr>
        <w:t xml:space="preserve"> regions, we were able to distinguish between the </w:t>
      </w:r>
      <w:proofErr w:type="spellStart"/>
      <w:r w:rsidRPr="007D6801">
        <w:rPr>
          <w:i/>
          <w:sz w:val="22"/>
          <w:szCs w:val="22"/>
        </w:rPr>
        <w:t>numt</w:t>
      </w:r>
      <w:proofErr w:type="spellEnd"/>
      <w:r w:rsidRPr="007D6801">
        <w:rPr>
          <w:sz w:val="22"/>
          <w:szCs w:val="22"/>
        </w:rPr>
        <w:t xml:space="preserve"> and </w:t>
      </w:r>
      <w:proofErr w:type="spellStart"/>
      <w:r w:rsidRPr="007D6801">
        <w:rPr>
          <w:i/>
          <w:sz w:val="22"/>
          <w:szCs w:val="22"/>
        </w:rPr>
        <w:t>cymt</w:t>
      </w:r>
      <w:proofErr w:type="spellEnd"/>
      <w:r w:rsidRPr="007D6801">
        <w:rPr>
          <w:sz w:val="22"/>
          <w:szCs w:val="22"/>
        </w:rPr>
        <w:t xml:space="preserve"> sequences. This is because the pileup depth of the reads was consistent across one of the consensus sequences (containing the </w:t>
      </w:r>
      <w:proofErr w:type="spellStart"/>
      <w:r w:rsidRPr="007D6801">
        <w:rPr>
          <w:i/>
          <w:sz w:val="22"/>
          <w:szCs w:val="22"/>
        </w:rPr>
        <w:t>cymt</w:t>
      </w:r>
      <w:proofErr w:type="spellEnd"/>
      <w:r w:rsidRPr="007D6801">
        <w:rPr>
          <w:sz w:val="22"/>
          <w:szCs w:val="22"/>
        </w:rPr>
        <w:t xml:space="preserve">) and either higher or lower across the other (containing the </w:t>
      </w:r>
      <w:proofErr w:type="spellStart"/>
      <w:r w:rsidRPr="007D6801">
        <w:rPr>
          <w:i/>
          <w:sz w:val="22"/>
          <w:szCs w:val="22"/>
        </w:rPr>
        <w:t>numt</w:t>
      </w:r>
      <w:proofErr w:type="spellEnd"/>
      <w:r w:rsidRPr="007D6801">
        <w:rPr>
          <w:sz w:val="22"/>
          <w:szCs w:val="22"/>
        </w:rPr>
        <w:t>, see</w:t>
      </w:r>
      <w:r w:rsidRPr="007D6801">
        <w:rPr>
          <w:i/>
          <w:sz w:val="22"/>
          <w:szCs w:val="22"/>
        </w:rPr>
        <w:t xml:space="preserve"> </w:t>
      </w:r>
      <w:r w:rsidR="009F1B08" w:rsidRPr="007D6801">
        <w:rPr>
          <w:sz w:val="22"/>
          <w:szCs w:val="22"/>
        </w:rPr>
        <w:t>Figure S</w:t>
      </w:r>
      <w:r w:rsidR="002247F6" w:rsidRPr="007D6801">
        <w:rPr>
          <w:sz w:val="22"/>
          <w:szCs w:val="22"/>
        </w:rPr>
        <w:t>6</w:t>
      </w:r>
      <w:r w:rsidRPr="007D6801">
        <w:rPr>
          <w:sz w:val="22"/>
          <w:szCs w:val="22"/>
        </w:rPr>
        <w:t>).</w:t>
      </w:r>
    </w:p>
    <w:p w14:paraId="07739EA4" w14:textId="6C00602C" w:rsidR="00583183" w:rsidRPr="007D6801" w:rsidRDefault="00583183" w:rsidP="00583183">
      <w:pPr>
        <w:spacing w:after="120" w:line="360" w:lineRule="auto"/>
        <w:jc w:val="both"/>
        <w:rPr>
          <w:sz w:val="22"/>
          <w:szCs w:val="22"/>
        </w:rPr>
      </w:pPr>
      <w:r w:rsidRPr="007D6801">
        <w:rPr>
          <w:sz w:val="22"/>
          <w:szCs w:val="22"/>
        </w:rPr>
        <w:t xml:space="preserve">In the phylogeny comparing </w:t>
      </w:r>
      <w:r w:rsidRPr="007D6801">
        <w:rPr>
          <w:i/>
          <w:sz w:val="22"/>
          <w:szCs w:val="22"/>
        </w:rPr>
        <w:t xml:space="preserve">F. </w:t>
      </w:r>
      <w:proofErr w:type="spellStart"/>
      <w:r w:rsidRPr="007D6801">
        <w:rPr>
          <w:i/>
          <w:sz w:val="22"/>
          <w:szCs w:val="22"/>
        </w:rPr>
        <w:t>catus</w:t>
      </w:r>
      <w:proofErr w:type="spellEnd"/>
      <w:r w:rsidRPr="007D6801">
        <w:rPr>
          <w:sz w:val="22"/>
          <w:szCs w:val="22"/>
        </w:rPr>
        <w:t xml:space="preserve">, </w:t>
      </w:r>
      <w:r w:rsidRPr="007D6801">
        <w:rPr>
          <w:i/>
          <w:sz w:val="22"/>
          <w:szCs w:val="22"/>
        </w:rPr>
        <w:t xml:space="preserve">P. </w:t>
      </w:r>
      <w:proofErr w:type="spellStart"/>
      <w:r w:rsidRPr="007D6801">
        <w:rPr>
          <w:i/>
          <w:sz w:val="22"/>
          <w:szCs w:val="22"/>
        </w:rPr>
        <w:t>tigris</w:t>
      </w:r>
      <w:proofErr w:type="spellEnd"/>
      <w:r w:rsidRPr="007D6801">
        <w:rPr>
          <w:sz w:val="22"/>
          <w:szCs w:val="22"/>
        </w:rPr>
        <w:t xml:space="preserve"> and </w:t>
      </w:r>
      <w:r w:rsidRPr="007D6801">
        <w:rPr>
          <w:i/>
          <w:sz w:val="22"/>
          <w:szCs w:val="22"/>
        </w:rPr>
        <w:t>P. spelaea</w:t>
      </w:r>
      <w:r w:rsidRPr="007D6801">
        <w:rPr>
          <w:sz w:val="22"/>
          <w:szCs w:val="22"/>
        </w:rPr>
        <w:t xml:space="preserve"> </w:t>
      </w:r>
      <w:proofErr w:type="spellStart"/>
      <w:r w:rsidRPr="007D6801">
        <w:rPr>
          <w:i/>
          <w:sz w:val="22"/>
          <w:szCs w:val="22"/>
        </w:rPr>
        <w:t>numt</w:t>
      </w:r>
      <w:proofErr w:type="spellEnd"/>
      <w:r w:rsidRPr="007D6801">
        <w:rPr>
          <w:sz w:val="22"/>
          <w:szCs w:val="22"/>
        </w:rPr>
        <w:t xml:space="preserve"> sequences with </w:t>
      </w:r>
      <w:r w:rsidRPr="007D6801">
        <w:rPr>
          <w:iCs/>
          <w:sz w:val="22"/>
          <w:szCs w:val="22"/>
        </w:rPr>
        <w:t>the</w:t>
      </w:r>
      <w:r w:rsidRPr="007D6801">
        <w:rPr>
          <w:sz w:val="22"/>
          <w:szCs w:val="22"/>
        </w:rPr>
        <w:t xml:space="preserve"> </w:t>
      </w:r>
      <w:r w:rsidRPr="007D6801">
        <w:rPr>
          <w:i/>
          <w:sz w:val="22"/>
          <w:szCs w:val="22"/>
        </w:rPr>
        <w:t xml:space="preserve">F. </w:t>
      </w:r>
      <w:proofErr w:type="spellStart"/>
      <w:r w:rsidRPr="007D6801">
        <w:rPr>
          <w:i/>
          <w:sz w:val="22"/>
          <w:szCs w:val="22"/>
        </w:rPr>
        <w:t>catus</w:t>
      </w:r>
      <w:proofErr w:type="spellEnd"/>
      <w:r w:rsidRPr="007D6801">
        <w:rPr>
          <w:sz w:val="22"/>
          <w:szCs w:val="22"/>
        </w:rPr>
        <w:t xml:space="preserve">, </w:t>
      </w:r>
      <w:r w:rsidRPr="007D6801">
        <w:rPr>
          <w:i/>
          <w:sz w:val="22"/>
          <w:szCs w:val="22"/>
        </w:rPr>
        <w:t xml:space="preserve">P. </w:t>
      </w:r>
      <w:proofErr w:type="spellStart"/>
      <w:r w:rsidRPr="007D6801">
        <w:rPr>
          <w:i/>
          <w:sz w:val="22"/>
          <w:szCs w:val="22"/>
        </w:rPr>
        <w:t>tigris</w:t>
      </w:r>
      <w:proofErr w:type="spellEnd"/>
      <w:r w:rsidRPr="007D6801">
        <w:rPr>
          <w:sz w:val="22"/>
          <w:szCs w:val="22"/>
        </w:rPr>
        <w:t xml:space="preserve">, </w:t>
      </w:r>
      <w:r w:rsidRPr="007D6801">
        <w:rPr>
          <w:i/>
          <w:sz w:val="22"/>
          <w:szCs w:val="22"/>
        </w:rPr>
        <w:t xml:space="preserve">P. </w:t>
      </w:r>
      <w:proofErr w:type="spellStart"/>
      <w:r w:rsidRPr="007D6801">
        <w:rPr>
          <w:i/>
          <w:iCs/>
          <w:sz w:val="22"/>
          <w:szCs w:val="22"/>
        </w:rPr>
        <w:t>pardus</w:t>
      </w:r>
      <w:proofErr w:type="spellEnd"/>
      <w:r w:rsidRPr="007D6801">
        <w:rPr>
          <w:sz w:val="22"/>
          <w:szCs w:val="22"/>
        </w:rPr>
        <w:t xml:space="preserve">, </w:t>
      </w:r>
      <w:r w:rsidRPr="007D6801">
        <w:rPr>
          <w:i/>
          <w:sz w:val="22"/>
          <w:szCs w:val="22"/>
        </w:rPr>
        <w:t xml:space="preserve">P. spelaea </w:t>
      </w:r>
      <w:r w:rsidRPr="007D6801">
        <w:rPr>
          <w:iCs/>
          <w:sz w:val="22"/>
          <w:szCs w:val="22"/>
        </w:rPr>
        <w:t>and</w:t>
      </w:r>
      <w:r w:rsidRPr="007D6801">
        <w:rPr>
          <w:i/>
          <w:sz w:val="22"/>
          <w:szCs w:val="22"/>
        </w:rPr>
        <w:t xml:space="preserve"> P</w:t>
      </w:r>
      <w:r w:rsidRPr="007D6801">
        <w:rPr>
          <w:sz w:val="22"/>
          <w:szCs w:val="22"/>
        </w:rPr>
        <w:t xml:space="preserve">. </w:t>
      </w:r>
      <w:proofErr w:type="spellStart"/>
      <w:r w:rsidRPr="007D6801">
        <w:rPr>
          <w:i/>
          <w:sz w:val="22"/>
          <w:szCs w:val="22"/>
        </w:rPr>
        <w:t>leo</w:t>
      </w:r>
      <w:proofErr w:type="spellEnd"/>
      <w:r w:rsidRPr="007D6801">
        <w:rPr>
          <w:sz w:val="22"/>
          <w:szCs w:val="22"/>
        </w:rPr>
        <w:t xml:space="preserve"> </w:t>
      </w:r>
      <w:proofErr w:type="spellStart"/>
      <w:r w:rsidRPr="007D6801">
        <w:rPr>
          <w:i/>
          <w:sz w:val="22"/>
          <w:szCs w:val="22"/>
        </w:rPr>
        <w:t>cymt</w:t>
      </w:r>
      <w:proofErr w:type="spellEnd"/>
      <w:r w:rsidRPr="007D6801">
        <w:rPr>
          <w:sz w:val="22"/>
          <w:szCs w:val="22"/>
        </w:rPr>
        <w:t xml:space="preserve"> sequences (</w:t>
      </w:r>
      <w:r w:rsidR="00325365" w:rsidRPr="007D6801">
        <w:rPr>
          <w:sz w:val="22"/>
          <w:szCs w:val="22"/>
        </w:rPr>
        <w:t>Figure S</w:t>
      </w:r>
      <w:r w:rsidR="002247F6" w:rsidRPr="007D6801">
        <w:rPr>
          <w:sz w:val="22"/>
          <w:szCs w:val="22"/>
        </w:rPr>
        <w:t>7</w:t>
      </w:r>
      <w:r w:rsidRPr="007D6801">
        <w:rPr>
          <w:sz w:val="22"/>
          <w:szCs w:val="22"/>
        </w:rPr>
        <w:t xml:space="preserve">), the </w:t>
      </w:r>
      <w:r w:rsidRPr="007D6801">
        <w:rPr>
          <w:i/>
          <w:sz w:val="22"/>
          <w:szCs w:val="22"/>
        </w:rPr>
        <w:t xml:space="preserve">spelaea </w:t>
      </w:r>
      <w:proofErr w:type="spellStart"/>
      <w:r w:rsidRPr="007D6801">
        <w:rPr>
          <w:i/>
          <w:sz w:val="22"/>
          <w:szCs w:val="22"/>
        </w:rPr>
        <w:t>numt</w:t>
      </w:r>
      <w:proofErr w:type="spellEnd"/>
      <w:r w:rsidRPr="007D6801">
        <w:rPr>
          <w:sz w:val="22"/>
          <w:szCs w:val="22"/>
        </w:rPr>
        <w:t xml:space="preserve"> sequence clusters with the </w:t>
      </w:r>
      <w:proofErr w:type="spellStart"/>
      <w:r w:rsidRPr="007D6801">
        <w:rPr>
          <w:i/>
          <w:sz w:val="22"/>
          <w:szCs w:val="22"/>
        </w:rPr>
        <w:t>tigris</w:t>
      </w:r>
      <w:proofErr w:type="spellEnd"/>
      <w:r w:rsidRPr="007D6801">
        <w:rPr>
          <w:sz w:val="22"/>
          <w:szCs w:val="22"/>
        </w:rPr>
        <w:t xml:space="preserve"> </w:t>
      </w:r>
      <w:proofErr w:type="spellStart"/>
      <w:r w:rsidRPr="007D6801">
        <w:rPr>
          <w:i/>
          <w:sz w:val="22"/>
          <w:szCs w:val="22"/>
        </w:rPr>
        <w:t>numt</w:t>
      </w:r>
      <w:proofErr w:type="spellEnd"/>
      <w:r w:rsidRPr="007D6801">
        <w:rPr>
          <w:sz w:val="22"/>
          <w:szCs w:val="22"/>
        </w:rPr>
        <w:t xml:space="preserve">, suggesting that the </w:t>
      </w:r>
      <w:proofErr w:type="spellStart"/>
      <w:r w:rsidRPr="007D6801">
        <w:rPr>
          <w:i/>
          <w:sz w:val="22"/>
          <w:szCs w:val="22"/>
        </w:rPr>
        <w:t>numt</w:t>
      </w:r>
      <w:proofErr w:type="spellEnd"/>
      <w:r w:rsidRPr="007D6801">
        <w:rPr>
          <w:sz w:val="22"/>
          <w:szCs w:val="22"/>
        </w:rPr>
        <w:t xml:space="preserve"> in cave lions shares a common ancestry with the one in other </w:t>
      </w:r>
      <w:r w:rsidRPr="007D6801">
        <w:rPr>
          <w:i/>
          <w:sz w:val="22"/>
          <w:szCs w:val="22"/>
        </w:rPr>
        <w:t>Panthera</w:t>
      </w:r>
      <w:r w:rsidRPr="007D6801">
        <w:rPr>
          <w:sz w:val="22"/>
          <w:szCs w:val="22"/>
        </w:rPr>
        <w:t xml:space="preserve"> cats. However, the variation in size and position of the mitochondrial fragments that we observed between the cave lion </w:t>
      </w:r>
      <w:proofErr w:type="spellStart"/>
      <w:r w:rsidRPr="007D6801">
        <w:rPr>
          <w:i/>
          <w:sz w:val="22"/>
          <w:szCs w:val="22"/>
        </w:rPr>
        <w:t>numt</w:t>
      </w:r>
      <w:proofErr w:type="spellEnd"/>
      <w:r w:rsidRPr="007D6801">
        <w:rPr>
          <w:sz w:val="22"/>
          <w:szCs w:val="22"/>
        </w:rPr>
        <w:t xml:space="preserve"> and the other published felid </w:t>
      </w:r>
      <w:proofErr w:type="spellStart"/>
      <w:r w:rsidRPr="007D6801">
        <w:rPr>
          <w:i/>
          <w:sz w:val="22"/>
          <w:szCs w:val="22"/>
        </w:rPr>
        <w:t>numts</w:t>
      </w:r>
      <w:proofErr w:type="spellEnd"/>
      <w:r w:rsidRPr="007D6801">
        <w:rPr>
          <w:sz w:val="22"/>
          <w:szCs w:val="22"/>
        </w:rPr>
        <w:t xml:space="preserve"> (Figures S</w:t>
      </w:r>
      <w:r w:rsidR="002247F6" w:rsidRPr="007D6801">
        <w:rPr>
          <w:sz w:val="22"/>
          <w:szCs w:val="22"/>
        </w:rPr>
        <w:t>8</w:t>
      </w:r>
      <w:r w:rsidRPr="007D6801">
        <w:rPr>
          <w:sz w:val="22"/>
          <w:szCs w:val="22"/>
        </w:rPr>
        <w:t xml:space="preserve"> &amp; S</w:t>
      </w:r>
      <w:r w:rsidR="002247F6" w:rsidRPr="007D6801">
        <w:rPr>
          <w:sz w:val="22"/>
          <w:szCs w:val="22"/>
        </w:rPr>
        <w:t>9</w:t>
      </w:r>
      <w:r w:rsidRPr="007D6801">
        <w:rPr>
          <w:sz w:val="22"/>
          <w:szCs w:val="22"/>
        </w:rPr>
        <w:t xml:space="preserve">) </w:t>
      </w:r>
      <w:r w:rsidRPr="007D6801">
        <w:rPr>
          <w:sz w:val="22"/>
          <w:szCs w:val="22"/>
        </w:rPr>
        <w:lastRenderedPageBreak/>
        <w:t xml:space="preserve">demonstrates that even if some of these </w:t>
      </w:r>
      <w:proofErr w:type="spellStart"/>
      <w:r w:rsidRPr="007D6801">
        <w:rPr>
          <w:i/>
          <w:sz w:val="22"/>
          <w:szCs w:val="22"/>
        </w:rPr>
        <w:t>numt</w:t>
      </w:r>
      <w:proofErr w:type="spellEnd"/>
      <w:r w:rsidRPr="007D6801">
        <w:rPr>
          <w:sz w:val="22"/>
          <w:szCs w:val="22"/>
        </w:rPr>
        <w:t xml:space="preserve"> sequences in different lineages originated from a common event, they have frequently undergone substantial evolutionary changes since that time.</w:t>
      </w:r>
    </w:p>
    <w:p w14:paraId="0DB653B3" w14:textId="77777777" w:rsidR="00583183" w:rsidRPr="007D6801" w:rsidRDefault="00583183" w:rsidP="00583183">
      <w:pPr>
        <w:widowControl w:val="0"/>
        <w:spacing w:after="120" w:line="360" w:lineRule="auto"/>
        <w:rPr>
          <w:sz w:val="22"/>
          <w:szCs w:val="22"/>
          <w:lang w:val="en-US"/>
        </w:rPr>
      </w:pPr>
    </w:p>
    <w:p w14:paraId="26B5A005" w14:textId="7FB60A61" w:rsidR="00583183" w:rsidRPr="007D6801" w:rsidRDefault="00583183" w:rsidP="00583183">
      <w:pPr>
        <w:suppressAutoHyphens w:val="0"/>
      </w:pPr>
    </w:p>
    <w:p w14:paraId="05B918F0" w14:textId="28FE5FAB" w:rsidR="005F0C45" w:rsidRPr="007D6801" w:rsidRDefault="005F0C45" w:rsidP="00583183">
      <w:pPr>
        <w:suppressAutoHyphens w:val="0"/>
      </w:pPr>
    </w:p>
    <w:p w14:paraId="41A8EA9A" w14:textId="561350E1" w:rsidR="005F0C45" w:rsidRPr="007D6801" w:rsidRDefault="00C7042D" w:rsidP="00583183">
      <w:pPr>
        <w:suppressAutoHyphens w:val="0"/>
      </w:pPr>
      <w:r>
        <w:rPr>
          <w:noProof/>
        </w:rPr>
        <w:drawing>
          <wp:inline distT="0" distB="0" distL="0" distR="0" wp14:anchorId="3E12BC41" wp14:editId="4DE18BC0">
            <wp:extent cx="5727700" cy="5287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e_S2_NoTMRCA_updated.pdf"/>
                    <pic:cNvPicPr/>
                  </pic:nvPicPr>
                  <pic:blipFill>
                    <a:blip r:embed="rId7">
                      <a:extLst>
                        <a:ext uri="{28A0092B-C50C-407E-A947-70E740481C1C}">
                          <a14:useLocalDpi xmlns:a14="http://schemas.microsoft.com/office/drawing/2010/main" val="0"/>
                        </a:ext>
                      </a:extLst>
                    </a:blip>
                    <a:stretch>
                      <a:fillRect/>
                    </a:stretch>
                  </pic:blipFill>
                  <pic:spPr>
                    <a:xfrm>
                      <a:off x="0" y="0"/>
                      <a:ext cx="5727700" cy="5287645"/>
                    </a:xfrm>
                    <a:prstGeom prst="rect">
                      <a:avLst/>
                    </a:prstGeom>
                  </pic:spPr>
                </pic:pic>
              </a:graphicData>
            </a:graphic>
          </wp:inline>
        </w:drawing>
      </w:r>
    </w:p>
    <w:p w14:paraId="1F87262E" w14:textId="77777777" w:rsidR="003543ED" w:rsidRPr="007D6801" w:rsidRDefault="003543ED" w:rsidP="00325365">
      <w:pPr>
        <w:spacing w:after="120" w:line="360" w:lineRule="auto"/>
        <w:jc w:val="both"/>
        <w:rPr>
          <w:b/>
          <w:bCs/>
          <w:sz w:val="22"/>
          <w:szCs w:val="22"/>
        </w:rPr>
      </w:pPr>
    </w:p>
    <w:p w14:paraId="4489A27E" w14:textId="293433BB" w:rsidR="00325365" w:rsidRPr="007D6801" w:rsidRDefault="00325365" w:rsidP="00325365">
      <w:pPr>
        <w:spacing w:after="120" w:line="360" w:lineRule="auto"/>
        <w:jc w:val="both"/>
        <w:rPr>
          <w:sz w:val="22"/>
          <w:szCs w:val="22"/>
        </w:rPr>
      </w:pPr>
      <w:r w:rsidRPr="007D6801">
        <w:rPr>
          <w:b/>
          <w:bCs/>
          <w:sz w:val="22"/>
          <w:szCs w:val="22"/>
        </w:rPr>
        <w:t>Figure S</w:t>
      </w:r>
      <w:r w:rsidR="002247F6" w:rsidRPr="007D6801">
        <w:rPr>
          <w:b/>
          <w:bCs/>
          <w:sz w:val="22"/>
          <w:szCs w:val="22"/>
        </w:rPr>
        <w:t xml:space="preserve">2 </w:t>
      </w:r>
      <w:r w:rsidRPr="007D6801">
        <w:rPr>
          <w:sz w:val="22"/>
          <w:szCs w:val="22"/>
        </w:rPr>
        <w:t xml:space="preserve">Phylogeny based on 7,929 bp of the mitochondrial genome with no prior used for the </w:t>
      </w:r>
      <w:proofErr w:type="gramStart"/>
      <w:r w:rsidRPr="007D6801">
        <w:rPr>
          <w:sz w:val="22"/>
          <w:szCs w:val="22"/>
        </w:rPr>
        <w:t>TMRCA  of</w:t>
      </w:r>
      <w:proofErr w:type="gramEnd"/>
      <w:r w:rsidRPr="007D6801">
        <w:rPr>
          <w:sz w:val="22"/>
          <w:szCs w:val="22"/>
        </w:rPr>
        <w:t xml:space="preserve"> lions and cave lions. Branch thickness corresponds to posterior support, with exact values given on the nodes. Tip numbers correspond to sample IDs in Table S1</w:t>
      </w:r>
      <w:r w:rsidR="003543ED" w:rsidRPr="007D6801">
        <w:rPr>
          <w:sz w:val="22"/>
          <w:szCs w:val="22"/>
        </w:rPr>
        <w:t>, and posterior tip date estimates are given there</w:t>
      </w:r>
      <w:r w:rsidRPr="007D6801">
        <w:rPr>
          <w:sz w:val="22"/>
          <w:szCs w:val="22"/>
        </w:rPr>
        <w:t xml:space="preserve">. Scale on x-axis is in </w:t>
      </w:r>
      <w:r w:rsidR="00E26861" w:rsidRPr="00426652">
        <w:rPr>
          <w:sz w:val="22"/>
          <w:szCs w:val="22"/>
          <w:vertAlign w:val="superscript"/>
        </w:rPr>
        <w:t>14</w:t>
      </w:r>
      <w:r w:rsidR="00E26861" w:rsidRPr="007D6801">
        <w:rPr>
          <w:sz w:val="22"/>
          <w:szCs w:val="22"/>
        </w:rPr>
        <w:t>C</w:t>
      </w:r>
      <w:r w:rsidR="00E26861">
        <w:rPr>
          <w:sz w:val="22"/>
          <w:szCs w:val="22"/>
        </w:rPr>
        <w:t xml:space="preserve"> </w:t>
      </w:r>
      <w:r w:rsidRPr="007D6801">
        <w:rPr>
          <w:sz w:val="22"/>
          <w:szCs w:val="22"/>
        </w:rPr>
        <w:t xml:space="preserve">years bp. </w:t>
      </w:r>
    </w:p>
    <w:p w14:paraId="16A75D5F" w14:textId="274F779D" w:rsidR="00DA34EC" w:rsidRPr="007D6801" w:rsidRDefault="009F1B08" w:rsidP="00583183">
      <w:pPr>
        <w:suppressAutoHyphens w:val="0"/>
      </w:pPr>
      <w:r w:rsidRPr="007D6801">
        <w:rPr>
          <w:noProof/>
        </w:rPr>
        <w:lastRenderedPageBreak/>
        <w:drawing>
          <wp:inline distT="0" distB="0" distL="0" distR="0" wp14:anchorId="2EAC7969" wp14:editId="17C62160">
            <wp:extent cx="5655501" cy="3490252"/>
            <wp:effectExtent l="0" t="0" r="0" b="2540"/>
            <wp:docPr id="13" name="Picture 13" descr="A picture containing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andomization.png"/>
                    <pic:cNvPicPr/>
                  </pic:nvPicPr>
                  <pic:blipFill>
                    <a:blip r:embed="rId8">
                      <a:extLst>
                        <a:ext uri="{28A0092B-C50C-407E-A947-70E740481C1C}">
                          <a14:useLocalDpi xmlns:a14="http://schemas.microsoft.com/office/drawing/2010/main" val="0"/>
                        </a:ext>
                      </a:extLst>
                    </a:blip>
                    <a:stretch>
                      <a:fillRect/>
                    </a:stretch>
                  </pic:blipFill>
                  <pic:spPr>
                    <a:xfrm>
                      <a:off x="0" y="0"/>
                      <a:ext cx="5671251" cy="3499972"/>
                    </a:xfrm>
                    <a:prstGeom prst="rect">
                      <a:avLst/>
                    </a:prstGeom>
                  </pic:spPr>
                </pic:pic>
              </a:graphicData>
            </a:graphic>
          </wp:inline>
        </w:drawing>
      </w:r>
    </w:p>
    <w:p w14:paraId="1FF1E91E" w14:textId="0E5A3540" w:rsidR="00DA34EC" w:rsidRPr="00E11DC3" w:rsidRDefault="00A02A7C" w:rsidP="00583183">
      <w:pPr>
        <w:suppressAutoHyphens w:val="0"/>
      </w:pPr>
      <w:r w:rsidRPr="007D6801">
        <w:rPr>
          <w:b/>
          <w:bCs/>
        </w:rPr>
        <w:t xml:space="preserve">Figure </w:t>
      </w:r>
      <w:r w:rsidR="002247F6" w:rsidRPr="007D6801">
        <w:rPr>
          <w:b/>
          <w:bCs/>
        </w:rPr>
        <w:t>S3</w:t>
      </w:r>
      <w:r w:rsidRPr="007D6801">
        <w:t xml:space="preserve"> </w:t>
      </w:r>
      <w:r w:rsidRPr="00E11DC3">
        <w:t xml:space="preserve">Randomization approach to test </w:t>
      </w:r>
      <w:r w:rsidR="009F1B08" w:rsidRPr="00E11DC3">
        <w:t>the information content of the tip dates</w:t>
      </w:r>
      <w:r w:rsidR="00483B91">
        <w:fldChar w:fldCharType="begin" w:fldLock="1"/>
      </w:r>
      <w:r w:rsidR="00483B91">
        <w:instrText>ADDIN CSL_CITATION {"citationItems":[{"id":"ITEM-1","itemData":{"DOI":"10.1093/sysbio/syq099","ISSN":"10635157","author":[{"dropping-particle":"","family":"Ho","given":"Simon Y.W.","non-dropping-particle":"","parse-names":false,"suffix":""},{"dropping-particle":"","family":"Lanfear","given":"Robert","non-dropping-particle":"","parse-names":false,"suffix":""},{"dropping-particle":"","family":"Phillips","given":"Matthew J.","non-dropping-particle":"","parse-names":false,"suffix":""},{"dropping-particle":"","family":"Barnes","given":"Ian","non-dropping-particle":"","parse-names":false,"suffix":""},{"dropping-particle":"","family":"Thomas","given":"Jessica A.","non-dropping-particle":"","parse-names":false,"suffix":""},{"dropping-particle":"","family":"Kolokotronis","given":"Sergios Orestis","non-dropping-particle":"","parse-names":false,"suffix":""},{"dropping-particle":"","family":"Shapiro","given":"Beth","non-dropping-particle":"","parse-names":false,"suffix":""}],"container-title":"Systematic Biology","id":"ITEM-1","issue":"3","issued":{"date-parts":[["2011"]]},"page":"366-375","title":"Bayesian estimation of substitution rates from ancient DNA sequences with low information content","type":"article","volume":"60"},"uris":["http://www.mendeley.com/documents/?uuid=96f5df66-7e3d-35b4-8711-064d005bee88"]}],"mendeley":{"formattedCitation":"&lt;sup&gt;6&lt;/sup&gt;","plainTextFormattedCitation":"6","previouslyFormattedCitation":"&lt;sup&gt;6&lt;/sup&gt;"},"properties":{"noteIndex":0},"schema":"https://github.com/citation-style-language/schema/raw/master/csl-citation.json"}</w:instrText>
      </w:r>
      <w:r w:rsidR="00483B91">
        <w:fldChar w:fldCharType="separate"/>
      </w:r>
      <w:r w:rsidR="00483B91" w:rsidRPr="00483B91">
        <w:rPr>
          <w:noProof/>
          <w:vertAlign w:val="superscript"/>
        </w:rPr>
        <w:t>6</w:t>
      </w:r>
      <w:r w:rsidR="00483B91">
        <w:fldChar w:fldCharType="end"/>
      </w:r>
      <w:r w:rsidR="009F1B08" w:rsidRPr="00E11DC3">
        <w:t>. The mutation rate for the original date order is given by the left-most x-axis value.</w:t>
      </w:r>
    </w:p>
    <w:p w14:paraId="69F511B1" w14:textId="77777777" w:rsidR="00325365" w:rsidRPr="007D6801" w:rsidRDefault="00325365" w:rsidP="00583183">
      <w:pPr>
        <w:suppressAutoHyphens w:val="0"/>
        <w:rPr>
          <w:sz w:val="22"/>
          <w:szCs w:val="22"/>
        </w:rPr>
      </w:pPr>
    </w:p>
    <w:p w14:paraId="4900FA7E" w14:textId="77777777" w:rsidR="009F1B08" w:rsidRPr="007D6801" w:rsidRDefault="009F1B08" w:rsidP="009F1B08">
      <w:r w:rsidRPr="007D6801">
        <w:rPr>
          <w:noProof/>
        </w:rPr>
        <w:lastRenderedPageBreak/>
        <w:drawing>
          <wp:inline distT="0" distB="0" distL="0" distR="0" wp14:anchorId="3C1CADB3" wp14:editId="334078C1">
            <wp:extent cx="5727700" cy="4947285"/>
            <wp:effectExtent l="0" t="0" r="0" b="0"/>
            <wp:docPr id="9" name="Picture"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descr="A screenshot of a cell phone&#10;&#10;Description automatically generated"/>
                    <pic:cNvPicPr>
                      <a:picLocks noChangeAspect="1" noChangeArrowheads="1"/>
                    </pic:cNvPicPr>
                  </pic:nvPicPr>
                  <pic:blipFill>
                    <a:blip r:embed="rId9"/>
                    <a:stretch>
                      <a:fillRect/>
                    </a:stretch>
                  </pic:blipFill>
                  <pic:spPr bwMode="auto">
                    <a:xfrm>
                      <a:off x="0" y="0"/>
                      <a:ext cx="5727700" cy="4947285"/>
                    </a:xfrm>
                    <a:prstGeom prst="rect">
                      <a:avLst/>
                    </a:prstGeom>
                    <a:noFill/>
                    <a:ln w="9525">
                      <a:noFill/>
                      <a:miter lim="800000"/>
                      <a:headEnd/>
                      <a:tailEnd/>
                    </a:ln>
                  </pic:spPr>
                </pic:pic>
              </a:graphicData>
            </a:graphic>
          </wp:inline>
        </w:drawing>
      </w:r>
    </w:p>
    <w:p w14:paraId="45968FEF" w14:textId="4E5474A8" w:rsidR="009F1B08" w:rsidRPr="007D6801" w:rsidRDefault="009F1B08" w:rsidP="009F1B08">
      <w:pPr>
        <w:widowControl w:val="0"/>
        <w:spacing w:after="120" w:line="360" w:lineRule="auto"/>
        <w:rPr>
          <w:sz w:val="22"/>
          <w:szCs w:val="22"/>
        </w:rPr>
      </w:pPr>
      <w:r w:rsidRPr="007D6801">
        <w:rPr>
          <w:b/>
          <w:sz w:val="22"/>
          <w:szCs w:val="22"/>
        </w:rPr>
        <w:t>Figure S</w:t>
      </w:r>
      <w:r w:rsidR="002247F6" w:rsidRPr="007D6801">
        <w:rPr>
          <w:b/>
          <w:sz w:val="22"/>
          <w:szCs w:val="22"/>
        </w:rPr>
        <w:t>4</w:t>
      </w:r>
      <w:r w:rsidRPr="007D6801">
        <w:rPr>
          <w:b/>
          <w:sz w:val="22"/>
          <w:szCs w:val="22"/>
        </w:rPr>
        <w:t xml:space="preserve"> </w:t>
      </w:r>
      <w:r w:rsidRPr="007D6801">
        <w:rPr>
          <w:sz w:val="22"/>
          <w:szCs w:val="22"/>
        </w:rPr>
        <w:t>Sample age versus</w:t>
      </w:r>
      <w:r w:rsidRPr="007D6801">
        <w:rPr>
          <w:b/>
          <w:sz w:val="22"/>
          <w:szCs w:val="22"/>
        </w:rPr>
        <w:t xml:space="preserve"> </w:t>
      </w:r>
      <w:r w:rsidRPr="007D6801">
        <w:rPr>
          <w:sz w:val="22"/>
          <w:szCs w:val="22"/>
        </w:rPr>
        <w:t xml:space="preserve">lineage </w:t>
      </w:r>
    </w:p>
    <w:p w14:paraId="20C896D1" w14:textId="5DDC960A" w:rsidR="00583183" w:rsidRPr="007D6801" w:rsidRDefault="00A96EC4" w:rsidP="00583183">
      <w:pPr>
        <w:spacing w:after="120" w:line="360" w:lineRule="auto"/>
        <w:jc w:val="both"/>
      </w:pPr>
      <w:r w:rsidRPr="007D6801">
        <w:rPr>
          <w:noProof/>
        </w:rPr>
        <w:drawing>
          <wp:inline distT="0" distB="0" distL="0" distR="0" wp14:anchorId="4037F8F1" wp14:editId="1F68B7F3">
            <wp:extent cx="5727700" cy="3474085"/>
            <wp:effectExtent l="0" t="0" r="0" b="5715"/>
            <wp:docPr id="16" name="Picture 1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Figure_S5-NEW.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3474085"/>
                    </a:xfrm>
                    <a:prstGeom prst="rect">
                      <a:avLst/>
                    </a:prstGeom>
                  </pic:spPr>
                </pic:pic>
              </a:graphicData>
            </a:graphic>
          </wp:inline>
        </w:drawing>
      </w:r>
    </w:p>
    <w:p w14:paraId="4A4E8FD7" w14:textId="091A43CB" w:rsidR="00583183" w:rsidRPr="007D6801" w:rsidRDefault="00583183" w:rsidP="00583183">
      <w:pPr>
        <w:spacing w:after="120" w:line="360" w:lineRule="auto"/>
        <w:jc w:val="both"/>
        <w:rPr>
          <w:sz w:val="22"/>
          <w:szCs w:val="22"/>
        </w:rPr>
      </w:pPr>
      <w:r w:rsidRPr="007D6801">
        <w:rPr>
          <w:b/>
          <w:sz w:val="22"/>
          <w:szCs w:val="22"/>
        </w:rPr>
        <w:lastRenderedPageBreak/>
        <w:t>Figure S</w:t>
      </w:r>
      <w:r w:rsidR="002247F6" w:rsidRPr="007D6801">
        <w:rPr>
          <w:b/>
          <w:sz w:val="22"/>
          <w:szCs w:val="22"/>
        </w:rPr>
        <w:t>5</w:t>
      </w:r>
      <w:r w:rsidR="002247F6" w:rsidRPr="007D6801">
        <w:rPr>
          <w:sz w:val="22"/>
          <w:szCs w:val="22"/>
        </w:rPr>
        <w:t xml:space="preserve"> </w:t>
      </w:r>
      <w:r w:rsidRPr="007D6801">
        <w:rPr>
          <w:sz w:val="22"/>
          <w:szCs w:val="22"/>
        </w:rPr>
        <w:t>Phylogeny based on 7,929 bp of the mitochondrial genome with median dates</w:t>
      </w:r>
      <w:r w:rsidR="00F717C1">
        <w:rPr>
          <w:sz w:val="22"/>
          <w:szCs w:val="22"/>
        </w:rPr>
        <w:t xml:space="preserve"> given on the tips</w:t>
      </w:r>
      <w:r w:rsidRPr="007D6801">
        <w:rPr>
          <w:sz w:val="22"/>
          <w:szCs w:val="22"/>
        </w:rPr>
        <w:t>. Priors used for the TMRCA between lions and cave lions were from Barnett et al.</w:t>
      </w:r>
      <w:r w:rsidR="00483B91">
        <w:rPr>
          <w:sz w:val="22"/>
          <w:szCs w:val="22"/>
        </w:rPr>
        <w:fldChar w:fldCharType="begin" w:fldLock="1"/>
      </w:r>
      <w:r w:rsidR="00600145">
        <w:rPr>
          <w:sz w:val="22"/>
          <w:szCs w:val="22"/>
        </w:rPr>
        <w:instrText>ADDIN CSL_CITATION {"citationItems":[{"id":"ITEM-1","itemData":{"DOI":"10.5334/oq.24","ISSN":"2055298X","abstract":"The extinct cave lion (Panthera spelaea) was an apex predator of the Pleistocene, and one of the largest felid species ever to exist. We report the first mitochondrial genome sequences for this species, derived from two Beringian specimens, one of which has been radiocarbon dated to 29,860 ± 210 14C a BP. Phylogenetic analysis confirms the placement of the cave lion as the sister taxon to populations of the modern lion (P. leo). Using newly recovered stem pantherine fossils to calibrate a molecular clock, we estimate that P. spelaea and P. leo diverged about 1.89 million years ago (95% credibility interval: 1.23–2.93 million years), highlighting the likely position of this extinct carnivore as a distinct species.","author":[{"dropping-particle":"","family":"Barnett","given":"Ross","non-dropping-particle":"","parse-names":false,"suffix":""},{"dropping-particle":"","family":"Mendoza","given":"Marie Lisandra Zepeda","non-dropping-particle":"","parse-names":false,"suffix":""},{"dropping-particle":"","family":"Soares","given":"André Elias Rodrigues","non-dropping-particle":"","parse-names":false,"suffix":""},{"dropping-particle":"","family":"Ho","given":"Simon Y.W.","non-dropping-particle":"","parse-names":false,"suffix":""},{"dropping-particle":"","family":"Zazula","given":"Grant","non-dropping-particle":"","parse-names":false,"suffix":""},{"dropping-particle":"","family":"Yamaguchi","given":"Nobuyuki","non-dropping-particle":"","parse-names":false,"suffix":""},{"dropping-particle":"","family":"Shapiro","given":"Beth","non-dropping-particle":"","parse-names":false,"suffix":""},{"dropping-particle":"V.","family":"Kirillova","given":"Irina","non-dropping-particle":"","parse-names":false,"suffix":""},{"dropping-particle":"","family":"Larson","given":"Greger","non-dropping-particle":"","parse-names":false,"suffix":""},{"dropping-particle":"","family":"Gilbert","given":"M. Thomas P.","non-dropping-particle":"","parse-names":false,"suffix":""}],"container-title":"Open Quaternary","id":"ITEM-1","issued":{"date-parts":[["2016"]]},"page":"1-11","title":"Mitogenomics of the extinct cave lion, Panthera spelaea (Goldfuss, 1810), resolve its position within the panthera cats","type":"article-journal","volume":"2"},"uris":["http://www.mendeley.com/documents/?uuid=2b3d1232-4ad1-420c-ae4b-40215fbab547"]}],"mendeley":{"formattedCitation":"&lt;sup&gt;2&lt;/sup&gt;","plainTextFormattedCitation":"2","previouslyFormattedCitation":"&lt;sup&gt;3&lt;/sup&gt;"},"properties":{"noteIndex":0},"schema":"https://github.com/citation-style-language/schema/raw/master/csl-citation.json"}</w:instrText>
      </w:r>
      <w:r w:rsidR="00483B91">
        <w:rPr>
          <w:sz w:val="22"/>
          <w:szCs w:val="22"/>
        </w:rPr>
        <w:fldChar w:fldCharType="separate"/>
      </w:r>
      <w:r w:rsidR="00600145" w:rsidRPr="00600145">
        <w:rPr>
          <w:noProof/>
          <w:sz w:val="22"/>
          <w:szCs w:val="22"/>
          <w:vertAlign w:val="superscript"/>
        </w:rPr>
        <w:t>2</w:t>
      </w:r>
      <w:r w:rsidR="00483B91">
        <w:rPr>
          <w:sz w:val="22"/>
          <w:szCs w:val="22"/>
        </w:rPr>
        <w:fldChar w:fldCharType="end"/>
      </w:r>
      <w:r w:rsidRPr="007D6801">
        <w:rPr>
          <w:sz w:val="22"/>
          <w:szCs w:val="22"/>
        </w:rPr>
        <w:t xml:space="preserve"> (2.08 </w:t>
      </w:r>
      <w:proofErr w:type="spellStart"/>
      <w:r w:rsidRPr="007D6801">
        <w:rPr>
          <w:sz w:val="22"/>
          <w:szCs w:val="22"/>
        </w:rPr>
        <w:t>mya</w:t>
      </w:r>
      <w:proofErr w:type="spellEnd"/>
      <w:r w:rsidRPr="007D6801">
        <w:rPr>
          <w:sz w:val="22"/>
          <w:szCs w:val="22"/>
        </w:rPr>
        <w:t xml:space="preserve">, standard deviation of 0.52 </w:t>
      </w:r>
      <w:proofErr w:type="spellStart"/>
      <w:r w:rsidRPr="007D6801">
        <w:rPr>
          <w:sz w:val="22"/>
          <w:szCs w:val="22"/>
        </w:rPr>
        <w:t>mya</w:t>
      </w:r>
      <w:proofErr w:type="spellEnd"/>
      <w:r w:rsidRPr="007D6801">
        <w:rPr>
          <w:sz w:val="22"/>
          <w:szCs w:val="22"/>
        </w:rPr>
        <w:t xml:space="preserve">). Branch thickness corresponds to posterior support, with exact values given on the nodes. Tip numbers </w:t>
      </w:r>
      <w:r w:rsidR="00F717C1">
        <w:rPr>
          <w:sz w:val="22"/>
          <w:szCs w:val="22"/>
        </w:rPr>
        <w:t xml:space="preserve">in coloured boxes </w:t>
      </w:r>
      <w:r w:rsidRPr="007D6801">
        <w:rPr>
          <w:sz w:val="22"/>
          <w:szCs w:val="22"/>
        </w:rPr>
        <w:t>correspond to sample IDs in Table S1.</w:t>
      </w:r>
    </w:p>
    <w:p w14:paraId="6C493F3C" w14:textId="7516C5C4" w:rsidR="009F1B08" w:rsidRPr="007D6801" w:rsidRDefault="009F1B08" w:rsidP="009F1B08">
      <w:pPr>
        <w:spacing w:after="120"/>
        <w:jc w:val="both"/>
      </w:pPr>
    </w:p>
    <w:p w14:paraId="63E90EE8" w14:textId="100EE314" w:rsidR="00597743" w:rsidRPr="007D6801" w:rsidRDefault="00597743" w:rsidP="009F1B08">
      <w:pPr>
        <w:spacing w:after="120" w:line="360" w:lineRule="auto"/>
        <w:jc w:val="both"/>
        <w:rPr>
          <w:b/>
          <w:sz w:val="22"/>
          <w:szCs w:val="22"/>
        </w:rPr>
      </w:pPr>
      <w:r w:rsidRPr="007D6801">
        <w:rPr>
          <w:b/>
          <w:noProof/>
          <w:sz w:val="22"/>
          <w:szCs w:val="22"/>
        </w:rPr>
        <w:drawing>
          <wp:inline distT="0" distB="0" distL="0" distR="0" wp14:anchorId="262A21CD" wp14:editId="67B2A7B3">
            <wp:extent cx="5727700" cy="3045460"/>
            <wp:effectExtent l="0" t="0" r="0" b="2540"/>
            <wp:docPr id="15" name="Picture 15" descr="A picture containing text, indoor, table, sit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Figuree_S6-Coverage_cave_lion.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27700" cy="3045460"/>
                    </a:xfrm>
                    <a:prstGeom prst="rect">
                      <a:avLst/>
                    </a:prstGeom>
                  </pic:spPr>
                </pic:pic>
              </a:graphicData>
            </a:graphic>
          </wp:inline>
        </w:drawing>
      </w:r>
    </w:p>
    <w:p w14:paraId="510BBFE1" w14:textId="49F595E3" w:rsidR="009F1B08" w:rsidRPr="007D6801" w:rsidRDefault="009F1B08" w:rsidP="009F1B08">
      <w:pPr>
        <w:spacing w:after="120" w:line="360" w:lineRule="auto"/>
        <w:jc w:val="both"/>
        <w:rPr>
          <w:sz w:val="22"/>
          <w:szCs w:val="22"/>
        </w:rPr>
      </w:pPr>
      <w:r w:rsidRPr="007D6801">
        <w:rPr>
          <w:b/>
          <w:sz w:val="22"/>
          <w:szCs w:val="22"/>
        </w:rPr>
        <w:t>Figure S</w:t>
      </w:r>
      <w:r w:rsidR="002247F6" w:rsidRPr="007D6801">
        <w:rPr>
          <w:b/>
          <w:sz w:val="22"/>
          <w:szCs w:val="22"/>
        </w:rPr>
        <w:t>6</w:t>
      </w:r>
      <w:r w:rsidRPr="007D6801">
        <w:rPr>
          <w:b/>
          <w:sz w:val="22"/>
          <w:szCs w:val="22"/>
        </w:rPr>
        <w:t xml:space="preserve"> </w:t>
      </w:r>
      <w:r w:rsidRPr="007D6801">
        <w:rPr>
          <w:bCs/>
          <w:sz w:val="22"/>
          <w:szCs w:val="22"/>
        </w:rPr>
        <w:t>Examples of c</w:t>
      </w:r>
      <w:r w:rsidRPr="007D6801">
        <w:rPr>
          <w:sz w:val="22"/>
          <w:szCs w:val="22"/>
        </w:rPr>
        <w:t>overage versus position (bp) of</w:t>
      </w:r>
      <w:r w:rsidRPr="007D6801">
        <w:rPr>
          <w:b/>
          <w:sz w:val="22"/>
          <w:szCs w:val="22"/>
        </w:rPr>
        <w:t xml:space="preserve"> </w:t>
      </w:r>
      <w:r w:rsidRPr="007D6801">
        <w:rPr>
          <w:sz w:val="22"/>
          <w:szCs w:val="22"/>
        </w:rPr>
        <w:t xml:space="preserve">raw reads re-mapped onto the phased, concatenated </w:t>
      </w:r>
      <w:proofErr w:type="spellStart"/>
      <w:r w:rsidRPr="007D6801">
        <w:rPr>
          <w:i/>
          <w:sz w:val="22"/>
          <w:szCs w:val="22"/>
        </w:rPr>
        <w:t>cymt</w:t>
      </w:r>
      <w:proofErr w:type="spellEnd"/>
      <w:r w:rsidRPr="007D6801">
        <w:rPr>
          <w:sz w:val="22"/>
          <w:szCs w:val="22"/>
        </w:rPr>
        <w:t xml:space="preserve"> and </w:t>
      </w:r>
      <w:proofErr w:type="spellStart"/>
      <w:r w:rsidRPr="007D6801">
        <w:rPr>
          <w:i/>
          <w:sz w:val="22"/>
          <w:szCs w:val="22"/>
        </w:rPr>
        <w:t>numt</w:t>
      </w:r>
      <w:proofErr w:type="spellEnd"/>
      <w:r w:rsidRPr="007D6801">
        <w:rPr>
          <w:sz w:val="22"/>
          <w:szCs w:val="22"/>
        </w:rPr>
        <w:t xml:space="preserve"> consensuses (averaged over a 1000 bp sliding window in steps of 100 bp). This was done twice, with the regions in switched positions (red and blue lines). In most cases, the coverage within the putative </w:t>
      </w:r>
      <w:proofErr w:type="spellStart"/>
      <w:r w:rsidRPr="007D6801">
        <w:rPr>
          <w:i/>
          <w:sz w:val="22"/>
          <w:szCs w:val="22"/>
        </w:rPr>
        <w:t>numt</w:t>
      </w:r>
      <w:proofErr w:type="spellEnd"/>
      <w:r w:rsidRPr="007D6801">
        <w:rPr>
          <w:sz w:val="22"/>
          <w:szCs w:val="22"/>
        </w:rPr>
        <w:t xml:space="preserve"> region (black dashed lines, section B) was closer to the coverage in the </w:t>
      </w:r>
      <w:proofErr w:type="spellStart"/>
      <w:r w:rsidRPr="007D6801">
        <w:rPr>
          <w:i/>
          <w:sz w:val="22"/>
          <w:szCs w:val="22"/>
        </w:rPr>
        <w:t>cymt</w:t>
      </w:r>
      <w:proofErr w:type="spellEnd"/>
      <w:r w:rsidRPr="007D6801">
        <w:rPr>
          <w:sz w:val="22"/>
          <w:szCs w:val="22"/>
        </w:rPr>
        <w:t xml:space="preserve"> region (sections A and C) for one of the alternative concatenated consensuses (section D is the sequence concatenated onto the end), suggesting that that consensus contained the phased </w:t>
      </w:r>
      <w:proofErr w:type="spellStart"/>
      <w:r w:rsidRPr="007D6801">
        <w:rPr>
          <w:i/>
          <w:sz w:val="22"/>
          <w:szCs w:val="22"/>
        </w:rPr>
        <w:t>cymt</w:t>
      </w:r>
      <w:proofErr w:type="spellEnd"/>
      <w:r w:rsidRPr="007D6801">
        <w:rPr>
          <w:sz w:val="22"/>
          <w:szCs w:val="22"/>
        </w:rPr>
        <w:t xml:space="preserve"> sequence. Note that coverage over the </w:t>
      </w:r>
      <w:proofErr w:type="spellStart"/>
      <w:r w:rsidRPr="007D6801">
        <w:rPr>
          <w:i/>
          <w:sz w:val="22"/>
          <w:szCs w:val="22"/>
        </w:rPr>
        <w:t>cymt</w:t>
      </w:r>
      <w:proofErr w:type="spellEnd"/>
      <w:r w:rsidRPr="007D6801">
        <w:rPr>
          <w:sz w:val="22"/>
          <w:szCs w:val="22"/>
        </w:rPr>
        <w:t xml:space="preserve"> was not necessarily higher than over the </w:t>
      </w:r>
      <w:proofErr w:type="spellStart"/>
      <w:r w:rsidRPr="007D6801">
        <w:rPr>
          <w:i/>
          <w:sz w:val="22"/>
          <w:szCs w:val="22"/>
        </w:rPr>
        <w:t>numt</w:t>
      </w:r>
      <w:proofErr w:type="spellEnd"/>
      <w:r w:rsidRPr="007D6801">
        <w:rPr>
          <w:sz w:val="22"/>
          <w:szCs w:val="22"/>
        </w:rPr>
        <w:t xml:space="preserve">, meaning that taking a consensus approach would lead to incorrect assignment of </w:t>
      </w:r>
      <w:proofErr w:type="spellStart"/>
      <w:r w:rsidRPr="007D6801">
        <w:rPr>
          <w:i/>
          <w:sz w:val="22"/>
          <w:szCs w:val="22"/>
        </w:rPr>
        <w:t>cymt</w:t>
      </w:r>
      <w:proofErr w:type="spellEnd"/>
      <w:r w:rsidRPr="007D6801">
        <w:rPr>
          <w:i/>
          <w:sz w:val="22"/>
          <w:szCs w:val="22"/>
        </w:rPr>
        <w:t xml:space="preserve"> and </w:t>
      </w:r>
      <w:proofErr w:type="spellStart"/>
      <w:r w:rsidRPr="007D6801">
        <w:rPr>
          <w:i/>
          <w:sz w:val="22"/>
          <w:szCs w:val="22"/>
        </w:rPr>
        <w:t>numt</w:t>
      </w:r>
      <w:proofErr w:type="spellEnd"/>
      <w:r w:rsidRPr="007D6801">
        <w:rPr>
          <w:i/>
          <w:sz w:val="22"/>
          <w:szCs w:val="22"/>
        </w:rPr>
        <w:t xml:space="preserve"> </w:t>
      </w:r>
      <w:r w:rsidRPr="007D6801">
        <w:rPr>
          <w:sz w:val="22"/>
          <w:szCs w:val="22"/>
        </w:rPr>
        <w:t>sequences (see e.g. the difference between samples 11 and 2</w:t>
      </w:r>
      <w:r w:rsidR="001E2370">
        <w:rPr>
          <w:sz w:val="22"/>
          <w:szCs w:val="22"/>
        </w:rPr>
        <w:t>8</w:t>
      </w:r>
      <w:r w:rsidRPr="007D6801">
        <w:rPr>
          <w:sz w:val="22"/>
          <w:szCs w:val="22"/>
        </w:rPr>
        <w:t xml:space="preserve">). The phased </w:t>
      </w:r>
      <w:proofErr w:type="spellStart"/>
      <w:r w:rsidRPr="007D6801">
        <w:rPr>
          <w:i/>
          <w:iCs/>
          <w:sz w:val="22"/>
          <w:szCs w:val="22"/>
        </w:rPr>
        <w:t>numt</w:t>
      </w:r>
      <w:proofErr w:type="spellEnd"/>
      <w:r w:rsidRPr="007D6801">
        <w:rPr>
          <w:sz w:val="22"/>
          <w:szCs w:val="22"/>
        </w:rPr>
        <w:t xml:space="preserve"> sequence for sample 11 was used for annotation (Figure S3) and the UPGMA</w:t>
      </w:r>
      <w:r w:rsidRPr="007D6801">
        <w:rPr>
          <w:b/>
          <w:sz w:val="22"/>
          <w:szCs w:val="22"/>
        </w:rPr>
        <w:t xml:space="preserve"> </w:t>
      </w:r>
      <w:r w:rsidRPr="007D6801">
        <w:rPr>
          <w:sz w:val="22"/>
          <w:szCs w:val="22"/>
        </w:rPr>
        <w:t>phylogeny (Figure S6).</w:t>
      </w:r>
    </w:p>
    <w:p w14:paraId="4ACD07E9" w14:textId="77777777" w:rsidR="009F1B08" w:rsidRPr="007D6801" w:rsidRDefault="009F1B08" w:rsidP="009F1B08">
      <w:pPr>
        <w:spacing w:after="120" w:line="360" w:lineRule="auto"/>
        <w:jc w:val="both"/>
        <w:rPr>
          <w:b/>
          <w:sz w:val="22"/>
          <w:szCs w:val="22"/>
        </w:rPr>
      </w:pPr>
    </w:p>
    <w:p w14:paraId="36B54213" w14:textId="77777777" w:rsidR="009F1B08" w:rsidRPr="007D6801" w:rsidRDefault="009F1B08" w:rsidP="009F1B08">
      <w:pPr>
        <w:spacing w:after="120" w:line="360" w:lineRule="auto"/>
        <w:jc w:val="both"/>
        <w:rPr>
          <w:b/>
          <w:sz w:val="22"/>
          <w:szCs w:val="22"/>
        </w:rPr>
      </w:pPr>
    </w:p>
    <w:p w14:paraId="62B490DE" w14:textId="77777777" w:rsidR="009F1B08" w:rsidRPr="007D6801" w:rsidRDefault="009F1B08" w:rsidP="009F1B08">
      <w:pPr>
        <w:spacing w:after="120" w:line="360" w:lineRule="auto"/>
        <w:jc w:val="both"/>
        <w:rPr>
          <w:b/>
          <w:sz w:val="22"/>
          <w:szCs w:val="22"/>
        </w:rPr>
      </w:pPr>
    </w:p>
    <w:p w14:paraId="442676CE" w14:textId="77777777" w:rsidR="009F1B08" w:rsidRPr="007D6801" w:rsidRDefault="009F1B08" w:rsidP="009F1B08">
      <w:pPr>
        <w:spacing w:after="120" w:line="360" w:lineRule="auto"/>
        <w:jc w:val="both"/>
      </w:pPr>
      <w:r w:rsidRPr="007D6801">
        <w:rPr>
          <w:noProof/>
        </w:rPr>
        <w:lastRenderedPageBreak/>
        <w:drawing>
          <wp:inline distT="0" distB="0" distL="0" distR="0" wp14:anchorId="60062FB5" wp14:editId="68610D57">
            <wp:extent cx="5727700" cy="3834765"/>
            <wp:effectExtent l="0" t="0" r="0" b="0"/>
            <wp:docPr id="8" name="Picture"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descr="A screenshot of a cell phone&#10;&#10;Description automatically generated"/>
                    <pic:cNvPicPr>
                      <a:picLocks noChangeAspect="1" noChangeArrowheads="1"/>
                    </pic:cNvPicPr>
                  </pic:nvPicPr>
                  <pic:blipFill>
                    <a:blip r:embed="rId12"/>
                    <a:stretch>
                      <a:fillRect/>
                    </a:stretch>
                  </pic:blipFill>
                  <pic:spPr bwMode="auto">
                    <a:xfrm>
                      <a:off x="0" y="0"/>
                      <a:ext cx="5727700" cy="3834765"/>
                    </a:xfrm>
                    <a:prstGeom prst="rect">
                      <a:avLst/>
                    </a:prstGeom>
                    <a:noFill/>
                    <a:ln w="9525">
                      <a:noFill/>
                      <a:miter lim="800000"/>
                      <a:headEnd/>
                      <a:tailEnd/>
                    </a:ln>
                  </pic:spPr>
                </pic:pic>
              </a:graphicData>
            </a:graphic>
          </wp:inline>
        </w:drawing>
      </w:r>
    </w:p>
    <w:p w14:paraId="12A894BB" w14:textId="1B85615F" w:rsidR="009F1B08" w:rsidRPr="007D6801" w:rsidRDefault="009F1B08" w:rsidP="009F1B08">
      <w:pPr>
        <w:spacing w:after="120" w:line="360" w:lineRule="auto"/>
        <w:jc w:val="both"/>
        <w:rPr>
          <w:sz w:val="22"/>
          <w:szCs w:val="22"/>
        </w:rPr>
      </w:pPr>
      <w:r w:rsidRPr="007D6801">
        <w:rPr>
          <w:b/>
          <w:sz w:val="22"/>
          <w:szCs w:val="22"/>
        </w:rPr>
        <w:t>Figure S</w:t>
      </w:r>
      <w:r w:rsidR="002247F6" w:rsidRPr="007D6801">
        <w:rPr>
          <w:b/>
          <w:sz w:val="22"/>
          <w:szCs w:val="22"/>
        </w:rPr>
        <w:t>7</w:t>
      </w:r>
      <w:r w:rsidRPr="007D6801">
        <w:rPr>
          <w:b/>
          <w:sz w:val="22"/>
          <w:szCs w:val="22"/>
        </w:rPr>
        <w:t xml:space="preserve"> </w:t>
      </w:r>
      <w:r w:rsidRPr="007D6801">
        <w:rPr>
          <w:sz w:val="22"/>
          <w:szCs w:val="22"/>
        </w:rPr>
        <w:t>UPGMA</w:t>
      </w:r>
      <w:r w:rsidRPr="007D6801">
        <w:rPr>
          <w:b/>
          <w:sz w:val="22"/>
          <w:szCs w:val="22"/>
        </w:rPr>
        <w:t xml:space="preserve"> </w:t>
      </w:r>
      <w:r w:rsidRPr="007D6801">
        <w:rPr>
          <w:sz w:val="22"/>
          <w:szCs w:val="22"/>
        </w:rPr>
        <w:t xml:space="preserve">phylogeny of felid </w:t>
      </w:r>
      <w:proofErr w:type="spellStart"/>
      <w:r w:rsidRPr="007D6801">
        <w:rPr>
          <w:i/>
          <w:sz w:val="22"/>
          <w:szCs w:val="22"/>
        </w:rPr>
        <w:t>cymts</w:t>
      </w:r>
      <w:proofErr w:type="spellEnd"/>
      <w:r w:rsidRPr="007D6801">
        <w:rPr>
          <w:sz w:val="22"/>
          <w:szCs w:val="22"/>
        </w:rPr>
        <w:t xml:space="preserve"> and </w:t>
      </w:r>
      <w:proofErr w:type="spellStart"/>
      <w:r w:rsidRPr="007D6801">
        <w:rPr>
          <w:i/>
          <w:sz w:val="22"/>
          <w:szCs w:val="22"/>
        </w:rPr>
        <w:t>numts</w:t>
      </w:r>
      <w:proofErr w:type="spellEnd"/>
      <w:r w:rsidRPr="007D6801">
        <w:rPr>
          <w:i/>
          <w:sz w:val="22"/>
          <w:szCs w:val="22"/>
        </w:rPr>
        <w:t xml:space="preserve"> </w:t>
      </w:r>
      <w:r w:rsidRPr="007D6801">
        <w:rPr>
          <w:sz w:val="22"/>
          <w:szCs w:val="22"/>
        </w:rPr>
        <w:t xml:space="preserve">with 1000 bootstrap replicates. </w:t>
      </w:r>
    </w:p>
    <w:p w14:paraId="42F1029F" w14:textId="77777777" w:rsidR="00583183" w:rsidRPr="007D6801" w:rsidRDefault="00583183" w:rsidP="00583183">
      <w:pPr>
        <w:spacing w:after="120" w:line="360" w:lineRule="auto"/>
        <w:jc w:val="both"/>
      </w:pPr>
      <w:r w:rsidRPr="007D6801">
        <w:rPr>
          <w:noProof/>
        </w:rPr>
        <w:drawing>
          <wp:inline distT="0" distB="0" distL="114300" distR="114300" wp14:anchorId="34917512" wp14:editId="4B44FBFF">
            <wp:extent cx="5753100" cy="2055495"/>
            <wp:effectExtent l="0" t="0" r="0" b="0"/>
            <wp:docPr id="5" name="Picture" descr="A picture containing red,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descr="A picture containing red, drawing&#10;&#10;Description automatically generated"/>
                    <pic:cNvPicPr>
                      <a:picLocks noChangeAspect="1" noChangeArrowheads="1"/>
                    </pic:cNvPicPr>
                  </pic:nvPicPr>
                  <pic:blipFill>
                    <a:blip r:embed="rId13"/>
                    <a:stretch>
                      <a:fillRect/>
                    </a:stretch>
                  </pic:blipFill>
                  <pic:spPr bwMode="auto">
                    <a:xfrm>
                      <a:off x="0" y="0"/>
                      <a:ext cx="5753100" cy="2055495"/>
                    </a:xfrm>
                    <a:prstGeom prst="rect">
                      <a:avLst/>
                    </a:prstGeom>
                    <a:noFill/>
                    <a:ln w="9525">
                      <a:noFill/>
                      <a:miter lim="800000"/>
                      <a:headEnd/>
                      <a:tailEnd/>
                    </a:ln>
                  </pic:spPr>
                </pic:pic>
              </a:graphicData>
            </a:graphic>
          </wp:inline>
        </w:drawing>
      </w:r>
    </w:p>
    <w:p w14:paraId="74F50B41" w14:textId="0892DC60" w:rsidR="00583183" w:rsidRPr="007D6801" w:rsidRDefault="00583183" w:rsidP="00583183">
      <w:pPr>
        <w:spacing w:after="120" w:line="360" w:lineRule="auto"/>
        <w:jc w:val="both"/>
        <w:rPr>
          <w:sz w:val="22"/>
          <w:szCs w:val="22"/>
        </w:rPr>
      </w:pPr>
      <w:r w:rsidRPr="007D6801">
        <w:rPr>
          <w:b/>
          <w:sz w:val="22"/>
          <w:szCs w:val="22"/>
        </w:rPr>
        <w:t>Figure S</w:t>
      </w:r>
      <w:r w:rsidR="002247F6" w:rsidRPr="007D6801">
        <w:rPr>
          <w:b/>
          <w:sz w:val="22"/>
          <w:szCs w:val="22"/>
        </w:rPr>
        <w:t>8</w:t>
      </w:r>
      <w:r w:rsidRPr="007D6801">
        <w:rPr>
          <w:b/>
          <w:sz w:val="22"/>
          <w:szCs w:val="22"/>
        </w:rPr>
        <w:t xml:space="preserve"> </w:t>
      </w:r>
      <w:proofErr w:type="gramStart"/>
      <w:r w:rsidRPr="007D6801">
        <w:rPr>
          <w:sz w:val="22"/>
          <w:szCs w:val="22"/>
        </w:rPr>
        <w:t>The</w:t>
      </w:r>
      <w:proofErr w:type="gramEnd"/>
      <w:r w:rsidRPr="007D6801">
        <w:rPr>
          <w:sz w:val="22"/>
          <w:szCs w:val="22"/>
        </w:rPr>
        <w:t xml:space="preserve"> cave lion </w:t>
      </w:r>
      <w:proofErr w:type="spellStart"/>
      <w:r w:rsidRPr="007D6801">
        <w:rPr>
          <w:i/>
          <w:sz w:val="22"/>
          <w:szCs w:val="22"/>
        </w:rPr>
        <w:t>numt</w:t>
      </w:r>
      <w:proofErr w:type="spellEnd"/>
      <w:r w:rsidRPr="007D6801">
        <w:rPr>
          <w:sz w:val="22"/>
          <w:szCs w:val="22"/>
        </w:rPr>
        <w:t>, the location of which was determined based on the presence of variable sites, and plateaus of coverage (Figure S5). Annotation was carried out on the MITOS web server (</w:t>
      </w:r>
      <w:hyperlink r:id="rId14">
        <w:r w:rsidRPr="007D6801">
          <w:rPr>
            <w:rStyle w:val="InternetLink"/>
            <w:color w:val="0563C1"/>
            <w:sz w:val="22"/>
            <w:szCs w:val="22"/>
          </w:rPr>
          <w:t>http://mitos.bioinf.uni-leipzig.de/index.py</w:t>
        </w:r>
      </w:hyperlink>
      <w:r w:rsidRPr="007D6801">
        <w:rPr>
          <w:sz w:val="22"/>
          <w:szCs w:val="22"/>
        </w:rPr>
        <w:t>), using one representative with high coverage (“Sample 11”, Table S1). Protein coding genes are shown in red, ribosomal RNAs (</w:t>
      </w:r>
      <w:proofErr w:type="spellStart"/>
      <w:r w:rsidRPr="007D6801">
        <w:rPr>
          <w:sz w:val="22"/>
          <w:szCs w:val="22"/>
        </w:rPr>
        <w:t>rrn</w:t>
      </w:r>
      <w:proofErr w:type="spellEnd"/>
      <w:r w:rsidRPr="007D6801">
        <w:rPr>
          <w:sz w:val="22"/>
          <w:szCs w:val="22"/>
        </w:rPr>
        <w:t>) in green and transfer RNAs (</w:t>
      </w:r>
      <w:proofErr w:type="spellStart"/>
      <w:r w:rsidRPr="007D6801">
        <w:rPr>
          <w:sz w:val="22"/>
          <w:szCs w:val="22"/>
        </w:rPr>
        <w:t>trn</w:t>
      </w:r>
      <w:proofErr w:type="spellEnd"/>
      <w:r w:rsidRPr="007D6801">
        <w:rPr>
          <w:sz w:val="22"/>
          <w:szCs w:val="22"/>
        </w:rPr>
        <w:t xml:space="preserve">) in blue. The direction of the arrows </w:t>
      </w:r>
      <w:proofErr w:type="gramStart"/>
      <w:r w:rsidRPr="007D6801">
        <w:rPr>
          <w:sz w:val="22"/>
          <w:szCs w:val="22"/>
        </w:rPr>
        <w:t>show</w:t>
      </w:r>
      <w:proofErr w:type="gramEnd"/>
      <w:r w:rsidRPr="007D6801">
        <w:rPr>
          <w:sz w:val="22"/>
          <w:szCs w:val="22"/>
        </w:rPr>
        <w:t xml:space="preserve"> whether the feature is on the plus or minus strand (right plus, left minus; the thickness of the arrows is only for ease of visualisation). The region of the </w:t>
      </w:r>
      <w:proofErr w:type="spellStart"/>
      <w:r w:rsidRPr="007D6801">
        <w:rPr>
          <w:i/>
          <w:sz w:val="22"/>
          <w:szCs w:val="22"/>
        </w:rPr>
        <w:t>numt</w:t>
      </w:r>
      <w:proofErr w:type="spellEnd"/>
      <w:r w:rsidRPr="007D6801">
        <w:rPr>
          <w:sz w:val="22"/>
          <w:szCs w:val="22"/>
        </w:rPr>
        <w:t xml:space="preserve"> is indicated by the dashed box in the bottom </w:t>
      </w:r>
      <w:proofErr w:type="gramStart"/>
      <w:r w:rsidRPr="007D6801">
        <w:rPr>
          <w:sz w:val="22"/>
          <w:szCs w:val="22"/>
        </w:rPr>
        <w:t>panel, and</w:t>
      </w:r>
      <w:proofErr w:type="gramEnd"/>
      <w:r w:rsidRPr="007D6801">
        <w:rPr>
          <w:sz w:val="22"/>
          <w:szCs w:val="22"/>
        </w:rPr>
        <w:t xml:space="preserve"> shown in detail in the top panel.</w:t>
      </w:r>
    </w:p>
    <w:p w14:paraId="65BF4645" w14:textId="5FFFD757" w:rsidR="00583183" w:rsidRPr="007D6801" w:rsidRDefault="00583183" w:rsidP="00583183">
      <w:pPr>
        <w:spacing w:after="120" w:line="360" w:lineRule="auto"/>
        <w:jc w:val="both"/>
      </w:pPr>
      <w:r w:rsidRPr="007D6801">
        <w:rPr>
          <w:noProof/>
        </w:rPr>
        <w:lastRenderedPageBreak/>
        <w:drawing>
          <wp:inline distT="0" distB="0" distL="0" distR="0" wp14:anchorId="308431EA" wp14:editId="5A7BB466">
            <wp:extent cx="5727700" cy="1099820"/>
            <wp:effectExtent l="0" t="0" r="0" b="0"/>
            <wp:docPr id="6" name="Picture" descr="A picture containing sitting, dark, televis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5"/>
                    <a:stretch>
                      <a:fillRect/>
                    </a:stretch>
                  </pic:blipFill>
                  <pic:spPr bwMode="auto">
                    <a:xfrm>
                      <a:off x="0" y="0"/>
                      <a:ext cx="5727700" cy="1099820"/>
                    </a:xfrm>
                    <a:prstGeom prst="rect">
                      <a:avLst/>
                    </a:prstGeom>
                    <a:noFill/>
                    <a:ln w="9525">
                      <a:noFill/>
                      <a:miter lim="800000"/>
                      <a:headEnd/>
                      <a:tailEnd/>
                    </a:ln>
                  </pic:spPr>
                </pic:pic>
              </a:graphicData>
            </a:graphic>
          </wp:inline>
        </w:drawing>
      </w:r>
    </w:p>
    <w:p w14:paraId="75F7AE0A" w14:textId="4152D83D" w:rsidR="00583183" w:rsidRPr="007D6801" w:rsidRDefault="00583183" w:rsidP="00583183">
      <w:pPr>
        <w:spacing w:after="120" w:line="360" w:lineRule="auto"/>
        <w:jc w:val="both"/>
        <w:rPr>
          <w:sz w:val="22"/>
          <w:szCs w:val="22"/>
        </w:rPr>
      </w:pPr>
      <w:r w:rsidRPr="007D6801">
        <w:rPr>
          <w:b/>
          <w:sz w:val="22"/>
          <w:szCs w:val="22"/>
        </w:rPr>
        <w:t>Figure S</w:t>
      </w:r>
      <w:r w:rsidR="002247F6" w:rsidRPr="007D6801">
        <w:rPr>
          <w:b/>
          <w:sz w:val="22"/>
          <w:szCs w:val="22"/>
        </w:rPr>
        <w:t>9</w:t>
      </w:r>
      <w:r w:rsidR="00325365" w:rsidRPr="007D6801">
        <w:rPr>
          <w:b/>
          <w:sz w:val="22"/>
          <w:szCs w:val="22"/>
        </w:rPr>
        <w:t xml:space="preserve"> </w:t>
      </w:r>
      <w:r w:rsidRPr="007D6801">
        <w:rPr>
          <w:bCs/>
          <w:sz w:val="22"/>
          <w:szCs w:val="22"/>
        </w:rPr>
        <w:t>Adapted figure from</w:t>
      </w:r>
      <w:r w:rsidRPr="007D6801">
        <w:rPr>
          <w:b/>
          <w:sz w:val="22"/>
          <w:szCs w:val="22"/>
        </w:rPr>
        <w:t xml:space="preserve"> </w:t>
      </w:r>
      <w:r w:rsidRPr="007D6801">
        <w:rPr>
          <w:sz w:val="22"/>
          <w:szCs w:val="22"/>
        </w:rPr>
        <w:t>Kim et al.</w:t>
      </w:r>
      <w:r w:rsidR="00483B91">
        <w:rPr>
          <w:sz w:val="22"/>
          <w:szCs w:val="22"/>
        </w:rPr>
        <w:fldChar w:fldCharType="begin" w:fldLock="1"/>
      </w:r>
      <w:r w:rsidR="00483B91">
        <w:rPr>
          <w:sz w:val="22"/>
          <w:szCs w:val="22"/>
        </w:rPr>
        <w:instrText>ADDIN CSL_CITATION {"citationItems":[{"id":"ITEM-1","itemData":{"DOI":"10.1016/j.gene.2005.08.023","ISSN":"03781119","abstract":"Translocation of cymtDNA into the nuclear genome, also referred to as numt, has been reported in many species, including several closely related to the domestic cat (Felis catus). We describe the recent transposition of 12,536 bp of the 17 kb mitochondrial genome into the nucleus of the common ancestor of the five Panthera genus species: tiger, P. tigris; snow leopard, P. uncia; jaguar, P. onca; leopard, P. pardus; and lion, P. leo. This nuclear integration, representing 74% of the mitochondrial genome, is one of the largest to be reported in eukaryotes. The Panthera genus numt differs from the numt previously described in the Felis genus in: (1) chromosomal location (F2-telomeric region vs. D2-centromeric region), (2) gene make up (from the ND5 to the ATP8 vs. from the CR to the COII), (3) size (12.5 vs. 7.9 kb), and (4) structure (single monomer vs. tandemly repeated in Felis). These distinctions indicate that the origin of this large numt fragment in the nuclear genome of the Panthera species is an independent insertion from that of the domestic cat lineage, which has been further supported by phylogenetic analyses. The tiger cymtDNA shared around 90% sequence identity with the homologous numt sequence, suggesting an origin for the Panthera numt at around 3.5 million years ago, prior to the radiation of the five extant Panthera species.","author":[{"dropping-particle":"","family":"Kim","given":"Jae Heup","non-dropping-particle":"","parse-names":false,"suffix":""},{"dropping-particle":"","family":"Antunes","given":"Agostinho","non-dropping-particle":"","parse-names":false,"suffix":""},{"dropping-particle":"","family":"Luo","given":"Shu Jin","non-dropping-particle":"","parse-names":false,"suffix":""},{"dropping-particle":"","family":"Menninger","given":"Joan","non-dropping-particle":"","parse-names":false,"suffix":""},{"dropping-particle":"","family":"Nash","given":"William G.","non-dropping-particle":"","parse-names":false,"suffix":""},{"dropping-particle":"","family":"O'Brien","given":"Stephen J.","non-dropping-particle":"","parse-names":false,"suffix":""},{"dropping-particle":"","family":"Johnson","given":"Warren E.","non-dropping-particle":"","parse-names":false,"suffix":""}],"container-title":"Gene","id":"ITEM-1","issue":"2","issued":{"date-parts":[["2006"]]},"page":"292-302","title":"Evolutionary analysis of a large mtDNA translocation (numt) into the nuclear genome of the Panthera genus species","type":"article-journal","volume":"366"},"uris":["http://www.mendeley.com/documents/?uuid=d3cd85ea-e462-4a9d-a0b8-aa354cdc0b8b"]}],"mendeley":{"formattedCitation":"&lt;sup&gt;1&lt;/sup&gt;","plainTextFormattedCitation":"1","previouslyFormattedCitation":"&lt;sup&gt;1&lt;/sup&gt;"},"properties":{"noteIndex":0},"schema":"https://github.com/citation-style-language/schema/raw/master/csl-citation.json"}</w:instrText>
      </w:r>
      <w:r w:rsidR="00483B91">
        <w:rPr>
          <w:sz w:val="22"/>
          <w:szCs w:val="22"/>
        </w:rPr>
        <w:fldChar w:fldCharType="separate"/>
      </w:r>
      <w:r w:rsidR="00483B91" w:rsidRPr="00483B91">
        <w:rPr>
          <w:noProof/>
          <w:sz w:val="22"/>
          <w:szCs w:val="22"/>
          <w:vertAlign w:val="superscript"/>
        </w:rPr>
        <w:t>1</w:t>
      </w:r>
      <w:r w:rsidR="00483B91">
        <w:rPr>
          <w:sz w:val="22"/>
          <w:szCs w:val="22"/>
        </w:rPr>
        <w:fldChar w:fldCharType="end"/>
      </w:r>
      <w:r w:rsidRPr="007D6801">
        <w:rPr>
          <w:sz w:val="22"/>
          <w:szCs w:val="22"/>
        </w:rPr>
        <w:t xml:space="preserve"> showing the location of the </w:t>
      </w:r>
      <w:r w:rsidRPr="007D6801">
        <w:rPr>
          <w:i/>
          <w:iCs/>
          <w:sz w:val="22"/>
          <w:szCs w:val="22"/>
        </w:rPr>
        <w:t xml:space="preserve">P. spelaea </w:t>
      </w:r>
      <w:proofErr w:type="spellStart"/>
      <w:r w:rsidRPr="007D6801">
        <w:rPr>
          <w:i/>
          <w:iCs/>
          <w:sz w:val="22"/>
          <w:szCs w:val="22"/>
        </w:rPr>
        <w:t>numt</w:t>
      </w:r>
      <w:proofErr w:type="spellEnd"/>
      <w:r w:rsidRPr="007D6801">
        <w:rPr>
          <w:sz w:val="22"/>
          <w:szCs w:val="22"/>
        </w:rPr>
        <w:t xml:space="preserve"> compared to the location of the </w:t>
      </w:r>
      <w:r w:rsidRPr="007D6801">
        <w:rPr>
          <w:i/>
          <w:sz w:val="22"/>
          <w:szCs w:val="22"/>
        </w:rPr>
        <w:t xml:space="preserve">P. </w:t>
      </w:r>
      <w:proofErr w:type="spellStart"/>
      <w:r w:rsidRPr="007D6801">
        <w:rPr>
          <w:i/>
          <w:sz w:val="22"/>
          <w:szCs w:val="22"/>
        </w:rPr>
        <w:t>tigris</w:t>
      </w:r>
      <w:proofErr w:type="spellEnd"/>
      <w:r w:rsidRPr="007D6801">
        <w:rPr>
          <w:sz w:val="22"/>
          <w:szCs w:val="22"/>
        </w:rPr>
        <w:t xml:space="preserve"> and </w:t>
      </w:r>
      <w:r w:rsidRPr="007D6801">
        <w:rPr>
          <w:i/>
          <w:sz w:val="22"/>
          <w:szCs w:val="22"/>
        </w:rPr>
        <w:t xml:space="preserve">F. </w:t>
      </w:r>
      <w:proofErr w:type="spellStart"/>
      <w:r w:rsidRPr="007D6801">
        <w:rPr>
          <w:i/>
          <w:sz w:val="22"/>
          <w:szCs w:val="22"/>
        </w:rPr>
        <w:t>catus</w:t>
      </w:r>
      <w:proofErr w:type="spellEnd"/>
      <w:r w:rsidRPr="007D6801">
        <w:rPr>
          <w:sz w:val="22"/>
          <w:szCs w:val="22"/>
        </w:rPr>
        <w:t xml:space="preserve"> ones reported in that study.</w:t>
      </w:r>
    </w:p>
    <w:p w14:paraId="26E87106" w14:textId="52B1680C" w:rsidR="00583183" w:rsidRPr="007D6801" w:rsidRDefault="00583183" w:rsidP="00583183">
      <w:pPr>
        <w:widowControl w:val="0"/>
        <w:spacing w:after="120" w:line="360" w:lineRule="auto"/>
        <w:rPr>
          <w:sz w:val="22"/>
          <w:szCs w:val="22"/>
        </w:rPr>
      </w:pPr>
      <w:bookmarkStart w:id="0" w:name="_gjdgxs"/>
      <w:bookmarkEnd w:id="0"/>
      <w:r w:rsidRPr="007D6801">
        <w:rPr>
          <w:b/>
          <w:sz w:val="22"/>
          <w:szCs w:val="22"/>
        </w:rPr>
        <w:t>Table S1</w:t>
      </w:r>
      <w:r w:rsidRPr="007D6801">
        <w:rPr>
          <w:sz w:val="22"/>
          <w:szCs w:val="22"/>
        </w:rPr>
        <w:t xml:space="preserve"> (Attached) Sample information including location, </w:t>
      </w:r>
      <w:proofErr w:type="spellStart"/>
      <w:r w:rsidRPr="007D6801">
        <w:rPr>
          <w:sz w:val="22"/>
          <w:szCs w:val="22"/>
        </w:rPr>
        <w:t>Genbank</w:t>
      </w:r>
      <w:proofErr w:type="spellEnd"/>
      <w:r w:rsidRPr="007D6801">
        <w:rPr>
          <w:sz w:val="22"/>
          <w:szCs w:val="22"/>
        </w:rPr>
        <w:t xml:space="preserve"> accession number and </w:t>
      </w:r>
      <w:r w:rsidR="00E26861" w:rsidRPr="00426652">
        <w:rPr>
          <w:sz w:val="22"/>
          <w:szCs w:val="22"/>
          <w:vertAlign w:val="superscript"/>
        </w:rPr>
        <w:t>14</w:t>
      </w:r>
      <w:r w:rsidRPr="007D6801">
        <w:rPr>
          <w:sz w:val="22"/>
          <w:szCs w:val="22"/>
        </w:rPr>
        <w:t>C date.</w:t>
      </w:r>
    </w:p>
    <w:p w14:paraId="3E44A7B4" w14:textId="3C8CB958" w:rsidR="00583183" w:rsidRDefault="00583183" w:rsidP="00583183">
      <w:pPr>
        <w:widowControl w:val="0"/>
        <w:spacing w:after="120" w:line="360" w:lineRule="auto"/>
        <w:rPr>
          <w:sz w:val="22"/>
          <w:szCs w:val="22"/>
        </w:rPr>
      </w:pPr>
      <w:r w:rsidRPr="007D6801">
        <w:rPr>
          <w:b/>
          <w:sz w:val="22"/>
          <w:szCs w:val="22"/>
        </w:rPr>
        <w:t>Table S2</w:t>
      </w:r>
      <w:r w:rsidRPr="007D6801">
        <w:rPr>
          <w:sz w:val="22"/>
          <w:szCs w:val="22"/>
        </w:rPr>
        <w:t xml:space="preserve"> (Attached) Prior tip dates used and posterior tip dates recovered in BEAST analysis</w:t>
      </w:r>
    </w:p>
    <w:p w14:paraId="7DAF43AD" w14:textId="77777777" w:rsidR="00600145" w:rsidRDefault="00600145" w:rsidP="00583183">
      <w:pPr>
        <w:widowControl w:val="0"/>
        <w:spacing w:after="120" w:line="360" w:lineRule="auto"/>
        <w:rPr>
          <w:sz w:val="22"/>
          <w:szCs w:val="22"/>
        </w:rPr>
      </w:pPr>
    </w:p>
    <w:p w14:paraId="55AA9C7C" w14:textId="065D9A8F" w:rsidR="00483B91" w:rsidRDefault="00483B91" w:rsidP="00583183">
      <w:pPr>
        <w:widowControl w:val="0"/>
        <w:spacing w:after="120" w:line="360" w:lineRule="auto"/>
        <w:rPr>
          <w:b/>
          <w:bCs/>
          <w:sz w:val="22"/>
          <w:szCs w:val="22"/>
        </w:rPr>
      </w:pPr>
      <w:r w:rsidRPr="00483B91">
        <w:rPr>
          <w:b/>
          <w:bCs/>
          <w:sz w:val="22"/>
          <w:szCs w:val="22"/>
        </w:rPr>
        <w:t>REFERENCES</w:t>
      </w:r>
    </w:p>
    <w:p w14:paraId="4272AA29" w14:textId="10EC9F27" w:rsidR="00600145" w:rsidRPr="00600145" w:rsidRDefault="00483B91" w:rsidP="00600145">
      <w:pPr>
        <w:widowControl w:val="0"/>
        <w:autoSpaceDE w:val="0"/>
        <w:autoSpaceDN w:val="0"/>
        <w:adjustRightInd w:val="0"/>
        <w:spacing w:after="120" w:line="360" w:lineRule="auto"/>
        <w:ind w:left="640" w:hanging="640"/>
        <w:rPr>
          <w:noProof/>
          <w:sz w:val="22"/>
        </w:rPr>
      </w:pPr>
      <w:r>
        <w:rPr>
          <w:b/>
          <w:bCs/>
          <w:sz w:val="22"/>
          <w:szCs w:val="22"/>
        </w:rPr>
        <w:fldChar w:fldCharType="begin" w:fldLock="1"/>
      </w:r>
      <w:r>
        <w:rPr>
          <w:b/>
          <w:bCs/>
          <w:sz w:val="22"/>
          <w:szCs w:val="22"/>
        </w:rPr>
        <w:instrText xml:space="preserve">ADDIN Mendeley Bibliography CSL_BIBLIOGRAPHY </w:instrText>
      </w:r>
      <w:r>
        <w:rPr>
          <w:b/>
          <w:bCs/>
          <w:sz w:val="22"/>
          <w:szCs w:val="22"/>
        </w:rPr>
        <w:fldChar w:fldCharType="separate"/>
      </w:r>
      <w:r w:rsidR="00600145" w:rsidRPr="00600145">
        <w:rPr>
          <w:noProof/>
          <w:sz w:val="22"/>
        </w:rPr>
        <w:t>1.</w:t>
      </w:r>
      <w:r w:rsidR="00600145" w:rsidRPr="00600145">
        <w:rPr>
          <w:noProof/>
          <w:sz w:val="22"/>
        </w:rPr>
        <w:tab/>
        <w:t xml:space="preserve">Kim, J. H. </w:t>
      </w:r>
      <w:r w:rsidR="00600145" w:rsidRPr="00600145">
        <w:rPr>
          <w:i/>
          <w:iCs/>
          <w:noProof/>
          <w:sz w:val="22"/>
        </w:rPr>
        <w:t>et al.</w:t>
      </w:r>
      <w:r w:rsidR="00600145" w:rsidRPr="00600145">
        <w:rPr>
          <w:noProof/>
          <w:sz w:val="22"/>
        </w:rPr>
        <w:t xml:space="preserve"> Evolutionary analysis of a large mtDNA translocation (numt) into the nuclear genome of the </w:t>
      </w:r>
      <w:r w:rsidR="00600145" w:rsidRPr="00600145">
        <w:rPr>
          <w:i/>
          <w:iCs/>
          <w:noProof/>
          <w:sz w:val="22"/>
        </w:rPr>
        <w:t xml:space="preserve">Panthera genus </w:t>
      </w:r>
      <w:r w:rsidR="00600145" w:rsidRPr="00600145">
        <w:rPr>
          <w:noProof/>
          <w:sz w:val="22"/>
        </w:rPr>
        <w:t xml:space="preserve">species. </w:t>
      </w:r>
      <w:r w:rsidR="00600145" w:rsidRPr="00600145">
        <w:rPr>
          <w:i/>
          <w:iCs/>
          <w:noProof/>
          <w:sz w:val="22"/>
        </w:rPr>
        <w:t>Gene</w:t>
      </w:r>
      <w:r w:rsidR="00600145" w:rsidRPr="00600145">
        <w:rPr>
          <w:noProof/>
          <w:sz w:val="22"/>
        </w:rPr>
        <w:t xml:space="preserve"> </w:t>
      </w:r>
      <w:r w:rsidR="00600145" w:rsidRPr="00600145">
        <w:rPr>
          <w:b/>
          <w:bCs/>
          <w:noProof/>
          <w:sz w:val="22"/>
        </w:rPr>
        <w:t>366</w:t>
      </w:r>
      <w:r w:rsidR="00600145" w:rsidRPr="00600145">
        <w:rPr>
          <w:noProof/>
          <w:sz w:val="22"/>
        </w:rPr>
        <w:t>, 292–302 (2006).</w:t>
      </w:r>
    </w:p>
    <w:p w14:paraId="43F6B42F" w14:textId="77777777" w:rsidR="00600145" w:rsidRPr="00600145" w:rsidRDefault="00600145" w:rsidP="00600145">
      <w:pPr>
        <w:widowControl w:val="0"/>
        <w:autoSpaceDE w:val="0"/>
        <w:autoSpaceDN w:val="0"/>
        <w:adjustRightInd w:val="0"/>
        <w:spacing w:after="120" w:line="360" w:lineRule="auto"/>
        <w:ind w:left="640" w:hanging="640"/>
        <w:rPr>
          <w:noProof/>
          <w:sz w:val="22"/>
        </w:rPr>
      </w:pPr>
      <w:r w:rsidRPr="00600145">
        <w:rPr>
          <w:noProof/>
          <w:sz w:val="22"/>
        </w:rPr>
        <w:t>2.</w:t>
      </w:r>
      <w:r w:rsidRPr="00600145">
        <w:rPr>
          <w:noProof/>
          <w:sz w:val="22"/>
        </w:rPr>
        <w:tab/>
        <w:t xml:space="preserve">Barnett, R. </w:t>
      </w:r>
      <w:r w:rsidRPr="00600145">
        <w:rPr>
          <w:i/>
          <w:iCs/>
          <w:noProof/>
          <w:sz w:val="22"/>
        </w:rPr>
        <w:t>et al.</w:t>
      </w:r>
      <w:r w:rsidRPr="00600145">
        <w:rPr>
          <w:noProof/>
          <w:sz w:val="22"/>
        </w:rPr>
        <w:t xml:space="preserve"> Mitogenomics of the extinct cave lion, </w:t>
      </w:r>
      <w:r w:rsidRPr="00600145">
        <w:rPr>
          <w:i/>
          <w:iCs/>
          <w:noProof/>
          <w:sz w:val="22"/>
        </w:rPr>
        <w:t>Panthera spelaea</w:t>
      </w:r>
      <w:r w:rsidRPr="00600145">
        <w:rPr>
          <w:noProof/>
          <w:sz w:val="22"/>
        </w:rPr>
        <w:t xml:space="preserve"> (Goldfuss, 1810), resolve its position within the panthera cats. </w:t>
      </w:r>
      <w:r w:rsidRPr="00600145">
        <w:rPr>
          <w:i/>
          <w:iCs/>
          <w:noProof/>
          <w:sz w:val="22"/>
        </w:rPr>
        <w:t>Open Quat.</w:t>
      </w:r>
      <w:r w:rsidRPr="00600145">
        <w:rPr>
          <w:noProof/>
          <w:sz w:val="22"/>
        </w:rPr>
        <w:t xml:space="preserve"> </w:t>
      </w:r>
      <w:r w:rsidRPr="00600145">
        <w:rPr>
          <w:b/>
          <w:bCs/>
          <w:noProof/>
          <w:sz w:val="22"/>
        </w:rPr>
        <w:t>2</w:t>
      </w:r>
      <w:r w:rsidRPr="00600145">
        <w:rPr>
          <w:noProof/>
          <w:sz w:val="22"/>
        </w:rPr>
        <w:t>, 1–11 (2016).</w:t>
      </w:r>
    </w:p>
    <w:p w14:paraId="6A6B4397" w14:textId="77777777" w:rsidR="00600145" w:rsidRPr="00600145" w:rsidRDefault="00600145" w:rsidP="00600145">
      <w:pPr>
        <w:widowControl w:val="0"/>
        <w:autoSpaceDE w:val="0"/>
        <w:autoSpaceDN w:val="0"/>
        <w:adjustRightInd w:val="0"/>
        <w:spacing w:after="120" w:line="360" w:lineRule="auto"/>
        <w:ind w:left="640" w:hanging="640"/>
        <w:rPr>
          <w:noProof/>
          <w:sz w:val="22"/>
        </w:rPr>
      </w:pPr>
      <w:r w:rsidRPr="00600145">
        <w:rPr>
          <w:noProof/>
          <w:sz w:val="22"/>
        </w:rPr>
        <w:t>3.</w:t>
      </w:r>
      <w:r w:rsidRPr="00600145">
        <w:rPr>
          <w:noProof/>
          <w:sz w:val="22"/>
        </w:rPr>
        <w:tab/>
        <w:t xml:space="preserve">Samaniego Castruita, J. A., Zepeda Mendoza, M. L., Barnett, R., Wales, N. &amp; Gilbert, M. T. P. Odintifier - A computational method for identifying insertions of organellar origin from modern and ancient high-throughput sequencing data based on haplotype phasing. </w:t>
      </w:r>
      <w:r w:rsidRPr="00600145">
        <w:rPr>
          <w:i/>
          <w:iCs/>
          <w:noProof/>
          <w:sz w:val="22"/>
        </w:rPr>
        <w:t>BMC Bioinformatics</w:t>
      </w:r>
      <w:r w:rsidRPr="00600145">
        <w:rPr>
          <w:noProof/>
          <w:sz w:val="22"/>
        </w:rPr>
        <w:t xml:space="preserve"> </w:t>
      </w:r>
      <w:r w:rsidRPr="00600145">
        <w:rPr>
          <w:b/>
          <w:bCs/>
          <w:noProof/>
          <w:sz w:val="22"/>
        </w:rPr>
        <w:t>16</w:t>
      </w:r>
      <w:r w:rsidRPr="00600145">
        <w:rPr>
          <w:noProof/>
          <w:sz w:val="22"/>
        </w:rPr>
        <w:t>, 1–13 (2015).</w:t>
      </w:r>
    </w:p>
    <w:p w14:paraId="300CF3DD" w14:textId="77777777" w:rsidR="00600145" w:rsidRPr="00600145" w:rsidRDefault="00600145" w:rsidP="00600145">
      <w:pPr>
        <w:widowControl w:val="0"/>
        <w:autoSpaceDE w:val="0"/>
        <w:autoSpaceDN w:val="0"/>
        <w:adjustRightInd w:val="0"/>
        <w:spacing w:after="120" w:line="360" w:lineRule="auto"/>
        <w:ind w:left="640" w:hanging="640"/>
        <w:rPr>
          <w:noProof/>
          <w:sz w:val="22"/>
        </w:rPr>
      </w:pPr>
      <w:r w:rsidRPr="00600145">
        <w:rPr>
          <w:noProof/>
          <w:sz w:val="22"/>
        </w:rPr>
        <w:t>4.</w:t>
      </w:r>
      <w:r w:rsidRPr="00600145">
        <w:rPr>
          <w:noProof/>
          <w:sz w:val="22"/>
        </w:rPr>
        <w:tab/>
        <w:t xml:space="preserve">Bertola, L. D. </w:t>
      </w:r>
      <w:r w:rsidRPr="00600145">
        <w:rPr>
          <w:i/>
          <w:iCs/>
          <w:noProof/>
          <w:sz w:val="22"/>
        </w:rPr>
        <w:t>et al.</w:t>
      </w:r>
      <w:r w:rsidRPr="00600145">
        <w:rPr>
          <w:noProof/>
          <w:sz w:val="22"/>
        </w:rPr>
        <w:t xml:space="preserve"> Phylogeographic Patterns in Africa and High Resolution Delineation of Genetic Clades in the Lion (</w:t>
      </w:r>
      <w:r w:rsidRPr="00600145">
        <w:rPr>
          <w:i/>
          <w:iCs/>
          <w:noProof/>
          <w:sz w:val="22"/>
        </w:rPr>
        <w:t>Panthera leo</w:t>
      </w:r>
      <w:r w:rsidRPr="00600145">
        <w:rPr>
          <w:noProof/>
          <w:sz w:val="22"/>
        </w:rPr>
        <w:t xml:space="preserve">). </w:t>
      </w:r>
      <w:r w:rsidRPr="00600145">
        <w:rPr>
          <w:i/>
          <w:iCs/>
          <w:noProof/>
          <w:sz w:val="22"/>
        </w:rPr>
        <w:t>Sci. Rep.</w:t>
      </w:r>
      <w:r w:rsidRPr="00600145">
        <w:rPr>
          <w:noProof/>
          <w:sz w:val="22"/>
        </w:rPr>
        <w:t xml:space="preserve"> </w:t>
      </w:r>
      <w:r w:rsidRPr="00600145">
        <w:rPr>
          <w:b/>
          <w:bCs/>
          <w:noProof/>
          <w:sz w:val="22"/>
        </w:rPr>
        <w:t>6</w:t>
      </w:r>
      <w:r w:rsidRPr="00600145">
        <w:rPr>
          <w:noProof/>
          <w:sz w:val="22"/>
        </w:rPr>
        <w:t>, 1–11 (2016).</w:t>
      </w:r>
    </w:p>
    <w:p w14:paraId="7BF4305C" w14:textId="77777777" w:rsidR="00600145" w:rsidRPr="00600145" w:rsidRDefault="00600145" w:rsidP="00600145">
      <w:pPr>
        <w:widowControl w:val="0"/>
        <w:autoSpaceDE w:val="0"/>
        <w:autoSpaceDN w:val="0"/>
        <w:adjustRightInd w:val="0"/>
        <w:spacing w:after="120" w:line="360" w:lineRule="auto"/>
        <w:ind w:left="640" w:hanging="640"/>
        <w:rPr>
          <w:noProof/>
          <w:sz w:val="22"/>
        </w:rPr>
      </w:pPr>
      <w:r w:rsidRPr="00600145">
        <w:rPr>
          <w:noProof/>
          <w:sz w:val="22"/>
        </w:rPr>
        <w:t>5.</w:t>
      </w:r>
      <w:r w:rsidRPr="00600145">
        <w:rPr>
          <w:noProof/>
          <w:sz w:val="22"/>
        </w:rPr>
        <w:tab/>
        <w:t xml:space="preserve">Barnett, R. </w:t>
      </w:r>
      <w:r w:rsidRPr="00600145">
        <w:rPr>
          <w:i/>
          <w:iCs/>
          <w:noProof/>
          <w:sz w:val="22"/>
        </w:rPr>
        <w:t>et al.</w:t>
      </w:r>
      <w:r w:rsidRPr="00600145">
        <w:rPr>
          <w:noProof/>
          <w:sz w:val="22"/>
        </w:rPr>
        <w:t xml:space="preserve"> Revealing the maternal demographic history of Panthera leo using ancient DNA and a spatially explicit genealogical analysis. </w:t>
      </w:r>
      <w:r w:rsidRPr="00600145">
        <w:rPr>
          <w:i/>
          <w:iCs/>
          <w:noProof/>
          <w:sz w:val="22"/>
        </w:rPr>
        <w:t>BMC Evol. Biol.</w:t>
      </w:r>
      <w:r w:rsidRPr="00600145">
        <w:rPr>
          <w:noProof/>
          <w:sz w:val="22"/>
        </w:rPr>
        <w:t xml:space="preserve"> </w:t>
      </w:r>
      <w:r w:rsidRPr="00600145">
        <w:rPr>
          <w:b/>
          <w:bCs/>
          <w:noProof/>
          <w:sz w:val="22"/>
        </w:rPr>
        <w:t>14</w:t>
      </w:r>
      <w:r w:rsidRPr="00600145">
        <w:rPr>
          <w:noProof/>
          <w:sz w:val="22"/>
        </w:rPr>
        <w:t>, (2014).</w:t>
      </w:r>
    </w:p>
    <w:p w14:paraId="61F039C6" w14:textId="77777777" w:rsidR="00600145" w:rsidRPr="00600145" w:rsidRDefault="00600145" w:rsidP="00600145">
      <w:pPr>
        <w:widowControl w:val="0"/>
        <w:autoSpaceDE w:val="0"/>
        <w:autoSpaceDN w:val="0"/>
        <w:adjustRightInd w:val="0"/>
        <w:spacing w:after="120" w:line="360" w:lineRule="auto"/>
        <w:ind w:left="640" w:hanging="640"/>
        <w:rPr>
          <w:noProof/>
          <w:sz w:val="22"/>
        </w:rPr>
      </w:pPr>
      <w:r w:rsidRPr="00600145">
        <w:rPr>
          <w:noProof/>
          <w:sz w:val="22"/>
        </w:rPr>
        <w:t>6.</w:t>
      </w:r>
      <w:r w:rsidRPr="00600145">
        <w:rPr>
          <w:noProof/>
          <w:sz w:val="22"/>
        </w:rPr>
        <w:tab/>
        <w:t xml:space="preserve">Ho, S. Y. W. </w:t>
      </w:r>
      <w:r w:rsidRPr="00600145">
        <w:rPr>
          <w:i/>
          <w:iCs/>
          <w:noProof/>
          <w:sz w:val="22"/>
        </w:rPr>
        <w:t>et al.</w:t>
      </w:r>
      <w:r w:rsidRPr="00600145">
        <w:rPr>
          <w:noProof/>
          <w:sz w:val="22"/>
        </w:rPr>
        <w:t xml:space="preserve"> Bayesian estimation of substitution rates from ancient DNA sequences with low information content. </w:t>
      </w:r>
      <w:r w:rsidRPr="00600145">
        <w:rPr>
          <w:i/>
          <w:iCs/>
          <w:noProof/>
          <w:sz w:val="22"/>
        </w:rPr>
        <w:t>Systematic Biology</w:t>
      </w:r>
      <w:r w:rsidRPr="00600145">
        <w:rPr>
          <w:noProof/>
          <w:sz w:val="22"/>
        </w:rPr>
        <w:t xml:space="preserve"> </w:t>
      </w:r>
      <w:r w:rsidRPr="00600145">
        <w:rPr>
          <w:b/>
          <w:bCs/>
          <w:noProof/>
          <w:sz w:val="22"/>
        </w:rPr>
        <w:t>60</w:t>
      </w:r>
      <w:r w:rsidRPr="00600145">
        <w:rPr>
          <w:noProof/>
          <w:sz w:val="22"/>
        </w:rPr>
        <w:t>, 366–375 (2011).</w:t>
      </w:r>
    </w:p>
    <w:p w14:paraId="4FFF1825" w14:textId="1D3605E4" w:rsidR="00483B91" w:rsidRPr="00483B91" w:rsidRDefault="00483B91" w:rsidP="00600145">
      <w:pPr>
        <w:widowControl w:val="0"/>
        <w:autoSpaceDE w:val="0"/>
        <w:autoSpaceDN w:val="0"/>
        <w:adjustRightInd w:val="0"/>
        <w:spacing w:after="120" w:line="360" w:lineRule="auto"/>
        <w:rPr>
          <w:b/>
          <w:bCs/>
          <w:sz w:val="22"/>
          <w:szCs w:val="22"/>
        </w:rPr>
      </w:pPr>
      <w:r>
        <w:rPr>
          <w:b/>
          <w:bCs/>
          <w:sz w:val="22"/>
          <w:szCs w:val="22"/>
        </w:rPr>
        <w:fldChar w:fldCharType="end"/>
      </w:r>
    </w:p>
    <w:sectPr w:rsidR="00483B91" w:rsidRPr="00483B91" w:rsidSect="00426652">
      <w:pgSz w:w="11900" w:h="16840"/>
      <w:pgMar w:top="1440" w:right="1440" w:bottom="1440" w:left="1440"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83"/>
    <w:rsid w:val="00002EB7"/>
    <w:rsid w:val="000C4F24"/>
    <w:rsid w:val="00134ED4"/>
    <w:rsid w:val="001E2370"/>
    <w:rsid w:val="001E258B"/>
    <w:rsid w:val="002247F6"/>
    <w:rsid w:val="002B1CBC"/>
    <w:rsid w:val="00325365"/>
    <w:rsid w:val="003543ED"/>
    <w:rsid w:val="00426652"/>
    <w:rsid w:val="00483B91"/>
    <w:rsid w:val="00583183"/>
    <w:rsid w:val="00597525"/>
    <w:rsid w:val="00597743"/>
    <w:rsid w:val="00597DA4"/>
    <w:rsid w:val="005D5169"/>
    <w:rsid w:val="005F0C45"/>
    <w:rsid w:val="00600145"/>
    <w:rsid w:val="006873D8"/>
    <w:rsid w:val="00703281"/>
    <w:rsid w:val="007D6801"/>
    <w:rsid w:val="007F2FED"/>
    <w:rsid w:val="008724E4"/>
    <w:rsid w:val="008D5720"/>
    <w:rsid w:val="00955238"/>
    <w:rsid w:val="009F1B08"/>
    <w:rsid w:val="00A02A7C"/>
    <w:rsid w:val="00A71519"/>
    <w:rsid w:val="00A96EC4"/>
    <w:rsid w:val="00AC7866"/>
    <w:rsid w:val="00B93587"/>
    <w:rsid w:val="00BD3E68"/>
    <w:rsid w:val="00C11F4E"/>
    <w:rsid w:val="00C56F59"/>
    <w:rsid w:val="00C7042D"/>
    <w:rsid w:val="00DA124E"/>
    <w:rsid w:val="00DA34EC"/>
    <w:rsid w:val="00DC12A2"/>
    <w:rsid w:val="00E11DC3"/>
    <w:rsid w:val="00E259AC"/>
    <w:rsid w:val="00E26861"/>
    <w:rsid w:val="00E31E68"/>
    <w:rsid w:val="00E35001"/>
    <w:rsid w:val="00F717C1"/>
    <w:rsid w:val="00FB5B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AF8F"/>
  <w15:chartTrackingRefBased/>
  <w15:docId w15:val="{1386EB76-9D8A-4E4E-8D66-6B91E83B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183"/>
    <w:pPr>
      <w:suppressAutoHyphens/>
    </w:pPr>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uiPriority w:val="99"/>
    <w:unhideWhenUsed/>
    <w:rsid w:val="00583183"/>
    <w:rPr>
      <w:color w:val="0000FF"/>
      <w:u w:val="single"/>
    </w:rPr>
  </w:style>
  <w:style w:type="character" w:styleId="LineNumber">
    <w:name w:val="line number"/>
    <w:basedOn w:val="DefaultParagraphFont"/>
    <w:uiPriority w:val="99"/>
    <w:semiHidden/>
    <w:unhideWhenUsed/>
    <w:rsid w:val="00583183"/>
  </w:style>
  <w:style w:type="paragraph" w:styleId="BalloonText">
    <w:name w:val="Balloon Text"/>
    <w:basedOn w:val="Normal"/>
    <w:link w:val="BalloonTextChar"/>
    <w:uiPriority w:val="99"/>
    <w:semiHidden/>
    <w:unhideWhenUsed/>
    <w:rsid w:val="00583183"/>
    <w:rPr>
      <w:sz w:val="18"/>
      <w:szCs w:val="18"/>
    </w:rPr>
  </w:style>
  <w:style w:type="character" w:customStyle="1" w:styleId="BalloonTextChar">
    <w:name w:val="Balloon Text Char"/>
    <w:basedOn w:val="DefaultParagraphFont"/>
    <w:link w:val="BalloonText"/>
    <w:uiPriority w:val="99"/>
    <w:semiHidden/>
    <w:rsid w:val="00583183"/>
    <w:rPr>
      <w:rFonts w:ascii="Times New Roman" w:eastAsia="Times New Roman" w:hAnsi="Times New Roman" w:cs="Times New Roman"/>
      <w:sz w:val="18"/>
      <w:szCs w:val="18"/>
      <w:lang w:eastAsia="en-GB"/>
    </w:rPr>
  </w:style>
  <w:style w:type="character" w:customStyle="1" w:styleId="bidi">
    <w:name w:val="bidi"/>
    <w:basedOn w:val="DefaultParagraphFont"/>
    <w:uiPriority w:val="99"/>
    <w:qFormat/>
    <w:rsid w:val="00DA12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2767235">
      <w:bodyDiv w:val="1"/>
      <w:marLeft w:val="0"/>
      <w:marRight w:val="0"/>
      <w:marTop w:val="0"/>
      <w:marBottom w:val="0"/>
      <w:divBdr>
        <w:top w:val="none" w:sz="0" w:space="0" w:color="auto"/>
        <w:left w:val="none" w:sz="0" w:space="0" w:color="auto"/>
        <w:bottom w:val="none" w:sz="0" w:space="0" w:color="auto"/>
        <w:right w:val="none" w:sz="0" w:space="0" w:color="auto"/>
      </w:divBdr>
    </w:div>
    <w:div w:id="629627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ettings" Target="settings.xml"/><Relationship Id="rId7" Type="http://schemas.openxmlformats.org/officeDocument/2006/relationships/image" Target="media/image2.emf"/><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mitos.bioinf.uni-leipzig.de/index.py" TargetMode="External"/><Relationship Id="rId15" Type="http://schemas.openxmlformats.org/officeDocument/2006/relationships/image" Target="media/image9.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mitos.bioinf.uni-leipzig.de/index.p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file>

<file path=customXml/itemProps1.xml><?xml version="1.0" encoding="utf-8"?>
<ds:datastoreItem xmlns:ds="http://schemas.openxmlformats.org/officeDocument/2006/customXml" ds:itemID="{048C42C8-4304-D047-9F9A-A4FF8AE852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7301</Words>
  <Characters>41616</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Stanton</dc:creator>
  <cp:keywords/>
  <dc:description/>
  <cp:lastModifiedBy>David Stanton</cp:lastModifiedBy>
  <cp:revision>3</cp:revision>
  <dcterms:created xsi:type="dcterms:W3CDTF">2020-07-02T11:38:00Z</dcterms:created>
  <dcterms:modified xsi:type="dcterms:W3CDTF">2020-07-02T11:39:00Z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http://www.zotero.org/styles/chicago-author-date</vt:lpwstr>
  </property>
  <property fmtid="{D5CDD505-2E9C-101B-9397-08002B2CF9AE}" pid="5" name="Mendeley Recent Style Name 1_1">
    <vt:lpwstr>Chicago Manual of Style 17th edition (author-date)</vt:lpwstr>
  </property>
  <property fmtid="{D5CDD505-2E9C-101B-9397-08002B2CF9AE}" pid="6" name="Mendeley Recent Style Id 2_1">
    <vt:lpwstr>http://www.zotero.org/styles/harvard-cite-them-right</vt:lpwstr>
  </property>
  <property fmtid="{D5CDD505-2E9C-101B-9397-08002B2CF9AE}" pid="7" name="Mendeley Recent Style Name 2_1">
    <vt:lpwstr>Cite Them Right 10th edition - Harvard</vt:lpwstr>
  </property>
  <property fmtid="{D5CDD505-2E9C-101B-9397-08002B2CF9AE}" pid="8" name="Mendeley Recent Style Id 3_1">
    <vt:lpwstr>http://www.zotero.org/styles/harvard1</vt:lpwstr>
  </property>
  <property fmtid="{D5CDD505-2E9C-101B-9397-08002B2CF9AE}" pid="9" name="Mendeley Recent Style Name 3_1">
    <vt:lpwstr>Harvard reference format 1 (deprecated)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http://www.zotero.org/styles/scientific-reports</vt:lpwstr>
  </property>
  <property fmtid="{D5CDD505-2E9C-101B-9397-08002B2CF9AE}" pid="17" name="Mendeley Recent Style Name 7_1">
    <vt:lpwstr>Scientific Reports</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http://csl.mendeley.com/styles/13896613/vancouver-2</vt:lpwstr>
  </property>
  <property fmtid="{D5CDD505-2E9C-101B-9397-08002B2CF9AE}" pid="21" name="Mendeley Recent Style Name 9_1">
    <vt:lpwstr>Vancouver - Dave Stanton</vt:lpwstr>
  </property>
  <property fmtid="{D5CDD505-2E9C-101B-9397-08002B2CF9AE}" pid="22" name="Mendeley Document_1">
    <vt:lpwstr>True</vt:lpwstr>
  </property>
  <property fmtid="{D5CDD505-2E9C-101B-9397-08002B2CF9AE}" pid="23" name="Mendeley Unique User Id_1">
    <vt:lpwstr>770bcbb3-9199-3d0e-afe2-d81dc3c88bd8</vt:lpwstr>
  </property>
  <property fmtid="{D5CDD505-2E9C-101B-9397-08002B2CF9AE}" pid="24" name="Mendeley Citation Style_1">
    <vt:lpwstr>http://www.zotero.org/styles/scientific-reports</vt:lpwstr>
  </property>
</Properties>
</file>