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B4380" w14:textId="77777777" w:rsidR="008C083A" w:rsidRPr="00F975E9" w:rsidRDefault="008C083A" w:rsidP="008C083A">
      <w:pPr>
        <w:jc w:val="left"/>
        <w:rPr>
          <w:sz w:val="32"/>
          <w:szCs w:val="24"/>
          <w:lang w:val="en-GB"/>
        </w:rPr>
      </w:pPr>
      <w:r w:rsidRPr="00F975E9">
        <w:rPr>
          <w:b/>
          <w:sz w:val="32"/>
          <w:szCs w:val="24"/>
          <w:lang w:val="en-GB"/>
        </w:rPr>
        <w:t>Noise Suppression Beyond the Thermal Limit with Nanotransistor Biosensors</w:t>
      </w:r>
    </w:p>
    <w:p w14:paraId="349948B1" w14:textId="77777777" w:rsidR="004202FC" w:rsidRPr="004202FC" w:rsidRDefault="004202FC" w:rsidP="004202FC">
      <w:pPr>
        <w:jc w:val="left"/>
        <w:rPr>
          <w:lang w:val="en-US"/>
        </w:rPr>
      </w:pPr>
      <w:r w:rsidRPr="004202FC">
        <w:rPr>
          <w:lang w:val="en-US"/>
        </w:rPr>
        <w:t>Yurii Kutovyi</w:t>
      </w:r>
      <w:r w:rsidRPr="004202FC">
        <w:rPr>
          <w:vertAlign w:val="superscript"/>
          <w:lang w:val="en-US"/>
        </w:rPr>
        <w:t>1</w:t>
      </w:r>
      <w:r w:rsidRPr="00496226">
        <w:rPr>
          <w:vertAlign w:val="superscript"/>
          <w:lang w:val="en-US"/>
        </w:rPr>
        <w:t>λ</w:t>
      </w:r>
      <w:r w:rsidRPr="004202FC">
        <w:rPr>
          <w:lang w:val="en-US"/>
        </w:rPr>
        <w:t>, Ignacio Madrid</w:t>
      </w:r>
      <w:r w:rsidRPr="004202FC">
        <w:rPr>
          <w:vertAlign w:val="superscript"/>
          <w:lang w:val="en-US"/>
        </w:rPr>
        <w:t>2</w:t>
      </w:r>
      <w:r w:rsidRPr="00496226">
        <w:rPr>
          <w:vertAlign w:val="superscript"/>
          <w:lang w:val="en-US"/>
        </w:rPr>
        <w:t>λ</w:t>
      </w:r>
      <w:r w:rsidRPr="004202FC">
        <w:rPr>
          <w:lang w:val="en-US"/>
        </w:rPr>
        <w:t>, Ihor Zadorozhnyi</w:t>
      </w:r>
      <w:r w:rsidRPr="004202FC">
        <w:rPr>
          <w:vertAlign w:val="superscript"/>
          <w:lang w:val="en-US"/>
        </w:rPr>
        <w:t>1</w:t>
      </w:r>
      <w:r w:rsidRPr="00496226">
        <w:rPr>
          <w:vertAlign w:val="superscript"/>
          <w:lang w:val="en-US"/>
        </w:rPr>
        <w:t>λ</w:t>
      </w:r>
      <w:r w:rsidRPr="004202FC">
        <w:rPr>
          <w:lang w:val="en-US"/>
        </w:rPr>
        <w:t>, Nazarii Boichuk</w:t>
      </w:r>
      <w:r w:rsidRPr="004202FC">
        <w:rPr>
          <w:vertAlign w:val="superscript"/>
          <w:lang w:val="en-US"/>
        </w:rPr>
        <w:t>1</w:t>
      </w:r>
      <w:r w:rsidRPr="004202FC">
        <w:rPr>
          <w:lang w:val="en-US"/>
        </w:rPr>
        <w:t>, Soo Hyeon Kim</w:t>
      </w:r>
      <w:r w:rsidRPr="004202FC">
        <w:rPr>
          <w:vertAlign w:val="superscript"/>
          <w:lang w:val="en-US"/>
        </w:rPr>
        <w:t>2</w:t>
      </w:r>
      <w:r w:rsidRPr="004202FC">
        <w:rPr>
          <w:lang w:val="en-US"/>
        </w:rPr>
        <w:t>, Teruo Fujii</w:t>
      </w:r>
      <w:r w:rsidRPr="004202FC">
        <w:rPr>
          <w:vertAlign w:val="superscript"/>
          <w:lang w:val="en-US"/>
        </w:rPr>
        <w:t>2</w:t>
      </w:r>
      <w:r w:rsidRPr="004202FC">
        <w:rPr>
          <w:lang w:val="en-US"/>
        </w:rPr>
        <w:t>, Laurent Jalabert</w:t>
      </w:r>
      <w:r w:rsidRPr="004202FC">
        <w:rPr>
          <w:vertAlign w:val="superscript"/>
          <w:lang w:val="en-US"/>
        </w:rPr>
        <w:t>2</w:t>
      </w:r>
      <w:r w:rsidRPr="004202FC">
        <w:rPr>
          <w:lang w:val="en-US"/>
        </w:rPr>
        <w:t>, Andreas Offenhaeusser</w:t>
      </w:r>
      <w:r w:rsidRPr="004202FC">
        <w:rPr>
          <w:vertAlign w:val="superscript"/>
          <w:lang w:val="en-US"/>
        </w:rPr>
        <w:t>1</w:t>
      </w:r>
      <w:r w:rsidRPr="004202FC">
        <w:rPr>
          <w:lang w:val="en-US"/>
        </w:rPr>
        <w:t>, Svetlana Vitusevich</w:t>
      </w:r>
      <w:r w:rsidRPr="004202FC">
        <w:rPr>
          <w:vertAlign w:val="superscript"/>
          <w:lang w:val="en-US"/>
        </w:rPr>
        <w:t>1</w:t>
      </w:r>
      <w:r w:rsidRPr="004202FC">
        <w:rPr>
          <w:vertAlign w:val="subscript"/>
          <w:lang w:val="en-US"/>
        </w:rPr>
        <w:t>,</w:t>
      </w:r>
      <w:r w:rsidRPr="004202FC">
        <w:rPr>
          <w:lang w:val="en-US"/>
        </w:rPr>
        <w:t xml:space="preserve"> and Nicolas Clément</w:t>
      </w:r>
      <w:r w:rsidRPr="004202FC">
        <w:rPr>
          <w:vertAlign w:val="superscript"/>
          <w:lang w:val="en-US"/>
        </w:rPr>
        <w:t>2*</w:t>
      </w:r>
    </w:p>
    <w:p w14:paraId="77868B6F" w14:textId="77777777" w:rsidR="004202FC" w:rsidRPr="00496226" w:rsidRDefault="004202FC" w:rsidP="004202FC">
      <w:pPr>
        <w:jc w:val="left"/>
        <w:rPr>
          <w:lang w:val="de-DE"/>
        </w:rPr>
      </w:pPr>
      <w:r w:rsidRPr="00496226">
        <w:rPr>
          <w:vertAlign w:val="superscript"/>
          <w:lang w:val="de-DE"/>
        </w:rPr>
        <w:t>1</w:t>
      </w:r>
      <w:r w:rsidRPr="00496226">
        <w:rPr>
          <w:lang w:val="de-DE"/>
        </w:rPr>
        <w:t xml:space="preserve"> Bioelectronics (</w:t>
      </w:r>
      <w:r>
        <w:rPr>
          <w:lang w:val="de-DE"/>
        </w:rPr>
        <w:t>IBI-3</w:t>
      </w:r>
      <w:r w:rsidRPr="00496226">
        <w:rPr>
          <w:lang w:val="de-DE"/>
        </w:rPr>
        <w:t>), Forschungszentrum Jülich, 52425 Jülich, Germany</w:t>
      </w:r>
    </w:p>
    <w:p w14:paraId="7FA0190E" w14:textId="77777777" w:rsidR="004202FC" w:rsidRPr="00496226" w:rsidRDefault="004202FC" w:rsidP="004202FC">
      <w:pPr>
        <w:jc w:val="left"/>
        <w:rPr>
          <w:lang w:val="en-US"/>
        </w:rPr>
      </w:pPr>
      <w:r w:rsidRPr="00496226">
        <w:rPr>
          <w:vertAlign w:val="superscript"/>
          <w:lang w:val="en-US"/>
        </w:rPr>
        <w:t>2</w:t>
      </w:r>
      <w:r w:rsidRPr="00496226">
        <w:rPr>
          <w:lang w:val="en-US"/>
        </w:rPr>
        <w:t xml:space="preserve"> LIMMS-CNRS/IIS, Institute of Industrial Science, the University of Tokyo, 153–8505</w:t>
      </w:r>
      <w:r>
        <w:rPr>
          <w:lang w:val="en-US"/>
        </w:rPr>
        <w:t xml:space="preserve"> </w:t>
      </w:r>
      <w:r w:rsidRPr="00496226">
        <w:rPr>
          <w:lang w:val="en-US"/>
        </w:rPr>
        <w:t>Tokyo, Japan</w:t>
      </w:r>
    </w:p>
    <w:p w14:paraId="7E72FAB6" w14:textId="77777777" w:rsidR="008C083A" w:rsidRPr="00F975E9" w:rsidRDefault="008C083A" w:rsidP="008C083A">
      <w:pPr>
        <w:jc w:val="left"/>
        <w:rPr>
          <w:lang w:val="en-GB"/>
        </w:rPr>
      </w:pPr>
      <w:r w:rsidRPr="00F975E9">
        <w:rPr>
          <w:vertAlign w:val="superscript"/>
          <w:lang w:val="en-GB"/>
        </w:rPr>
        <w:t>*</w:t>
      </w:r>
      <w:r w:rsidRPr="00F975E9">
        <w:rPr>
          <w:lang w:val="en-GB"/>
        </w:rPr>
        <w:t xml:space="preserve"> Corresponding author</w:t>
      </w:r>
      <w:r>
        <w:rPr>
          <w:lang w:val="en-GB"/>
        </w:rPr>
        <w:t>s</w:t>
      </w:r>
      <w:r w:rsidRPr="00F975E9">
        <w:rPr>
          <w:lang w:val="en-GB"/>
        </w:rPr>
        <w:t xml:space="preserve"> (email</w:t>
      </w:r>
      <w:r>
        <w:rPr>
          <w:lang w:val="en-GB"/>
        </w:rPr>
        <w:t>s</w:t>
      </w:r>
      <w:r w:rsidRPr="00F975E9">
        <w:rPr>
          <w:lang w:val="en-GB"/>
        </w:rPr>
        <w:t xml:space="preserve">: </w:t>
      </w:r>
      <w:hyperlink r:id="rId9" w:history="1">
        <w:r w:rsidRPr="001B0FF5">
          <w:rPr>
            <w:rStyle w:val="Hyperlink"/>
            <w:lang w:val="en-GB"/>
          </w:rPr>
          <w:t>nclement@iis.u-tokyo.ac.jp</w:t>
        </w:r>
      </w:hyperlink>
      <w:r>
        <w:rPr>
          <w:lang w:val="en-GB"/>
        </w:rPr>
        <w:t xml:space="preserve">; </w:t>
      </w:r>
      <w:hyperlink r:id="rId10" w:history="1">
        <w:r w:rsidRPr="001B0FF5">
          <w:rPr>
            <w:rStyle w:val="Hyperlink"/>
            <w:lang w:val="en-GB"/>
          </w:rPr>
          <w:t>s.vitusevich@fz-juelich.de</w:t>
        </w:r>
      </w:hyperlink>
      <w:r w:rsidRPr="00F975E9">
        <w:rPr>
          <w:lang w:val="en-GB"/>
        </w:rPr>
        <w:t>)</w:t>
      </w:r>
    </w:p>
    <w:p w14:paraId="59C0BB48" w14:textId="1F2B6D2D" w:rsidR="00620CBE" w:rsidRDefault="0024542D">
      <w:pPr>
        <w:rPr>
          <w:lang w:val="en-US"/>
        </w:rPr>
      </w:pPr>
      <w:r w:rsidRPr="00496226">
        <w:rPr>
          <w:b/>
          <w:lang w:val="en-US"/>
        </w:rPr>
        <w:t>Note</w:t>
      </w:r>
      <w:r w:rsidRPr="00496226">
        <w:rPr>
          <w:lang w:val="en-US"/>
        </w:rPr>
        <w:t xml:space="preserve">: </w:t>
      </w:r>
      <w:r w:rsidR="00620CBE" w:rsidRPr="00496226">
        <w:rPr>
          <w:vertAlign w:val="superscript"/>
          <w:lang w:val="en-US"/>
        </w:rPr>
        <w:t>λ</w:t>
      </w:r>
      <w:r w:rsidR="00620CBE" w:rsidRPr="00496226">
        <w:rPr>
          <w:lang w:val="en-US"/>
        </w:rPr>
        <w:t xml:space="preserve"> </w:t>
      </w:r>
      <w:r w:rsidRPr="00496226">
        <w:rPr>
          <w:lang w:val="en-US"/>
        </w:rPr>
        <w:t>these</w:t>
      </w:r>
      <w:r w:rsidR="00620CBE" w:rsidRPr="00496226">
        <w:rPr>
          <w:lang w:val="en-US"/>
        </w:rPr>
        <w:t xml:space="preserve"> authors have equally contributed to the work.</w:t>
      </w:r>
    </w:p>
    <w:p w14:paraId="600820C7" w14:textId="77777777" w:rsidR="004202FC" w:rsidRPr="00496226" w:rsidRDefault="004202FC">
      <w:pPr>
        <w:rPr>
          <w:lang w:val="en-US"/>
        </w:rPr>
      </w:pPr>
    </w:p>
    <w:p w14:paraId="5F3D6AFC" w14:textId="523E35CA" w:rsidR="003744A8" w:rsidRPr="004202FC" w:rsidRDefault="003744A8" w:rsidP="003744A8">
      <w:pPr>
        <w:jc w:val="center"/>
        <w:rPr>
          <w:b/>
          <w:sz w:val="32"/>
          <w:szCs w:val="24"/>
        </w:rPr>
      </w:pPr>
      <w:r w:rsidRPr="004202FC">
        <w:rPr>
          <w:b/>
          <w:sz w:val="32"/>
          <w:szCs w:val="24"/>
        </w:rPr>
        <w:t>Supporting Information</w:t>
      </w:r>
    </w:p>
    <w:p w14:paraId="4B936084" w14:textId="7E0038C9" w:rsidR="008E04F4" w:rsidRPr="008469CA" w:rsidRDefault="008469CA" w:rsidP="008469CA">
      <w:pPr>
        <w:pStyle w:val="ListParagraph"/>
        <w:numPr>
          <w:ilvl w:val="0"/>
          <w:numId w:val="10"/>
        </w:numPr>
        <w:rPr>
          <w:b/>
        </w:rPr>
      </w:pPr>
      <w:r w:rsidRPr="008469CA">
        <w:rPr>
          <w:b/>
        </w:rPr>
        <w:t>Si NW FET-based biosensors fabrication</w:t>
      </w:r>
    </w:p>
    <w:p w14:paraId="59178FAB" w14:textId="57A46716" w:rsidR="00605554" w:rsidRDefault="008469CA" w:rsidP="00984BA7">
      <w:pPr>
        <w:ind w:firstLine="360"/>
        <w:rPr>
          <w:lang w:val="en-US"/>
        </w:rPr>
      </w:pPr>
      <w:r>
        <w:t xml:space="preserve">Si NW FET-based biosensors were fabricated on the basis of silicon-on-insulator (SOI) wafers with 50 nm thin &lt;100&gt;-oriented Si layer and 145 nm thick buried oxide layer. </w:t>
      </w:r>
      <w:r w:rsidR="00A85CCC">
        <w:t xml:space="preserve">SOI wafers </w:t>
      </w:r>
      <w:r w:rsidR="00A85CCC" w:rsidRPr="00A85CCC">
        <w:t xml:space="preserve">were purchased from SOITEC, </w:t>
      </w:r>
      <w:r w:rsidR="00A85CCC">
        <w:t>France. W</w:t>
      </w:r>
      <w:r w:rsidR="00A85CCC" w:rsidRPr="00A85CCC">
        <w:t>idths</w:t>
      </w:r>
      <w:r w:rsidR="00A85CCC">
        <w:t xml:space="preserve"> of designed and fabricated nanowires</w:t>
      </w:r>
      <w:r w:rsidR="00A85CCC" w:rsidRPr="00A85CCC">
        <w:t xml:space="preserve"> are in the range from 70</w:t>
      </w:r>
      <w:r w:rsidR="00A85CCC">
        <w:t xml:space="preserve"> </w:t>
      </w:r>
      <w:r w:rsidR="00A85CCC" w:rsidRPr="00A85CCC">
        <w:t>nm to 500</w:t>
      </w:r>
      <w:r w:rsidR="00A85CCC">
        <w:t xml:space="preserve"> </w:t>
      </w:r>
      <w:r w:rsidR="00A85CCC" w:rsidRPr="00A85CCC">
        <w:t>nm</w:t>
      </w:r>
      <w:r w:rsidR="00A85CCC">
        <w:t xml:space="preserve"> </w:t>
      </w:r>
      <w:r w:rsidR="00A85CCC" w:rsidRPr="00A85CCC">
        <w:t>and lengths vary in the range from 100</w:t>
      </w:r>
      <w:r w:rsidR="00A85CCC">
        <w:t xml:space="preserve"> </w:t>
      </w:r>
      <w:r w:rsidR="00A85CCC" w:rsidRPr="00A85CCC">
        <w:t>nm to 4 µm.</w:t>
      </w:r>
      <w:r w:rsidR="00A85CCC">
        <w:t xml:space="preserve"> The detailed steps involved in the fabrication process of Si NW structures are described elsewhere</w:t>
      </w:r>
      <w:r w:rsidR="0012721F">
        <w:fldChar w:fldCharType="begin" w:fldLock="1"/>
      </w:r>
      <w:r w:rsidR="004202FC">
        <w:instrText>ADDIN CSL_CITATION {"citationItems":[{"id":"ITEM-1","itemData":{"DOI":"dx.doi.org/10.17877/DE290R-20179","author":[{"dropping-particle":"","family":"Zadorozhnyi","given":"Ihor","non-dropping-particle":"","parse-names":false,"suffix":""}],"container-title":"Doctoral thesis","id":"ITEM-1","issued":{"date-parts":[["2019"]]},"publisher":"Forschungszentrum Juelich and TU Dortmund University","title":"Nanowire Transistor Structures for Advanced Biosensing","type":"thesis"},"uris":["http://www.mendeley.com/documents/?uuid=a40b9973-b291-4b55-b6b3-5e5199e93e3a"]}],"mendeley":{"formattedCitation":"&lt;sup&gt;1&lt;/sup&gt;","plainTextFormattedCitation":"1","previouslyFormattedCitation":"&lt;sup&gt;1&lt;/sup&gt;"},"properties":{"noteIndex":0},"schema":"https://github.com/citation-style-language/schema/raw/master/csl-citation.json"}</w:instrText>
      </w:r>
      <w:r w:rsidR="0012721F">
        <w:fldChar w:fldCharType="separate"/>
      </w:r>
      <w:r w:rsidR="0012721F" w:rsidRPr="0012721F">
        <w:rPr>
          <w:noProof/>
          <w:vertAlign w:val="superscript"/>
        </w:rPr>
        <w:t>1</w:t>
      </w:r>
      <w:r w:rsidR="0012721F">
        <w:fldChar w:fldCharType="end"/>
      </w:r>
      <w:r w:rsidR="00A85CCC">
        <w:t xml:space="preserve">. </w:t>
      </w:r>
      <w:r w:rsidR="000D65FB">
        <w:t xml:space="preserve">Briefly, prior NW patterning, SOI wafers were covered with </w:t>
      </w:r>
      <w:r w:rsidR="00830EAA">
        <w:t xml:space="preserve">a </w:t>
      </w:r>
      <w:r w:rsidR="000D65FB">
        <w:t>20 nm thick SiO</w:t>
      </w:r>
      <w:r w:rsidR="000D65FB" w:rsidRPr="00830EAA">
        <w:rPr>
          <w:vertAlign w:val="subscript"/>
        </w:rPr>
        <w:t>2</w:t>
      </w:r>
      <w:r w:rsidR="000D65FB">
        <w:t xml:space="preserve"> layer using PECVD to serve as a layer for hard mas</w:t>
      </w:r>
      <w:r w:rsidR="00830EAA">
        <w:t>k</w:t>
      </w:r>
      <w:r w:rsidR="000D65FB">
        <w:t xml:space="preserve"> formation</w:t>
      </w:r>
      <w:r w:rsidR="00D07757">
        <w:t xml:space="preserve"> employing </w:t>
      </w:r>
      <w:r w:rsidR="00D07757" w:rsidRPr="00D07757">
        <w:t>reactive ion etching</w:t>
      </w:r>
      <w:r w:rsidR="000D65FB">
        <w:t>.</w:t>
      </w:r>
      <w:r w:rsidR="00830EAA">
        <w:t xml:space="preserve"> </w:t>
      </w:r>
      <w:r w:rsidR="00D07757">
        <w:t>The NW pattern</w:t>
      </w:r>
      <w:r w:rsidR="004D7387">
        <w:t xml:space="preserve"> </w:t>
      </w:r>
      <w:r w:rsidR="00D07757">
        <w:t>was</w:t>
      </w:r>
      <w:r w:rsidR="004D7387">
        <w:t xml:space="preserve"> </w:t>
      </w:r>
      <w:r w:rsidR="00D07757">
        <w:t>defined</w:t>
      </w:r>
      <w:r w:rsidR="004D7387">
        <w:t xml:space="preserve"> </w:t>
      </w:r>
      <w:r w:rsidR="00D07757">
        <w:t xml:space="preserve">using e-beam lithography and mesa structures were defined utilizing photolithography. After this, structures were transferred into </w:t>
      </w:r>
      <w:r w:rsidR="00CD01E6">
        <w:t xml:space="preserve">the </w:t>
      </w:r>
      <w:r w:rsidR="00D07757">
        <w:t xml:space="preserve">active silicon layer of SOI wafers using wet chemical etching in tetramethylammonium hydroxide (TMAH) solution. </w:t>
      </w:r>
      <w:r w:rsidR="00CD01E6">
        <w:t xml:space="preserve">Afterward, ion implantation was performed with Boron or Arsenic </w:t>
      </w:r>
      <w:r w:rsidR="00CD01E6">
        <w:rPr>
          <w:rFonts w:hint="eastAsia"/>
        </w:rPr>
        <w:t xml:space="preserve">atoms </w:t>
      </w:r>
      <w:r w:rsidR="00CD01E6">
        <w:t>to create</w:t>
      </w:r>
      <w:r w:rsidR="00CD01E6">
        <w:rPr>
          <w:rFonts w:hint="eastAsia"/>
        </w:rPr>
        <w:t xml:space="preserve"> accumulation mode FETs (p</w:t>
      </w:r>
      <w:r w:rsidR="00CD01E6" w:rsidRPr="00CD01E6">
        <w:rPr>
          <w:rFonts w:hint="eastAsia"/>
          <w:vertAlign w:val="superscript"/>
        </w:rPr>
        <w:t>+</w:t>
      </w:r>
      <w:r w:rsidR="00CD01E6">
        <w:t>-</w:t>
      </w:r>
      <w:r w:rsidR="00CD01E6">
        <w:rPr>
          <w:rFonts w:hint="eastAsia"/>
        </w:rPr>
        <w:t>p</w:t>
      </w:r>
      <w:r w:rsidR="00CD01E6">
        <w:t>-</w:t>
      </w:r>
      <w:r w:rsidR="00CD01E6">
        <w:rPr>
          <w:rFonts w:hint="eastAsia"/>
        </w:rPr>
        <w:t>p</w:t>
      </w:r>
      <w:r w:rsidR="00CD01E6" w:rsidRPr="00CD01E6">
        <w:rPr>
          <w:rFonts w:hint="eastAsia"/>
          <w:vertAlign w:val="superscript"/>
        </w:rPr>
        <w:t>+</w:t>
      </w:r>
      <w:r w:rsidR="00CD01E6">
        <w:rPr>
          <w:rFonts w:hint="eastAsia"/>
        </w:rPr>
        <w:t>) and inversion mode</w:t>
      </w:r>
      <w:r w:rsidR="00CD01E6">
        <w:t xml:space="preserve"> (n</w:t>
      </w:r>
      <w:r w:rsidR="00CD01E6" w:rsidRPr="00CD01E6">
        <w:rPr>
          <w:vertAlign w:val="superscript"/>
        </w:rPr>
        <w:t>+</w:t>
      </w:r>
      <w:r w:rsidR="00CD01E6">
        <w:t>-p-n</w:t>
      </w:r>
      <w:r w:rsidR="00CD01E6" w:rsidRPr="00CD01E6">
        <w:rPr>
          <w:vertAlign w:val="superscript"/>
        </w:rPr>
        <w:t>+</w:t>
      </w:r>
      <w:r w:rsidR="00CD01E6">
        <w:t>)</w:t>
      </w:r>
      <w:r w:rsidR="00CD01E6">
        <w:rPr>
          <w:rFonts w:hint="eastAsia"/>
        </w:rPr>
        <w:t xml:space="preserve"> </w:t>
      </w:r>
      <w:r w:rsidR="00CD01E6">
        <w:t xml:space="preserve">transistor structures, </w:t>
      </w:r>
      <w:r w:rsidR="00CD01E6">
        <w:rPr>
          <w:rFonts w:hint="eastAsia"/>
        </w:rPr>
        <w:t>correspondingly.</w:t>
      </w:r>
      <w:r w:rsidR="00CD01E6">
        <w:t xml:space="preserve"> </w:t>
      </w:r>
      <w:r w:rsidR="00E923FD">
        <w:t>Then, an 8-nm thin SiO</w:t>
      </w:r>
      <w:r w:rsidR="00E923FD" w:rsidRPr="00E923FD">
        <w:rPr>
          <w:vertAlign w:val="subscript"/>
        </w:rPr>
        <w:t>2</w:t>
      </w:r>
      <w:r w:rsidR="00E923FD">
        <w:t xml:space="preserve"> layer was thermally grown on the NW structures to serve as the gate dielectric </w:t>
      </w:r>
      <w:r w:rsidR="00090255">
        <w:t xml:space="preserve">and </w:t>
      </w:r>
      <w:r w:rsidR="00E923FD">
        <w:t xml:space="preserve">protect </w:t>
      </w:r>
      <w:r w:rsidR="00090255">
        <w:t xml:space="preserve">the </w:t>
      </w:r>
      <w:r w:rsidR="00E923FD">
        <w:t>conductive channel of transistor-based biosensors from the liquid environment.</w:t>
      </w:r>
      <w:r w:rsidR="004043BB">
        <w:t xml:space="preserve"> The metallization process was then performed by sputtering of a metal </w:t>
      </w:r>
      <w:r w:rsidR="004043BB" w:rsidRPr="004043BB">
        <w:t xml:space="preserve">stack </w:t>
      </w:r>
      <w:r w:rsidR="004043BB">
        <w:t xml:space="preserve">consisting </w:t>
      </w:r>
      <w:r w:rsidR="004043BB" w:rsidRPr="004043BB">
        <w:t>of 5</w:t>
      </w:r>
      <w:r w:rsidR="004043BB">
        <w:t> </w:t>
      </w:r>
      <w:r w:rsidR="004043BB" w:rsidRPr="004043BB">
        <w:t>nm TiN and 200</w:t>
      </w:r>
      <w:r w:rsidR="004043BB">
        <w:t xml:space="preserve"> </w:t>
      </w:r>
      <w:r w:rsidR="004043BB" w:rsidRPr="004043BB">
        <w:t xml:space="preserve">nm of Al </w:t>
      </w:r>
      <w:r w:rsidR="004043BB">
        <w:t xml:space="preserve">followed by the lift-off </w:t>
      </w:r>
      <w:r w:rsidR="00E733D7">
        <w:t xml:space="preserve">patterning and annealing </w:t>
      </w:r>
      <w:r w:rsidR="004043BB">
        <w:t>process.</w:t>
      </w:r>
      <w:r w:rsidR="00EB7FD9">
        <w:t xml:space="preserve"> To protect metal leads against the liquid environment, the structures were passivated with a polyimide layer. The access of the liquid solution to Si NWs was provided by patterning the passivation layer with photolithography.</w:t>
      </w:r>
      <w:r w:rsidR="00984BA7">
        <w:t xml:space="preserve"> After the fabrication process wafers were cut into chips which were further encapsulated and used for the biosensing experiments. </w:t>
      </w:r>
      <w:r w:rsidR="00626564">
        <w:t>All the fabrication steps were performed at the Helmholz Nano Facility (HNF) of Forschungszentrum J</w:t>
      </w:r>
      <w:r w:rsidR="00626564" w:rsidRPr="00626564">
        <w:rPr>
          <w:lang w:val="en-US"/>
        </w:rPr>
        <w:t>ü</w:t>
      </w:r>
      <w:r w:rsidR="00626564">
        <w:rPr>
          <w:lang w:val="en-US"/>
        </w:rPr>
        <w:t>lich.</w:t>
      </w:r>
    </w:p>
    <w:p w14:paraId="3B900563" w14:textId="77777777" w:rsidR="004202FC" w:rsidRDefault="004202FC" w:rsidP="00984BA7">
      <w:pPr>
        <w:ind w:firstLine="360"/>
        <w:rPr>
          <w:lang w:val="en-US"/>
        </w:rPr>
      </w:pPr>
    </w:p>
    <w:p w14:paraId="371C1D51" w14:textId="2C95ED7A" w:rsidR="00F4735B" w:rsidRPr="00F4735B" w:rsidRDefault="00F4735B" w:rsidP="00F4735B">
      <w:pPr>
        <w:pStyle w:val="ListParagraph"/>
        <w:numPr>
          <w:ilvl w:val="0"/>
          <w:numId w:val="10"/>
        </w:numPr>
        <w:spacing w:after="240"/>
        <w:rPr>
          <w:b/>
          <w:lang w:val="en-US"/>
        </w:rPr>
      </w:pPr>
      <w:r w:rsidRPr="00F4735B">
        <w:rPr>
          <w:b/>
          <w:lang w:val="en-US"/>
        </w:rPr>
        <w:lastRenderedPageBreak/>
        <w:t>Characterization of the fabricated Si NW FET structures</w:t>
      </w:r>
    </w:p>
    <w:p w14:paraId="0EC41E3E" w14:textId="778D6667" w:rsidR="00F4735B" w:rsidRPr="00F4735B" w:rsidRDefault="00F4735B" w:rsidP="00F4735B">
      <w:pPr>
        <w:pStyle w:val="ListParagraph"/>
        <w:numPr>
          <w:ilvl w:val="1"/>
          <w:numId w:val="10"/>
        </w:numPr>
        <w:rPr>
          <w:b/>
          <w:lang w:val="en-US"/>
        </w:rPr>
      </w:pPr>
      <w:r w:rsidRPr="00F4735B">
        <w:rPr>
          <w:b/>
          <w:lang w:val="en-US"/>
        </w:rPr>
        <w:t>Current-voltage characterization</w:t>
      </w:r>
    </w:p>
    <w:p w14:paraId="069E7455" w14:textId="7F24416C" w:rsidR="00F4735B" w:rsidRPr="00175665" w:rsidRDefault="00175665" w:rsidP="0090224E">
      <w:pPr>
        <w:ind w:firstLine="360"/>
      </w:pPr>
      <w:r w:rsidRPr="00175665">
        <w:rPr>
          <w:lang w:val="en-US"/>
        </w:rPr>
        <w:t>Silicon nanowires with lengths in the range from 100</w:t>
      </w:r>
      <w:r>
        <w:rPr>
          <w:lang w:val="en-US"/>
        </w:rPr>
        <w:t xml:space="preserve"> </w:t>
      </w:r>
      <w:r w:rsidRPr="00175665">
        <w:rPr>
          <w:lang w:val="en-US"/>
        </w:rPr>
        <w:t>nm to 4 µm and widths</w:t>
      </w:r>
      <w:r>
        <w:rPr>
          <w:lang w:val="en-US"/>
        </w:rPr>
        <w:t xml:space="preserve"> </w:t>
      </w:r>
      <w:r w:rsidRPr="00175665">
        <w:rPr>
          <w:lang w:val="en-US"/>
        </w:rPr>
        <w:t>from 70</w:t>
      </w:r>
      <w:r>
        <w:rPr>
          <w:lang w:val="en-US"/>
        </w:rPr>
        <w:t xml:space="preserve"> </w:t>
      </w:r>
      <w:r w:rsidRPr="00175665">
        <w:rPr>
          <w:lang w:val="en-US"/>
        </w:rPr>
        <w:t>nm to 500</w:t>
      </w:r>
      <w:r>
        <w:rPr>
          <w:lang w:val="en-US"/>
        </w:rPr>
        <w:t xml:space="preserve"> </w:t>
      </w:r>
      <w:r w:rsidRPr="00175665">
        <w:rPr>
          <w:lang w:val="en-US"/>
        </w:rPr>
        <w:t>nm were investigated from the viewpoint of scalability, device performance</w:t>
      </w:r>
      <w:r>
        <w:rPr>
          <w:lang w:val="en-US"/>
        </w:rPr>
        <w:t xml:space="preserve"> </w:t>
      </w:r>
      <w:r w:rsidRPr="00175665">
        <w:rPr>
          <w:lang w:val="en-US"/>
        </w:rPr>
        <w:t>as well as noise properties.</w:t>
      </w:r>
      <w:r>
        <w:rPr>
          <w:lang w:val="en-US"/>
        </w:rPr>
        <w:t xml:space="preserve"> </w:t>
      </w:r>
      <w:r w:rsidRPr="00175665">
        <w:rPr>
          <w:rFonts w:hint="eastAsia"/>
        </w:rPr>
        <w:t>Transfer curves measured for p</w:t>
      </w:r>
      <w:r w:rsidRPr="00175665">
        <w:rPr>
          <w:rFonts w:hint="eastAsia"/>
          <w:vertAlign w:val="superscript"/>
        </w:rPr>
        <w:t>+</w:t>
      </w:r>
      <w:r w:rsidRPr="00175665">
        <w:t>-</w:t>
      </w:r>
      <w:r w:rsidRPr="00175665">
        <w:rPr>
          <w:rFonts w:hint="eastAsia"/>
        </w:rPr>
        <w:t>p</w:t>
      </w:r>
      <w:r w:rsidRPr="00175665">
        <w:t>-</w:t>
      </w:r>
      <w:r w:rsidRPr="00175665">
        <w:rPr>
          <w:rFonts w:hint="eastAsia"/>
        </w:rPr>
        <w:t>p</w:t>
      </w:r>
      <w:r w:rsidRPr="00175665">
        <w:rPr>
          <w:rFonts w:hint="eastAsia"/>
          <w:vertAlign w:val="superscript"/>
        </w:rPr>
        <w:t>+</w:t>
      </w:r>
      <w:r w:rsidRPr="00175665">
        <w:rPr>
          <w:rFonts w:hint="eastAsia"/>
        </w:rPr>
        <w:t xml:space="preserve"> and </w:t>
      </w:r>
      <w:r w:rsidRPr="00175665">
        <w:t>n</w:t>
      </w:r>
      <w:r w:rsidRPr="00175665">
        <w:rPr>
          <w:vertAlign w:val="superscript"/>
        </w:rPr>
        <w:t>+</w:t>
      </w:r>
      <w:r w:rsidRPr="00175665">
        <w:t>-p-n</w:t>
      </w:r>
      <w:r w:rsidRPr="00175665">
        <w:rPr>
          <w:vertAlign w:val="superscript"/>
        </w:rPr>
        <w:t>+</w:t>
      </w:r>
      <w:r w:rsidRPr="00175665">
        <w:rPr>
          <w:rFonts w:hint="eastAsia"/>
        </w:rPr>
        <w:t xml:space="preserve"> structures</w:t>
      </w:r>
      <w:r w:rsidRPr="00175665">
        <w:t xml:space="preserve"> with different lengths</w:t>
      </w:r>
      <w:r w:rsidR="0090224E" w:rsidRPr="0090224E">
        <w:t xml:space="preserve"> and width of 100</w:t>
      </w:r>
      <w:r w:rsidR="0090224E">
        <w:t xml:space="preserve"> </w:t>
      </w:r>
      <w:r w:rsidR="0090224E" w:rsidRPr="0090224E">
        <w:t>nm</w:t>
      </w:r>
      <w:r w:rsidR="0090224E">
        <w:t xml:space="preserve"> are</w:t>
      </w:r>
      <w:r w:rsidR="0090486F">
        <w:t xml:space="preserve"> shown in Fig.S1</w:t>
      </w:r>
      <w:r w:rsidR="00930C5A">
        <w:t>(</w:t>
      </w:r>
      <w:r w:rsidR="0090486F">
        <w:t>a</w:t>
      </w:r>
      <w:r w:rsidR="00930C5A">
        <w:t>)</w:t>
      </w:r>
      <w:r>
        <w:t xml:space="preserve">. </w:t>
      </w:r>
      <w:r w:rsidR="0090224E">
        <w:t>Characteristics were measured in linear operation regime at the absolute value of drain-source voltage V</w:t>
      </w:r>
      <w:r w:rsidR="0090224E" w:rsidRPr="0090224E">
        <w:rPr>
          <w:vertAlign w:val="subscript"/>
        </w:rPr>
        <w:t>DS</w:t>
      </w:r>
      <w:r w:rsidR="0090224E">
        <w:t xml:space="preserve"> = 100mV.</w:t>
      </w:r>
    </w:p>
    <w:p w14:paraId="585CDD5D" w14:textId="77777777" w:rsidR="00F4735B" w:rsidRDefault="00F4735B" w:rsidP="00F4735B">
      <w:pPr>
        <w:pStyle w:val="ListParagraph"/>
        <w:keepNext/>
        <w:ind w:left="0"/>
        <w:jc w:val="center"/>
      </w:pPr>
      <w:r>
        <w:rPr>
          <w:noProof/>
          <w:lang w:val="en-US" w:eastAsia="en-US"/>
        </w:rPr>
        <w:drawing>
          <wp:inline distT="0" distB="0" distL="0" distR="0" wp14:anchorId="17248957" wp14:editId="2C18CF17">
            <wp:extent cx="5522286" cy="21031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2286" cy="2103120"/>
                    </a:xfrm>
                    <a:prstGeom prst="rect">
                      <a:avLst/>
                    </a:prstGeom>
                  </pic:spPr>
                </pic:pic>
              </a:graphicData>
            </a:graphic>
          </wp:inline>
        </w:drawing>
      </w:r>
    </w:p>
    <w:p w14:paraId="07E19E8C" w14:textId="5404F80E" w:rsidR="00F4735B" w:rsidRPr="00F4735B" w:rsidRDefault="00410500" w:rsidP="00F4735B">
      <w:pPr>
        <w:rPr>
          <w:sz w:val="20"/>
          <w:lang w:val="en-US"/>
        </w:rPr>
      </w:pPr>
      <w:r w:rsidRPr="00410500">
        <w:rPr>
          <w:b/>
          <w:sz w:val="20"/>
        </w:rPr>
        <w:t>Fig</w:t>
      </w:r>
      <w:r w:rsidR="003343CE">
        <w:rPr>
          <w:b/>
          <w:sz w:val="20"/>
        </w:rPr>
        <w:t xml:space="preserve">ure </w:t>
      </w:r>
      <w:r w:rsidR="00F4735B" w:rsidRPr="00410500">
        <w:rPr>
          <w:b/>
          <w:sz w:val="20"/>
        </w:rPr>
        <w:t>S1.</w:t>
      </w:r>
      <w:r w:rsidR="00F4735B" w:rsidRPr="00F4735B">
        <w:rPr>
          <w:sz w:val="20"/>
        </w:rPr>
        <w:t xml:space="preserve"> (a) </w:t>
      </w:r>
      <w:r w:rsidR="00F4735B" w:rsidRPr="00F4735B">
        <w:rPr>
          <w:rFonts w:hint="eastAsia"/>
          <w:sz w:val="20"/>
        </w:rPr>
        <w:t>Transfer curves measured for p</w:t>
      </w:r>
      <w:r w:rsidR="00F4735B" w:rsidRPr="00F4735B">
        <w:rPr>
          <w:rFonts w:hint="eastAsia"/>
          <w:sz w:val="20"/>
          <w:vertAlign w:val="superscript"/>
        </w:rPr>
        <w:t>+</w:t>
      </w:r>
      <w:r w:rsidR="00F4735B" w:rsidRPr="00F4735B">
        <w:rPr>
          <w:sz w:val="20"/>
        </w:rPr>
        <w:t>-</w:t>
      </w:r>
      <w:r w:rsidR="00F4735B" w:rsidRPr="00F4735B">
        <w:rPr>
          <w:rFonts w:hint="eastAsia"/>
          <w:sz w:val="20"/>
        </w:rPr>
        <w:t>p</w:t>
      </w:r>
      <w:r w:rsidR="00F4735B" w:rsidRPr="00F4735B">
        <w:rPr>
          <w:sz w:val="20"/>
        </w:rPr>
        <w:t>-</w:t>
      </w:r>
      <w:r w:rsidR="00F4735B" w:rsidRPr="00F4735B">
        <w:rPr>
          <w:rFonts w:hint="eastAsia"/>
          <w:sz w:val="20"/>
        </w:rPr>
        <w:t>p</w:t>
      </w:r>
      <w:r w:rsidR="00F4735B" w:rsidRPr="00F4735B">
        <w:rPr>
          <w:rFonts w:hint="eastAsia"/>
          <w:sz w:val="20"/>
          <w:vertAlign w:val="superscript"/>
        </w:rPr>
        <w:t>+</w:t>
      </w:r>
      <w:r w:rsidR="00F4735B" w:rsidRPr="00F4735B">
        <w:rPr>
          <w:rFonts w:hint="eastAsia"/>
          <w:sz w:val="20"/>
        </w:rPr>
        <w:t xml:space="preserve"> and </w:t>
      </w:r>
      <w:r w:rsidR="00F4735B" w:rsidRPr="00F4735B">
        <w:rPr>
          <w:sz w:val="20"/>
        </w:rPr>
        <w:t>n</w:t>
      </w:r>
      <w:r w:rsidR="00F4735B" w:rsidRPr="00F4735B">
        <w:rPr>
          <w:sz w:val="20"/>
          <w:vertAlign w:val="superscript"/>
        </w:rPr>
        <w:t>+</w:t>
      </w:r>
      <w:r w:rsidR="00F4735B" w:rsidRPr="00F4735B">
        <w:rPr>
          <w:sz w:val="20"/>
        </w:rPr>
        <w:t>-p-n</w:t>
      </w:r>
      <w:r w:rsidR="00F4735B" w:rsidRPr="00F4735B">
        <w:rPr>
          <w:sz w:val="20"/>
          <w:vertAlign w:val="superscript"/>
        </w:rPr>
        <w:t>+</w:t>
      </w:r>
      <w:r w:rsidR="00F4735B" w:rsidRPr="00F4735B">
        <w:rPr>
          <w:rFonts w:hint="eastAsia"/>
          <w:sz w:val="20"/>
        </w:rPr>
        <w:t xml:space="preserve"> structures</w:t>
      </w:r>
      <w:r w:rsidR="00F4735B" w:rsidRPr="00F4735B">
        <w:rPr>
          <w:sz w:val="20"/>
        </w:rPr>
        <w:t xml:space="preserve"> with different lengths. (b) Transconductance recalculated as a derivative from the transfer curves, shown in (a).</w:t>
      </w:r>
    </w:p>
    <w:p w14:paraId="758C2724" w14:textId="5D4017CD" w:rsidR="00F4735B" w:rsidRDefault="0090486F" w:rsidP="0090486F">
      <w:pPr>
        <w:ind w:firstLine="360"/>
        <w:rPr>
          <w:lang w:val="en-US"/>
        </w:rPr>
      </w:pPr>
      <w:r w:rsidRPr="0090486F">
        <w:rPr>
          <w:lang w:val="en-US"/>
        </w:rPr>
        <w:t xml:space="preserve">Si NW FET structures demonstrate good scalability with </w:t>
      </w:r>
      <w:r>
        <w:rPr>
          <w:lang w:val="en-US"/>
        </w:rPr>
        <w:t xml:space="preserve">the </w:t>
      </w:r>
      <w:r w:rsidRPr="0090486F">
        <w:rPr>
          <w:lang w:val="en-US"/>
        </w:rPr>
        <w:t>length of the</w:t>
      </w:r>
      <w:r>
        <w:rPr>
          <w:lang w:val="en-US"/>
        </w:rPr>
        <w:t xml:space="preserve"> </w:t>
      </w:r>
      <w:r w:rsidRPr="0090486F">
        <w:rPr>
          <w:lang w:val="en-US"/>
        </w:rPr>
        <w:t>nanowire. This is also</w:t>
      </w:r>
      <w:r w:rsidR="003E61D5">
        <w:rPr>
          <w:lang w:val="en-US"/>
        </w:rPr>
        <w:t xml:space="preserve"> valid for transconductance (</w:t>
      </w:r>
      <w:r w:rsidR="0080356D">
        <w:rPr>
          <w:lang w:val="en-US"/>
        </w:rPr>
        <w:t>Fig.S1</w:t>
      </w:r>
      <w:r w:rsidR="00930C5A">
        <w:rPr>
          <w:lang w:val="en-US"/>
        </w:rPr>
        <w:t>(</w:t>
      </w:r>
      <w:r w:rsidR="003E61D5">
        <w:rPr>
          <w:lang w:val="en-US"/>
        </w:rPr>
        <w:t>b</w:t>
      </w:r>
      <w:r w:rsidR="00930C5A">
        <w:rPr>
          <w:lang w:val="en-US"/>
        </w:rPr>
        <w:t>)</w:t>
      </w:r>
      <w:r w:rsidRPr="0090486F">
        <w:rPr>
          <w:lang w:val="en-US"/>
        </w:rPr>
        <w:t>), recalculated as a</w:t>
      </w:r>
      <w:r>
        <w:rPr>
          <w:lang w:val="en-US"/>
        </w:rPr>
        <w:t xml:space="preserve"> </w:t>
      </w:r>
      <w:r w:rsidRPr="0090486F">
        <w:rPr>
          <w:lang w:val="en-US"/>
        </w:rPr>
        <w:t>derivative of transfer curves. It should be noted that transconducta</w:t>
      </w:r>
      <w:r>
        <w:rPr>
          <w:lang w:val="en-US"/>
        </w:rPr>
        <w:t>n</w:t>
      </w:r>
      <w:r w:rsidRPr="0090486F">
        <w:rPr>
          <w:lang w:val="en-US"/>
        </w:rPr>
        <w:t>ce maximum is also</w:t>
      </w:r>
      <w:r>
        <w:rPr>
          <w:lang w:val="en-US"/>
        </w:rPr>
        <w:t xml:space="preserve"> </w:t>
      </w:r>
      <w:r w:rsidRPr="0090486F">
        <w:rPr>
          <w:rFonts w:hint="eastAsia"/>
          <w:lang w:val="en-US"/>
        </w:rPr>
        <w:t xml:space="preserve">around three times larger for </w:t>
      </w:r>
      <w:r w:rsidRPr="00175665">
        <w:t>n</w:t>
      </w:r>
      <w:r w:rsidRPr="00175665">
        <w:rPr>
          <w:vertAlign w:val="superscript"/>
        </w:rPr>
        <w:t>+</w:t>
      </w:r>
      <w:r w:rsidRPr="00175665">
        <w:t>-p-n</w:t>
      </w:r>
      <w:r w:rsidRPr="00175665">
        <w:rPr>
          <w:vertAlign w:val="superscript"/>
        </w:rPr>
        <w:t>+</w:t>
      </w:r>
      <w:r w:rsidRPr="00175665">
        <w:rPr>
          <w:rFonts w:hint="eastAsia"/>
        </w:rPr>
        <w:t xml:space="preserve"> </w:t>
      </w:r>
      <w:r w:rsidRPr="0090486F">
        <w:rPr>
          <w:rFonts w:hint="eastAsia"/>
          <w:lang w:val="en-US"/>
        </w:rPr>
        <w:t xml:space="preserve">structures in comparison to </w:t>
      </w:r>
      <w:r w:rsidRPr="00175665">
        <w:rPr>
          <w:rFonts w:hint="eastAsia"/>
        </w:rPr>
        <w:t>p</w:t>
      </w:r>
      <w:r w:rsidRPr="00175665">
        <w:rPr>
          <w:rFonts w:hint="eastAsia"/>
          <w:vertAlign w:val="superscript"/>
        </w:rPr>
        <w:t>+</w:t>
      </w:r>
      <w:r w:rsidRPr="00175665">
        <w:t>-</w:t>
      </w:r>
      <w:r w:rsidRPr="00175665">
        <w:rPr>
          <w:rFonts w:hint="eastAsia"/>
        </w:rPr>
        <w:t>p</w:t>
      </w:r>
      <w:r w:rsidRPr="00175665">
        <w:t>-</w:t>
      </w:r>
      <w:r w:rsidRPr="00175665">
        <w:rPr>
          <w:rFonts w:hint="eastAsia"/>
        </w:rPr>
        <w:t>p</w:t>
      </w:r>
      <w:r w:rsidRPr="00175665">
        <w:rPr>
          <w:rFonts w:hint="eastAsia"/>
          <w:vertAlign w:val="superscript"/>
        </w:rPr>
        <w:t>+</w:t>
      </w:r>
      <w:r w:rsidRPr="00175665">
        <w:rPr>
          <w:rFonts w:hint="eastAsia"/>
        </w:rPr>
        <w:t xml:space="preserve"> </w:t>
      </w:r>
      <w:r w:rsidRPr="0090486F">
        <w:rPr>
          <w:rFonts w:hint="eastAsia"/>
          <w:lang w:val="en-US"/>
        </w:rPr>
        <w:t>analogs.</w:t>
      </w:r>
    </w:p>
    <w:p w14:paraId="44E3B727" w14:textId="73083DFF" w:rsidR="0012721F" w:rsidRPr="00EF6441" w:rsidRDefault="00EF6441" w:rsidP="00EF6441">
      <w:pPr>
        <w:pStyle w:val="ListParagraph"/>
        <w:numPr>
          <w:ilvl w:val="1"/>
          <w:numId w:val="10"/>
        </w:numPr>
        <w:rPr>
          <w:b/>
          <w:lang w:val="en-US"/>
        </w:rPr>
      </w:pPr>
      <w:r w:rsidRPr="00EF6441">
        <w:rPr>
          <w:b/>
          <w:lang w:val="en-US"/>
        </w:rPr>
        <w:t>Noise characterization</w:t>
      </w:r>
    </w:p>
    <w:p w14:paraId="70DEAE40" w14:textId="4CA4EB18" w:rsidR="00EF6441" w:rsidRPr="00EF6441" w:rsidRDefault="00EF6441" w:rsidP="004202FC">
      <w:pPr>
        <w:ind w:firstLine="360"/>
        <w:rPr>
          <w:lang w:val="en-US"/>
        </w:rPr>
      </w:pPr>
      <w:r w:rsidRPr="00EF6441">
        <w:rPr>
          <w:lang w:val="en-US"/>
        </w:rPr>
        <w:t xml:space="preserve">Noise characterization of silicon nanowire devices </w:t>
      </w:r>
      <w:r>
        <w:rPr>
          <w:lang w:val="en-US"/>
        </w:rPr>
        <w:t>was</w:t>
      </w:r>
      <w:r w:rsidRPr="00EF6441">
        <w:rPr>
          <w:lang w:val="en-US"/>
        </w:rPr>
        <w:t xml:space="preserve"> performed using the noise</w:t>
      </w:r>
      <w:r>
        <w:rPr>
          <w:lang w:val="en-US"/>
        </w:rPr>
        <w:t xml:space="preserve"> </w:t>
      </w:r>
      <w:r w:rsidRPr="00EF6441">
        <w:rPr>
          <w:lang w:val="en-US"/>
        </w:rPr>
        <w:t>measurement setup described</w:t>
      </w:r>
      <w:r>
        <w:rPr>
          <w:lang w:val="en-US"/>
        </w:rPr>
        <w:t xml:space="preserve"> in detail elsewhere</w:t>
      </w:r>
      <w:r>
        <w:rPr>
          <w:lang w:val="en-US"/>
        </w:rPr>
        <w:fldChar w:fldCharType="begin" w:fldLock="1"/>
      </w:r>
      <w:r w:rsidR="00D21323">
        <w:rPr>
          <w:lang w:val="en-US"/>
        </w:rPr>
        <w:instrText>ADDIN CSL_CITATION {"citationItems":[{"id":"ITEM-1","itemData":{"DOI":"dx.doi.org/10.17877/DE290R-20179","author":[{"dropping-particle":"","family":"Zadorozhnyi","given":"Ihor","non-dropping-particle":"","parse-names":false,"suffix":""}],"container-title":"Doctoral thesis","id":"ITEM-1","issued":{"date-parts":[["2019"]]},"publisher":"Forschungszentrum Juelich and TU Dortmund University","title":"Nanowire Transistor Structures for Advanced Biosensing","type":"thesis"},"uris":["http://www.mendeley.com/documents/?uuid=a40b9973-b291-4b55-b6b3-5e5199e93e3a"]},{"id":"ITEM-2","itemData":{"DOI":"10.1088/1361-6528/ab175e","ISSN":"13616528","abstract":"InAs nanowires (NWs) are recognized as a key material due to their unique transport properties. Despite remarkable progress in designing InAs NW device structures, there are still open questions on device variability. Here, we demonstrate that noise spectroscopy allows us to study not only the parameters of traps, but also to shed light on quantum transport in NW structures. This provides an important understanding of structural behavior as well as the background and strategy required to design NW structures with advanced properties.","author":[{"dropping-particle":"","family":"Petrychuk","given":"M.","non-dropping-particle":"","parse-names":false,"suffix":""},{"dropping-particle":"","family":"Zadorozhnyi","given":"I.","non-dropping-particle":"","parse-names":false,"suffix":""},{"dropping-particle":"","family":"Kutovyi","given":"Y.","non-dropping-particle":"","parse-names":false,"suffix":""},{"dropping-particle":"","family":"Karg","given":"S.","non-dropping-particle":"","parse-names":false,"suffix":""},{"dropping-particle":"","family":"Riel","given":"H.","non-dropping-particle":"","parse-names":false,"suffix":""},{"dropping-particle":"","family":"Vitusevich","given":"S.","non-dropping-particle":"","parse-names":false,"suffix":""}],"container-title":"Nanotechnology","id":"ITEM-2","issue":"30","issued":{"date-parts":[["2019"]]},"page":"1-9","publisher":"IOP Publishing","title":"Noise spectroscopy to study the 1D electron transport properties in InAs nanowires","type":"article-journal","volume":"30"},"uris":["http://www.mendeley.com/documents/?uuid=1d1752b0-142a-4cb4-b1c9-e51260501352"]},{"id":"ITEM-3","itemData":{"DOI":"10.1021/acs.nanolett.8b03508","ISSN":"1530-6984","abstract":"We fabricate two-layer (TL) silicon nanowires (NW)field-effecttransistors (FETs) with a liquid gate. The NW devices show advancedcharacteristics, which reflect reliable single-electron phenomena. A strongmodulation effect of channel conductivity with effectively tuned parameters isrevealed. The effect opens up prospects for applications in several researchfieldsincluding bioelectronics and sensing applications. Our results shed light on thenature of single trap dynamics which parameters can befine-tuned to enhancethe sensitivity of liquid-gated TL silicon nanowire FETs.","author":[{"dropping-particle":"","family":"Kutovyi","given":"Yurii","non-dropping-particle":"","parse-names":false,"suffix":""},{"dropping-particle":"","family":"Zadorozhnyi","given":"Ihor","non-dropping-particle":"","parse-names":false,"suffix":""},{"dropping-particle":"","family":"Handziuk","given":"Volodymyr","non-dropping-particle":"","parse-names":false,"suffix":""},{"dropping-particle":"","family":"Hlukhova","given":"Hanna","non-dropping-particle":"","parse-names":false,"suffix":""},{"dropping-particle":"","family":"Boichuk","given":"Nazarii","non-dropping-particle":"","parse-names":false,"suffix":""},{"dropping-particle":"","family":"Petrychuk","given":"Mykhaylo","non-dropping-particle":"","parse-names":false,"suffix":""},{"dropping-particle":"","family":"Vitusevich","given":"Svetlana","non-dropping-particle":"","parse-names":false,"suffix":""}],"container-title":"Nano Letters","id":"ITEM-3","issue":"11","issued":{"date-parts":[["2018"]]},"page":"7305-7313","title":"Liquid-Gated Two-Layer Silicon Nanowire FETs: Evidence of Controlling Single-Trap Dynamic Processes","type":"article-journal","volume":"18"},"uris":["http://www.mendeley.com/documents/?uuid=2daabe5f-b8cb-44d4-8032-1be5d61aceb3"]}],"mendeley":{"formattedCitation":"&lt;sup&gt;1–3&lt;/sup&gt;","plainTextFormattedCitation":"1–3","previouslyFormattedCitation":"&lt;sup&gt;1,2&lt;/sup&gt;"},"properties":{"noteIndex":0},"schema":"https://github.com/citation-style-language/schema/raw/master/csl-citation.json"}</w:instrText>
      </w:r>
      <w:r>
        <w:rPr>
          <w:lang w:val="en-US"/>
        </w:rPr>
        <w:fldChar w:fldCharType="separate"/>
      </w:r>
      <w:r w:rsidR="00D21323" w:rsidRPr="00D21323">
        <w:rPr>
          <w:noProof/>
          <w:vertAlign w:val="superscript"/>
          <w:lang w:val="en-US"/>
        </w:rPr>
        <w:t>1–3</w:t>
      </w:r>
      <w:r>
        <w:rPr>
          <w:lang w:val="en-US"/>
        </w:rPr>
        <w:fldChar w:fldCharType="end"/>
      </w:r>
      <w:r>
        <w:rPr>
          <w:lang w:val="en-US"/>
        </w:rPr>
        <w:t xml:space="preserve">. </w:t>
      </w:r>
      <w:r w:rsidRPr="00EF6441">
        <w:rPr>
          <w:lang w:val="en-US"/>
        </w:rPr>
        <w:t>Noise characteristics were measured in di</w:t>
      </w:r>
      <w:r>
        <w:rPr>
          <w:lang w:val="en-US"/>
        </w:rPr>
        <w:t>ff</w:t>
      </w:r>
      <w:r w:rsidRPr="00EF6441">
        <w:rPr>
          <w:lang w:val="en-US"/>
        </w:rPr>
        <w:t>erent operation modes for the</w:t>
      </w:r>
      <w:r>
        <w:rPr>
          <w:lang w:val="en-US"/>
        </w:rPr>
        <w:t xml:space="preserve"> </w:t>
      </w:r>
      <w:r w:rsidRPr="00EF6441">
        <w:rPr>
          <w:lang w:val="en-US"/>
        </w:rPr>
        <w:t>Si NW FET structures with various nanowire widths and lengths.</w:t>
      </w:r>
      <w:r>
        <w:rPr>
          <w:lang w:val="en-US"/>
        </w:rPr>
        <w:t xml:space="preserve"> </w:t>
      </w:r>
      <w:r w:rsidRPr="00EF6441">
        <w:rPr>
          <w:lang w:val="en-US"/>
        </w:rPr>
        <w:t>At low frequencies, noise</w:t>
      </w:r>
      <w:r>
        <w:rPr>
          <w:lang w:val="en-US"/>
        </w:rPr>
        <w:t xml:space="preserve"> </w:t>
      </w:r>
      <w:r w:rsidRPr="00EF6441">
        <w:rPr>
          <w:lang w:val="en-US"/>
        </w:rPr>
        <w:t xml:space="preserve">spectra </w:t>
      </w:r>
      <w:r>
        <w:rPr>
          <w:lang w:val="en-US"/>
        </w:rPr>
        <w:t xml:space="preserve">of measured nanowires </w:t>
      </w:r>
      <w:r w:rsidRPr="00EF6441">
        <w:rPr>
          <w:lang w:val="en-US"/>
        </w:rPr>
        <w:t>demonstrate</w:t>
      </w:r>
      <w:r>
        <w:rPr>
          <w:lang w:val="en-US"/>
        </w:rPr>
        <w:t>d the 1/f fl</w:t>
      </w:r>
      <w:r w:rsidRPr="00EF6441">
        <w:rPr>
          <w:lang w:val="en-US"/>
        </w:rPr>
        <w:t>icker noise behavior, which is dominant for major Si NW</w:t>
      </w:r>
      <w:r>
        <w:rPr>
          <w:lang w:val="en-US"/>
        </w:rPr>
        <w:t xml:space="preserve"> </w:t>
      </w:r>
      <w:r w:rsidRPr="00EF6441">
        <w:rPr>
          <w:lang w:val="en-US"/>
        </w:rPr>
        <w:t xml:space="preserve">chips under investigation. </w:t>
      </w:r>
      <w:r>
        <w:rPr>
          <w:lang w:val="en-US"/>
        </w:rPr>
        <w:t>The g</w:t>
      </w:r>
      <w:r w:rsidRPr="00EF6441">
        <w:rPr>
          <w:lang w:val="en-US"/>
        </w:rPr>
        <w:t>eneration-recombination (GR) noise components appearing in</w:t>
      </w:r>
      <w:r>
        <w:rPr>
          <w:lang w:val="en-US"/>
        </w:rPr>
        <w:t xml:space="preserve"> </w:t>
      </w:r>
      <w:r w:rsidRPr="00EF6441">
        <w:rPr>
          <w:lang w:val="en-US"/>
        </w:rPr>
        <w:t>the noise spectra for nanowires with small characteristic sizes correspond to single</w:t>
      </w:r>
      <w:r>
        <w:rPr>
          <w:lang w:val="en-US"/>
        </w:rPr>
        <w:t>-</w:t>
      </w:r>
      <w:r w:rsidRPr="00EF6441">
        <w:rPr>
          <w:lang w:val="en-US"/>
        </w:rPr>
        <w:t>electron events result</w:t>
      </w:r>
      <w:r>
        <w:rPr>
          <w:lang w:val="en-US"/>
        </w:rPr>
        <w:t>ing in random telegraph signal fl</w:t>
      </w:r>
      <w:r w:rsidRPr="00EF6441">
        <w:rPr>
          <w:lang w:val="en-US"/>
        </w:rPr>
        <w:t>uctuations of the current through</w:t>
      </w:r>
      <w:r>
        <w:rPr>
          <w:lang w:val="en-US"/>
        </w:rPr>
        <w:t xml:space="preserve"> </w:t>
      </w:r>
      <w:r w:rsidRPr="00EF6441">
        <w:rPr>
          <w:lang w:val="en-US"/>
        </w:rPr>
        <w:t>the channel.</w:t>
      </w:r>
      <w:r>
        <w:rPr>
          <w:lang w:val="en-US"/>
        </w:rPr>
        <w:t xml:space="preserve"> </w:t>
      </w:r>
      <w:r w:rsidRPr="00EF6441">
        <w:rPr>
          <w:lang w:val="en-US"/>
        </w:rPr>
        <w:t xml:space="preserve">The values of the current noise power spectral density </w:t>
      </w:r>
      <w:r>
        <w:rPr>
          <w:lang w:val="en-US"/>
        </w:rPr>
        <w:t xml:space="preserve">taken </w:t>
      </w:r>
      <w:r w:rsidRPr="00EF6441">
        <w:rPr>
          <w:lang w:val="en-US"/>
        </w:rPr>
        <w:t>at</w:t>
      </w:r>
      <w:r>
        <w:rPr>
          <w:lang w:val="en-US"/>
        </w:rPr>
        <w:t xml:space="preserve"> </w:t>
      </w:r>
      <w:r w:rsidRPr="00EF6441">
        <w:rPr>
          <w:lang w:val="en-US"/>
        </w:rPr>
        <w:t>10 Hz as a function</w:t>
      </w:r>
      <w:r>
        <w:rPr>
          <w:lang w:val="en-US"/>
        </w:rPr>
        <w:t xml:space="preserve"> of the overdrive gate voltage </w:t>
      </w:r>
      <w:r w:rsidRPr="00EF6441">
        <w:rPr>
          <w:lang w:val="en-US"/>
        </w:rPr>
        <w:t>are plott</w:t>
      </w:r>
      <w:r>
        <w:rPr>
          <w:lang w:val="en-US"/>
        </w:rPr>
        <w:t>ed in Fig.S2</w:t>
      </w:r>
      <w:r w:rsidR="00930C5A">
        <w:rPr>
          <w:lang w:val="en-US"/>
        </w:rPr>
        <w:t>(</w:t>
      </w:r>
      <w:r>
        <w:rPr>
          <w:lang w:val="en-US"/>
        </w:rPr>
        <w:t>a</w:t>
      </w:r>
      <w:r w:rsidR="00930C5A">
        <w:rPr>
          <w:lang w:val="en-US"/>
        </w:rPr>
        <w:t>)</w:t>
      </w:r>
      <w:r>
        <w:rPr>
          <w:lang w:val="en-US"/>
        </w:rPr>
        <w:t xml:space="preserve"> and S2</w:t>
      </w:r>
      <w:r w:rsidR="00930C5A">
        <w:rPr>
          <w:lang w:val="en-US"/>
        </w:rPr>
        <w:t>(</w:t>
      </w:r>
      <w:r>
        <w:rPr>
          <w:lang w:val="en-US"/>
        </w:rPr>
        <w:t>b</w:t>
      </w:r>
      <w:r w:rsidR="00930C5A">
        <w:rPr>
          <w:lang w:val="en-US"/>
        </w:rPr>
        <w:t>)</w:t>
      </w:r>
      <w:r>
        <w:rPr>
          <w:lang w:val="en-US"/>
        </w:rPr>
        <w:t xml:space="preserve"> </w:t>
      </w:r>
      <w:r w:rsidRPr="00175665">
        <w:rPr>
          <w:rFonts w:hint="eastAsia"/>
        </w:rPr>
        <w:t>for p</w:t>
      </w:r>
      <w:r w:rsidRPr="00175665">
        <w:rPr>
          <w:rFonts w:hint="eastAsia"/>
          <w:vertAlign w:val="superscript"/>
        </w:rPr>
        <w:t>+</w:t>
      </w:r>
      <w:r w:rsidRPr="00175665">
        <w:t>-</w:t>
      </w:r>
      <w:r w:rsidRPr="00175665">
        <w:rPr>
          <w:rFonts w:hint="eastAsia"/>
        </w:rPr>
        <w:t>p</w:t>
      </w:r>
      <w:r w:rsidRPr="00175665">
        <w:t>-</w:t>
      </w:r>
      <w:r w:rsidRPr="00175665">
        <w:rPr>
          <w:rFonts w:hint="eastAsia"/>
        </w:rPr>
        <w:t>p</w:t>
      </w:r>
      <w:r w:rsidRPr="00175665">
        <w:rPr>
          <w:rFonts w:hint="eastAsia"/>
          <w:vertAlign w:val="superscript"/>
        </w:rPr>
        <w:t>+</w:t>
      </w:r>
      <w:r w:rsidRPr="00175665">
        <w:rPr>
          <w:rFonts w:hint="eastAsia"/>
        </w:rPr>
        <w:t xml:space="preserve"> and </w:t>
      </w:r>
      <w:r w:rsidRPr="00175665">
        <w:t>n</w:t>
      </w:r>
      <w:r w:rsidRPr="00175665">
        <w:rPr>
          <w:vertAlign w:val="superscript"/>
        </w:rPr>
        <w:t>+</w:t>
      </w:r>
      <w:r w:rsidRPr="00175665">
        <w:t>-p-n</w:t>
      </w:r>
      <w:r w:rsidRPr="00175665">
        <w:rPr>
          <w:vertAlign w:val="superscript"/>
        </w:rPr>
        <w:t>+</w:t>
      </w:r>
      <w:r w:rsidRPr="00175665">
        <w:rPr>
          <w:rFonts w:hint="eastAsia"/>
        </w:rPr>
        <w:t xml:space="preserve"> structures</w:t>
      </w:r>
      <w:r>
        <w:t xml:space="preserve"> with different widths, respectively.</w:t>
      </w:r>
      <w:r w:rsidR="00410500">
        <w:t xml:space="preserve"> </w:t>
      </w:r>
    </w:p>
    <w:p w14:paraId="36A1B984" w14:textId="77777777" w:rsidR="004E1EE9" w:rsidRDefault="00EF6441" w:rsidP="004E1EE9">
      <w:pPr>
        <w:keepNext/>
        <w:jc w:val="center"/>
      </w:pPr>
      <w:r>
        <w:rPr>
          <w:noProof/>
          <w:lang w:val="en-US" w:eastAsia="en-US"/>
        </w:rPr>
        <w:lastRenderedPageBreak/>
        <w:drawing>
          <wp:inline distT="0" distB="0" distL="0" distR="0" wp14:anchorId="71B62BC1" wp14:editId="5FDE12A9">
            <wp:extent cx="5504084" cy="32004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04084" cy="3200400"/>
                    </a:xfrm>
                    <a:prstGeom prst="rect">
                      <a:avLst/>
                    </a:prstGeom>
                  </pic:spPr>
                </pic:pic>
              </a:graphicData>
            </a:graphic>
          </wp:inline>
        </w:drawing>
      </w:r>
    </w:p>
    <w:p w14:paraId="1E3F4A13" w14:textId="2EFE9DFB" w:rsidR="00EF6441" w:rsidRDefault="00410500" w:rsidP="004E1EE9">
      <w:pPr>
        <w:rPr>
          <w:lang w:val="en-US"/>
        </w:rPr>
      </w:pPr>
      <w:r w:rsidRPr="00410500">
        <w:rPr>
          <w:b/>
          <w:sz w:val="20"/>
        </w:rPr>
        <w:t>Fig</w:t>
      </w:r>
      <w:r w:rsidR="003343CE">
        <w:rPr>
          <w:b/>
          <w:sz w:val="20"/>
        </w:rPr>
        <w:t xml:space="preserve">ure </w:t>
      </w:r>
      <w:r w:rsidR="004E1EE9" w:rsidRPr="00410500">
        <w:rPr>
          <w:b/>
          <w:sz w:val="20"/>
        </w:rPr>
        <w:t>S2.</w:t>
      </w:r>
      <w:r w:rsidR="004E1EE9" w:rsidRPr="004E1EE9">
        <w:t xml:space="preserve"> </w:t>
      </w:r>
      <w:r w:rsidR="004E1EE9" w:rsidRPr="004E1EE9">
        <w:rPr>
          <w:sz w:val="20"/>
        </w:rPr>
        <w:t xml:space="preserve">Current noise spectral density measured </w:t>
      </w:r>
      <w:r w:rsidR="004E1EE9">
        <w:rPr>
          <w:sz w:val="20"/>
        </w:rPr>
        <w:t>for</w:t>
      </w:r>
      <w:r w:rsidR="004E1EE9" w:rsidRPr="004E1EE9">
        <w:rPr>
          <w:sz w:val="20"/>
        </w:rPr>
        <w:t xml:space="preserve"> the nanowires of di</w:t>
      </w:r>
      <w:r w:rsidR="004E1EE9">
        <w:rPr>
          <w:sz w:val="20"/>
        </w:rPr>
        <w:t>ff</w:t>
      </w:r>
      <w:r w:rsidR="004E1EE9" w:rsidRPr="004E1EE9">
        <w:rPr>
          <w:sz w:val="20"/>
        </w:rPr>
        <w:t>erent widths</w:t>
      </w:r>
      <w:r w:rsidR="004E1EE9">
        <w:rPr>
          <w:sz w:val="20"/>
        </w:rPr>
        <w:t xml:space="preserve"> </w:t>
      </w:r>
      <w:r w:rsidR="004E1EE9" w:rsidRPr="004E1EE9">
        <w:rPr>
          <w:rFonts w:hint="eastAsia"/>
          <w:sz w:val="20"/>
        </w:rPr>
        <w:t>in the range from 70</w:t>
      </w:r>
      <w:r w:rsidR="004E1EE9">
        <w:rPr>
          <w:sz w:val="20"/>
        </w:rPr>
        <w:t xml:space="preserve"> </w:t>
      </w:r>
      <w:r w:rsidR="004E1EE9" w:rsidRPr="004E1EE9">
        <w:rPr>
          <w:rFonts w:hint="eastAsia"/>
          <w:sz w:val="20"/>
        </w:rPr>
        <w:t>nm to 500</w:t>
      </w:r>
      <w:r w:rsidR="004E1EE9">
        <w:rPr>
          <w:sz w:val="20"/>
        </w:rPr>
        <w:t xml:space="preserve"> </w:t>
      </w:r>
      <w:r w:rsidR="004E1EE9" w:rsidRPr="004E1EE9">
        <w:rPr>
          <w:rFonts w:hint="eastAsia"/>
          <w:sz w:val="20"/>
        </w:rPr>
        <w:t xml:space="preserve">nm and lengths of 1 and 2 microns for (a) </w:t>
      </w:r>
      <w:r w:rsidR="004E1EE9" w:rsidRPr="00F4735B">
        <w:rPr>
          <w:rFonts w:hint="eastAsia"/>
          <w:sz w:val="20"/>
        </w:rPr>
        <w:t>p</w:t>
      </w:r>
      <w:r w:rsidR="004E1EE9" w:rsidRPr="00F4735B">
        <w:rPr>
          <w:rFonts w:hint="eastAsia"/>
          <w:sz w:val="20"/>
          <w:vertAlign w:val="superscript"/>
        </w:rPr>
        <w:t>+</w:t>
      </w:r>
      <w:r w:rsidR="004E1EE9" w:rsidRPr="00F4735B">
        <w:rPr>
          <w:sz w:val="20"/>
        </w:rPr>
        <w:t>-</w:t>
      </w:r>
      <w:r w:rsidR="004E1EE9" w:rsidRPr="00F4735B">
        <w:rPr>
          <w:rFonts w:hint="eastAsia"/>
          <w:sz w:val="20"/>
        </w:rPr>
        <w:t>p</w:t>
      </w:r>
      <w:r w:rsidR="004E1EE9" w:rsidRPr="00F4735B">
        <w:rPr>
          <w:sz w:val="20"/>
        </w:rPr>
        <w:t>-</w:t>
      </w:r>
      <w:r w:rsidR="004E1EE9" w:rsidRPr="00F4735B">
        <w:rPr>
          <w:rFonts w:hint="eastAsia"/>
          <w:sz w:val="20"/>
        </w:rPr>
        <w:t>p</w:t>
      </w:r>
      <w:r w:rsidR="004E1EE9" w:rsidRPr="00F4735B">
        <w:rPr>
          <w:rFonts w:hint="eastAsia"/>
          <w:sz w:val="20"/>
          <w:vertAlign w:val="superscript"/>
        </w:rPr>
        <w:t>+</w:t>
      </w:r>
      <w:r w:rsidR="004E1EE9" w:rsidRPr="00F4735B">
        <w:rPr>
          <w:rFonts w:hint="eastAsia"/>
          <w:sz w:val="20"/>
        </w:rPr>
        <w:t xml:space="preserve"> and</w:t>
      </w:r>
      <w:r w:rsidR="004E1EE9">
        <w:rPr>
          <w:sz w:val="20"/>
        </w:rPr>
        <w:t xml:space="preserve"> (b)</w:t>
      </w:r>
      <w:r w:rsidR="004E1EE9" w:rsidRPr="00F4735B">
        <w:rPr>
          <w:rFonts w:hint="eastAsia"/>
          <w:sz w:val="20"/>
        </w:rPr>
        <w:t xml:space="preserve"> </w:t>
      </w:r>
      <w:r w:rsidR="004E1EE9" w:rsidRPr="00F4735B">
        <w:rPr>
          <w:sz w:val="20"/>
        </w:rPr>
        <w:t>n</w:t>
      </w:r>
      <w:r w:rsidR="004E1EE9" w:rsidRPr="00F4735B">
        <w:rPr>
          <w:sz w:val="20"/>
          <w:vertAlign w:val="superscript"/>
        </w:rPr>
        <w:t>+</w:t>
      </w:r>
      <w:r w:rsidR="004E1EE9" w:rsidRPr="00F4735B">
        <w:rPr>
          <w:sz w:val="20"/>
        </w:rPr>
        <w:t>-p-n</w:t>
      </w:r>
      <w:r w:rsidR="004E1EE9" w:rsidRPr="00F4735B">
        <w:rPr>
          <w:sz w:val="20"/>
          <w:vertAlign w:val="superscript"/>
        </w:rPr>
        <w:t>+</w:t>
      </w:r>
      <w:r w:rsidR="004E1EE9" w:rsidRPr="00F4735B">
        <w:rPr>
          <w:rFonts w:hint="eastAsia"/>
          <w:sz w:val="20"/>
        </w:rPr>
        <w:t xml:space="preserve"> </w:t>
      </w:r>
      <w:r w:rsidR="004E1EE9">
        <w:rPr>
          <w:sz w:val="20"/>
        </w:rPr>
        <w:t xml:space="preserve">liquid-gated </w:t>
      </w:r>
      <w:r w:rsidR="004E1EE9" w:rsidRPr="00F4735B">
        <w:rPr>
          <w:rFonts w:hint="eastAsia"/>
          <w:sz w:val="20"/>
        </w:rPr>
        <w:t>structures</w:t>
      </w:r>
      <w:r w:rsidR="004E1EE9" w:rsidRPr="004E1EE9">
        <w:rPr>
          <w:rFonts w:hint="eastAsia"/>
          <w:sz w:val="20"/>
        </w:rPr>
        <w:t>.</w:t>
      </w:r>
    </w:p>
    <w:p w14:paraId="4AF1EC9B" w14:textId="38C25DD1" w:rsidR="004E1EE9" w:rsidRDefault="00410500" w:rsidP="00930C5A">
      <w:pPr>
        <w:ind w:firstLine="360"/>
        <w:rPr>
          <w:lang w:val="en-US"/>
        </w:rPr>
      </w:pPr>
      <w:r w:rsidRPr="00410500">
        <w:rPr>
          <w:lang w:val="en-US"/>
        </w:rPr>
        <w:t xml:space="preserve">The normalized current spectral density at 10 Hz is shown in </w:t>
      </w:r>
      <w:r>
        <w:rPr>
          <w:lang w:val="en-US"/>
        </w:rPr>
        <w:t>Fig.S3.</w:t>
      </w:r>
      <w:r w:rsidR="009A672A">
        <w:rPr>
          <w:lang w:val="en-US"/>
        </w:rPr>
        <w:t xml:space="preserve"> </w:t>
      </w:r>
      <w:r w:rsidRPr="00410500">
        <w:rPr>
          <w:rFonts w:hint="eastAsia"/>
          <w:lang w:val="en-US"/>
        </w:rPr>
        <w:t xml:space="preserve">The p-type devices demonstrate </w:t>
      </w:r>
      <w:r>
        <w:rPr>
          <w:lang w:val="en-US"/>
        </w:rPr>
        <w:t>I</w:t>
      </w:r>
      <w:r w:rsidRPr="00410500">
        <w:rPr>
          <w:vertAlign w:val="subscript"/>
          <w:lang w:val="en-US"/>
        </w:rPr>
        <w:t>D</w:t>
      </w:r>
      <w:r w:rsidRPr="00410500">
        <w:rPr>
          <w:vertAlign w:val="superscript"/>
          <w:lang w:val="en-US"/>
        </w:rPr>
        <w:t>-1</w:t>
      </w:r>
      <w:r w:rsidRPr="00410500">
        <w:rPr>
          <w:rFonts w:hint="eastAsia"/>
          <w:lang w:val="en-US"/>
        </w:rPr>
        <w:t xml:space="preserve"> behavior</w:t>
      </w:r>
      <w:r w:rsidR="0080356D">
        <w:rPr>
          <w:lang w:val="en-US"/>
        </w:rPr>
        <w:t xml:space="preserve"> (Fig.S3</w:t>
      </w:r>
      <w:r w:rsidR="00930C5A">
        <w:rPr>
          <w:lang w:val="en-US"/>
        </w:rPr>
        <w:t>(</w:t>
      </w:r>
      <w:r w:rsidR="0080356D">
        <w:rPr>
          <w:lang w:val="en-US"/>
        </w:rPr>
        <w:t>a</w:t>
      </w:r>
      <w:r w:rsidR="00930C5A">
        <w:rPr>
          <w:lang w:val="en-US"/>
        </w:rPr>
        <w:t>)</w:t>
      </w:r>
      <w:r w:rsidR="0080356D">
        <w:rPr>
          <w:lang w:val="en-US"/>
        </w:rPr>
        <w:t>)</w:t>
      </w:r>
      <w:r w:rsidRPr="00410500">
        <w:rPr>
          <w:rFonts w:hint="eastAsia"/>
          <w:lang w:val="en-US"/>
        </w:rPr>
        <w:t xml:space="preserve"> while n-type </w:t>
      </w:r>
      <w:r>
        <w:rPr>
          <w:lang w:val="en-US"/>
        </w:rPr>
        <w:t>–</w:t>
      </w:r>
      <w:r w:rsidRPr="00410500">
        <w:rPr>
          <w:rFonts w:hint="eastAsia"/>
          <w:lang w:val="en-US"/>
        </w:rPr>
        <w:t xml:space="preserve"> </w:t>
      </w:r>
      <w:r w:rsidRPr="00930C5A">
        <w:rPr>
          <w:rFonts w:cs="Times New Roman"/>
          <w:lang w:val="en-US"/>
        </w:rPr>
        <w:t>I</w:t>
      </w:r>
      <w:r w:rsidRPr="00930C5A">
        <w:rPr>
          <w:rFonts w:cs="Times New Roman"/>
          <w:vertAlign w:val="subscript"/>
          <w:lang w:val="en-US"/>
        </w:rPr>
        <w:t>D</w:t>
      </w:r>
      <w:r w:rsidRPr="00410500">
        <w:rPr>
          <w:rFonts w:ascii="Calibri" w:hAnsi="Calibri" w:cs="Calibri"/>
          <w:vertAlign w:val="superscript"/>
          <w:lang w:val="en-US"/>
        </w:rPr>
        <w:t>-2</w:t>
      </w:r>
      <w:r w:rsidR="0080356D">
        <w:rPr>
          <w:lang w:val="en-US"/>
        </w:rPr>
        <w:t xml:space="preserve"> (Fig.S3</w:t>
      </w:r>
      <w:r w:rsidR="00930C5A">
        <w:rPr>
          <w:lang w:val="en-US"/>
        </w:rPr>
        <w:t>(</w:t>
      </w:r>
      <w:r w:rsidR="0080356D">
        <w:rPr>
          <w:lang w:val="en-US"/>
        </w:rPr>
        <w:t>b</w:t>
      </w:r>
      <w:r w:rsidR="00930C5A">
        <w:rPr>
          <w:lang w:val="en-US"/>
        </w:rPr>
        <w:t>)</w:t>
      </w:r>
      <w:r w:rsidR="0080356D">
        <w:rPr>
          <w:lang w:val="en-US"/>
        </w:rPr>
        <w:t>).</w:t>
      </w:r>
      <w:r w:rsidRPr="00410500">
        <w:rPr>
          <w:lang w:val="en-US"/>
        </w:rPr>
        <w:t xml:space="preserve"> Such variation</w:t>
      </w:r>
      <w:r>
        <w:rPr>
          <w:lang w:val="en-US"/>
        </w:rPr>
        <w:t xml:space="preserve"> </w:t>
      </w:r>
      <w:r w:rsidRPr="00410500">
        <w:rPr>
          <w:lang w:val="en-US"/>
        </w:rPr>
        <w:t>can be explained by di</w:t>
      </w:r>
      <w:r>
        <w:rPr>
          <w:lang w:val="en-US"/>
        </w:rPr>
        <w:t>ff</w:t>
      </w:r>
      <w:r w:rsidRPr="00410500">
        <w:rPr>
          <w:lang w:val="en-US"/>
        </w:rPr>
        <w:t>erent origins of noise for n- and p-type structures.</w:t>
      </w:r>
    </w:p>
    <w:p w14:paraId="29CFCF9D" w14:textId="55E9E056" w:rsidR="00410500" w:rsidRDefault="009A672A" w:rsidP="009A672A">
      <w:pPr>
        <w:jc w:val="center"/>
        <w:rPr>
          <w:lang w:val="en-US"/>
        </w:rPr>
      </w:pPr>
      <w:r>
        <w:rPr>
          <w:noProof/>
          <w:lang w:val="en-US" w:eastAsia="en-US"/>
        </w:rPr>
        <w:drawing>
          <wp:inline distT="0" distB="0" distL="0" distR="0" wp14:anchorId="08502673" wp14:editId="14463128">
            <wp:extent cx="5524875" cy="3108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24875" cy="3108960"/>
                    </a:xfrm>
                    <a:prstGeom prst="rect">
                      <a:avLst/>
                    </a:prstGeom>
                  </pic:spPr>
                </pic:pic>
              </a:graphicData>
            </a:graphic>
          </wp:inline>
        </w:drawing>
      </w:r>
    </w:p>
    <w:p w14:paraId="3C28190C" w14:textId="3BFB7C56" w:rsidR="009A672A" w:rsidRDefault="009A672A" w:rsidP="009A672A">
      <w:pPr>
        <w:rPr>
          <w:lang w:val="en-US"/>
        </w:rPr>
      </w:pPr>
      <w:r w:rsidRPr="00410500">
        <w:rPr>
          <w:b/>
          <w:sz w:val="20"/>
        </w:rPr>
        <w:t>Fig</w:t>
      </w:r>
      <w:r w:rsidR="003343CE">
        <w:rPr>
          <w:b/>
          <w:sz w:val="20"/>
        </w:rPr>
        <w:t xml:space="preserve">ure </w:t>
      </w:r>
      <w:r>
        <w:rPr>
          <w:b/>
          <w:sz w:val="20"/>
        </w:rPr>
        <w:t>S3</w:t>
      </w:r>
      <w:r w:rsidRPr="00410500">
        <w:rPr>
          <w:b/>
          <w:sz w:val="20"/>
        </w:rPr>
        <w:t>.</w:t>
      </w:r>
      <w:r w:rsidRPr="004E1EE9">
        <w:t xml:space="preserve"> </w:t>
      </w:r>
      <w:r w:rsidRPr="009A672A">
        <w:rPr>
          <w:sz w:val="20"/>
        </w:rPr>
        <w:t>Normalized current noise spectral density measured on the nanowires of</w:t>
      </w:r>
      <w:r>
        <w:rPr>
          <w:sz w:val="20"/>
        </w:rPr>
        <w:t xml:space="preserve"> </w:t>
      </w:r>
      <w:r w:rsidRPr="009A672A">
        <w:rPr>
          <w:sz w:val="20"/>
        </w:rPr>
        <w:t>di</w:t>
      </w:r>
      <w:r>
        <w:rPr>
          <w:sz w:val="20"/>
        </w:rPr>
        <w:t>ff</w:t>
      </w:r>
      <w:r w:rsidRPr="009A672A">
        <w:rPr>
          <w:sz w:val="20"/>
        </w:rPr>
        <w:t>erent widths in the range from 70</w:t>
      </w:r>
      <w:r>
        <w:rPr>
          <w:sz w:val="20"/>
        </w:rPr>
        <w:t xml:space="preserve"> </w:t>
      </w:r>
      <w:r w:rsidRPr="009A672A">
        <w:rPr>
          <w:sz w:val="20"/>
        </w:rPr>
        <w:t>nm to 500</w:t>
      </w:r>
      <w:r>
        <w:rPr>
          <w:sz w:val="20"/>
        </w:rPr>
        <w:t xml:space="preserve"> </w:t>
      </w:r>
      <w:r w:rsidRPr="009A672A">
        <w:rPr>
          <w:sz w:val="20"/>
        </w:rPr>
        <w:t>nm and lengths of 1 and 2 microns for (a)</w:t>
      </w:r>
      <w:r>
        <w:rPr>
          <w:sz w:val="20"/>
        </w:rPr>
        <w:t xml:space="preserve"> </w:t>
      </w:r>
      <w:r w:rsidRPr="00F4735B">
        <w:rPr>
          <w:rFonts w:hint="eastAsia"/>
          <w:sz w:val="20"/>
        </w:rPr>
        <w:t>p</w:t>
      </w:r>
      <w:r w:rsidRPr="00F4735B">
        <w:rPr>
          <w:rFonts w:hint="eastAsia"/>
          <w:sz w:val="20"/>
          <w:vertAlign w:val="superscript"/>
        </w:rPr>
        <w:t>+</w:t>
      </w:r>
      <w:r w:rsidRPr="00F4735B">
        <w:rPr>
          <w:sz w:val="20"/>
        </w:rPr>
        <w:t>-</w:t>
      </w:r>
      <w:r w:rsidRPr="00F4735B">
        <w:rPr>
          <w:rFonts w:hint="eastAsia"/>
          <w:sz w:val="20"/>
        </w:rPr>
        <w:t>p</w:t>
      </w:r>
      <w:r w:rsidRPr="00F4735B">
        <w:rPr>
          <w:sz w:val="20"/>
        </w:rPr>
        <w:t>-</w:t>
      </w:r>
      <w:r w:rsidRPr="00F4735B">
        <w:rPr>
          <w:rFonts w:hint="eastAsia"/>
          <w:sz w:val="20"/>
        </w:rPr>
        <w:t>p</w:t>
      </w:r>
      <w:r w:rsidRPr="00F4735B">
        <w:rPr>
          <w:rFonts w:hint="eastAsia"/>
          <w:sz w:val="20"/>
          <w:vertAlign w:val="superscript"/>
        </w:rPr>
        <w:t>+</w:t>
      </w:r>
      <w:r w:rsidRPr="00F4735B">
        <w:rPr>
          <w:rFonts w:hint="eastAsia"/>
          <w:sz w:val="20"/>
        </w:rPr>
        <w:t xml:space="preserve"> and</w:t>
      </w:r>
      <w:r>
        <w:rPr>
          <w:sz w:val="20"/>
        </w:rPr>
        <w:t xml:space="preserve"> (b)</w:t>
      </w:r>
      <w:r w:rsidRPr="00F4735B">
        <w:rPr>
          <w:rFonts w:hint="eastAsia"/>
          <w:sz w:val="20"/>
        </w:rPr>
        <w:t xml:space="preserve"> </w:t>
      </w:r>
      <w:r w:rsidRPr="00F4735B">
        <w:rPr>
          <w:sz w:val="20"/>
        </w:rPr>
        <w:t>n</w:t>
      </w:r>
      <w:r w:rsidRPr="00F4735B">
        <w:rPr>
          <w:sz w:val="20"/>
          <w:vertAlign w:val="superscript"/>
        </w:rPr>
        <w:t>+</w:t>
      </w:r>
      <w:r w:rsidRPr="00F4735B">
        <w:rPr>
          <w:sz w:val="20"/>
        </w:rPr>
        <w:t>-p-n</w:t>
      </w:r>
      <w:r w:rsidRPr="00F4735B">
        <w:rPr>
          <w:sz w:val="20"/>
          <w:vertAlign w:val="superscript"/>
        </w:rPr>
        <w:t>+</w:t>
      </w:r>
      <w:r>
        <w:rPr>
          <w:sz w:val="20"/>
        </w:rPr>
        <w:t xml:space="preserve"> configurations.</w:t>
      </w:r>
    </w:p>
    <w:p w14:paraId="3E0ED924" w14:textId="335AAC98" w:rsidR="004E1EE9" w:rsidRDefault="007A55EA" w:rsidP="0080356D">
      <w:pPr>
        <w:ind w:firstLine="360"/>
        <w:rPr>
          <w:lang w:val="en-US"/>
        </w:rPr>
      </w:pPr>
      <w:r>
        <w:rPr>
          <w:lang w:val="en-US"/>
        </w:rPr>
        <w:t>I</w:t>
      </w:r>
      <w:r w:rsidRPr="007A55EA">
        <w:rPr>
          <w:lang w:val="en-US"/>
        </w:rPr>
        <w:t>nput-referred noise as a function of</w:t>
      </w:r>
      <w:r>
        <w:rPr>
          <w:lang w:val="en-US"/>
        </w:rPr>
        <w:t xml:space="preserve"> </w:t>
      </w:r>
      <w:r w:rsidR="005A63B9">
        <w:rPr>
          <w:lang w:val="en-US"/>
        </w:rPr>
        <w:t xml:space="preserve">the </w:t>
      </w:r>
      <w:r>
        <w:rPr>
          <w:lang w:val="en-US"/>
        </w:rPr>
        <w:t>gate area is shown in Fig.</w:t>
      </w:r>
      <w:r w:rsidR="0080356D">
        <w:rPr>
          <w:lang w:val="en-US"/>
        </w:rPr>
        <w:t>S</w:t>
      </w:r>
      <w:r>
        <w:rPr>
          <w:lang w:val="en-US"/>
        </w:rPr>
        <w:t>4</w:t>
      </w:r>
      <w:r w:rsidR="00930C5A">
        <w:rPr>
          <w:lang w:val="en-US"/>
        </w:rPr>
        <w:t>(</w:t>
      </w:r>
      <w:r>
        <w:rPr>
          <w:lang w:val="en-US"/>
        </w:rPr>
        <w:t>a</w:t>
      </w:r>
      <w:r w:rsidR="00930C5A">
        <w:rPr>
          <w:lang w:val="en-US"/>
        </w:rPr>
        <w:t>)</w:t>
      </w:r>
      <w:r>
        <w:rPr>
          <w:lang w:val="en-US"/>
        </w:rPr>
        <w:t xml:space="preserve"> and 4S</w:t>
      </w:r>
      <w:r w:rsidR="00930C5A">
        <w:rPr>
          <w:lang w:val="en-US"/>
        </w:rPr>
        <w:t>(</w:t>
      </w:r>
      <w:r>
        <w:rPr>
          <w:lang w:val="en-US"/>
        </w:rPr>
        <w:t>b</w:t>
      </w:r>
      <w:r w:rsidR="00930C5A">
        <w:rPr>
          <w:lang w:val="en-US"/>
        </w:rPr>
        <w:t>)</w:t>
      </w:r>
      <w:r>
        <w:rPr>
          <w:lang w:val="en-US"/>
        </w:rPr>
        <w:t xml:space="preserve"> for p-type and n-type devices, respectively.</w:t>
      </w:r>
      <w:r w:rsidR="0080356D">
        <w:rPr>
          <w:lang w:val="en-US"/>
        </w:rPr>
        <w:t xml:space="preserve"> </w:t>
      </w:r>
      <w:r w:rsidR="0080356D" w:rsidRPr="0080356D">
        <w:rPr>
          <w:lang w:val="en-US"/>
        </w:rPr>
        <w:t>As</w:t>
      </w:r>
      <w:r w:rsidR="0080356D">
        <w:rPr>
          <w:lang w:val="en-US"/>
        </w:rPr>
        <w:t xml:space="preserve"> it is predicted by the noise model</w:t>
      </w:r>
      <w:r w:rsidR="0080356D" w:rsidRPr="0080356D">
        <w:rPr>
          <w:lang w:val="en-US"/>
        </w:rPr>
        <w:t xml:space="preserve"> (see </w:t>
      </w:r>
      <w:r w:rsidR="0080356D">
        <w:rPr>
          <w:lang w:val="en-US"/>
        </w:rPr>
        <w:t>Eq</w:t>
      </w:r>
      <w:r w:rsidR="00930C5A">
        <w:rPr>
          <w:lang w:val="en-US"/>
        </w:rPr>
        <w:t>uation (</w:t>
      </w:r>
      <w:r w:rsidR="0080356D">
        <w:rPr>
          <w:lang w:val="en-US"/>
        </w:rPr>
        <w:t>1b</w:t>
      </w:r>
      <w:r w:rsidR="00930C5A">
        <w:rPr>
          <w:lang w:val="en-US"/>
        </w:rPr>
        <w:t>)</w:t>
      </w:r>
      <w:r w:rsidR="0080356D">
        <w:rPr>
          <w:lang w:val="en-US"/>
        </w:rPr>
        <w:t xml:space="preserve"> </w:t>
      </w:r>
      <w:r w:rsidR="0080356D">
        <w:rPr>
          <w:lang w:val="en-US"/>
        </w:rPr>
        <w:lastRenderedPageBreak/>
        <w:t>in the manuscript</w:t>
      </w:r>
      <w:r w:rsidR="0080356D" w:rsidRPr="0080356D">
        <w:rPr>
          <w:lang w:val="en-US"/>
        </w:rPr>
        <w:t>) input</w:t>
      </w:r>
      <w:r w:rsidR="0080356D">
        <w:rPr>
          <w:lang w:val="en-US"/>
        </w:rPr>
        <w:t>-</w:t>
      </w:r>
      <w:r w:rsidR="0080356D" w:rsidRPr="0080356D">
        <w:rPr>
          <w:lang w:val="en-US"/>
        </w:rPr>
        <w:t>referred noise for both n</w:t>
      </w:r>
      <w:r w:rsidR="0080356D">
        <w:rPr>
          <w:lang w:val="en-US"/>
        </w:rPr>
        <w:t xml:space="preserve">- </w:t>
      </w:r>
      <w:r w:rsidR="0080356D" w:rsidRPr="0080356D">
        <w:rPr>
          <w:lang w:val="en-US"/>
        </w:rPr>
        <w:t>and</w:t>
      </w:r>
      <w:r w:rsidR="0080356D">
        <w:rPr>
          <w:lang w:val="en-US"/>
        </w:rPr>
        <w:t xml:space="preserve"> </w:t>
      </w:r>
      <w:r w:rsidR="0080356D" w:rsidRPr="0080356D">
        <w:rPr>
          <w:lang w:val="en-US"/>
        </w:rPr>
        <w:t xml:space="preserve">p-type FETs is inversely proportional </w:t>
      </w:r>
      <w:r w:rsidR="0080356D">
        <w:rPr>
          <w:lang w:val="en-US"/>
        </w:rPr>
        <w:t>to</w:t>
      </w:r>
      <w:r w:rsidR="0080356D" w:rsidRPr="0080356D">
        <w:rPr>
          <w:lang w:val="en-US"/>
        </w:rPr>
        <w:t xml:space="preserve"> the </w:t>
      </w:r>
      <w:r w:rsidR="0080356D">
        <w:rPr>
          <w:lang w:val="en-US"/>
        </w:rPr>
        <w:t>gate</w:t>
      </w:r>
      <w:r w:rsidR="0080356D" w:rsidRPr="0080356D">
        <w:rPr>
          <w:lang w:val="en-US"/>
        </w:rPr>
        <w:t xml:space="preserve"> area. As it is shown </w:t>
      </w:r>
      <w:r w:rsidR="0080356D">
        <w:rPr>
          <w:lang w:val="en-US"/>
        </w:rPr>
        <w:t>in Fig.S</w:t>
      </w:r>
      <w:r w:rsidR="0080356D" w:rsidRPr="0080356D">
        <w:rPr>
          <w:lang w:val="en-US"/>
        </w:rPr>
        <w:t>4 both device types follow predicted behavior.</w:t>
      </w:r>
    </w:p>
    <w:p w14:paraId="67794AAA" w14:textId="4D9B6814" w:rsidR="0080356D" w:rsidRDefault="008E18EC" w:rsidP="008E18EC">
      <w:pPr>
        <w:ind w:firstLine="360"/>
        <w:jc w:val="center"/>
        <w:rPr>
          <w:lang w:val="en-US"/>
        </w:rPr>
      </w:pPr>
      <w:r>
        <w:rPr>
          <w:noProof/>
          <w:lang w:val="en-US" w:eastAsia="en-US"/>
        </w:rPr>
        <w:drawing>
          <wp:inline distT="0" distB="0" distL="0" distR="0" wp14:anchorId="5DF4A958" wp14:editId="6B4A8EC9">
            <wp:extent cx="5358543" cy="2377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58543" cy="2377440"/>
                    </a:xfrm>
                    <a:prstGeom prst="rect">
                      <a:avLst/>
                    </a:prstGeom>
                  </pic:spPr>
                </pic:pic>
              </a:graphicData>
            </a:graphic>
          </wp:inline>
        </w:drawing>
      </w:r>
    </w:p>
    <w:p w14:paraId="1ECA98F3" w14:textId="5D2EBA7E" w:rsidR="008E18EC" w:rsidRDefault="008E18EC" w:rsidP="008E18EC">
      <w:pPr>
        <w:rPr>
          <w:lang w:val="en-US"/>
        </w:rPr>
      </w:pPr>
      <w:r w:rsidRPr="00410500">
        <w:rPr>
          <w:b/>
          <w:sz w:val="20"/>
        </w:rPr>
        <w:t>Fig</w:t>
      </w:r>
      <w:r w:rsidR="003343CE">
        <w:rPr>
          <w:b/>
          <w:sz w:val="20"/>
        </w:rPr>
        <w:t xml:space="preserve">ure </w:t>
      </w:r>
      <w:r>
        <w:rPr>
          <w:b/>
          <w:sz w:val="20"/>
        </w:rPr>
        <w:t>S4</w:t>
      </w:r>
      <w:r w:rsidRPr="00410500">
        <w:rPr>
          <w:b/>
          <w:sz w:val="20"/>
        </w:rPr>
        <w:t>.</w:t>
      </w:r>
      <w:r w:rsidRPr="004E1EE9">
        <w:t xml:space="preserve"> </w:t>
      </w:r>
      <w:r w:rsidRPr="008E18EC">
        <w:rPr>
          <w:rFonts w:hint="eastAsia"/>
          <w:sz w:val="20"/>
        </w:rPr>
        <w:t xml:space="preserve">The input-referred noise as a function of gate surface area for (a) </w:t>
      </w:r>
      <w:r w:rsidRPr="009A672A">
        <w:rPr>
          <w:sz w:val="20"/>
        </w:rPr>
        <w:t>)</w:t>
      </w:r>
      <w:r>
        <w:rPr>
          <w:sz w:val="20"/>
        </w:rPr>
        <w:t xml:space="preserve"> </w:t>
      </w:r>
      <w:r w:rsidRPr="00F4735B">
        <w:rPr>
          <w:rFonts w:hint="eastAsia"/>
          <w:sz w:val="20"/>
        </w:rPr>
        <w:t>p</w:t>
      </w:r>
      <w:r w:rsidRPr="00F4735B">
        <w:rPr>
          <w:rFonts w:hint="eastAsia"/>
          <w:sz w:val="20"/>
          <w:vertAlign w:val="superscript"/>
        </w:rPr>
        <w:t>+</w:t>
      </w:r>
      <w:r w:rsidRPr="00F4735B">
        <w:rPr>
          <w:sz w:val="20"/>
        </w:rPr>
        <w:t>-</w:t>
      </w:r>
      <w:r w:rsidRPr="00F4735B">
        <w:rPr>
          <w:rFonts w:hint="eastAsia"/>
          <w:sz w:val="20"/>
        </w:rPr>
        <w:t>p</w:t>
      </w:r>
      <w:r w:rsidRPr="00F4735B">
        <w:rPr>
          <w:sz w:val="20"/>
        </w:rPr>
        <w:t>-</w:t>
      </w:r>
      <w:r w:rsidRPr="00F4735B">
        <w:rPr>
          <w:rFonts w:hint="eastAsia"/>
          <w:sz w:val="20"/>
        </w:rPr>
        <w:t>p</w:t>
      </w:r>
      <w:r w:rsidRPr="00F4735B">
        <w:rPr>
          <w:rFonts w:hint="eastAsia"/>
          <w:sz w:val="20"/>
          <w:vertAlign w:val="superscript"/>
        </w:rPr>
        <w:t>+</w:t>
      </w:r>
      <w:r w:rsidRPr="00F4735B">
        <w:rPr>
          <w:rFonts w:hint="eastAsia"/>
          <w:sz w:val="20"/>
        </w:rPr>
        <w:t xml:space="preserve"> and</w:t>
      </w:r>
      <w:r>
        <w:rPr>
          <w:sz w:val="20"/>
        </w:rPr>
        <w:t xml:space="preserve"> (b)</w:t>
      </w:r>
      <w:r w:rsidRPr="00F4735B">
        <w:rPr>
          <w:rFonts w:hint="eastAsia"/>
          <w:sz w:val="20"/>
        </w:rPr>
        <w:t xml:space="preserve"> </w:t>
      </w:r>
      <w:r w:rsidRPr="00F4735B">
        <w:rPr>
          <w:sz w:val="20"/>
        </w:rPr>
        <w:t>n</w:t>
      </w:r>
      <w:r w:rsidRPr="00F4735B">
        <w:rPr>
          <w:sz w:val="20"/>
          <w:vertAlign w:val="superscript"/>
        </w:rPr>
        <w:t>+</w:t>
      </w:r>
      <w:r w:rsidRPr="00F4735B">
        <w:rPr>
          <w:sz w:val="20"/>
        </w:rPr>
        <w:t>-p-n</w:t>
      </w:r>
      <w:r w:rsidRPr="00F4735B">
        <w:rPr>
          <w:sz w:val="20"/>
          <w:vertAlign w:val="superscript"/>
        </w:rPr>
        <w:t>+</w:t>
      </w:r>
      <w:r>
        <w:rPr>
          <w:sz w:val="20"/>
        </w:rPr>
        <w:t xml:space="preserve"> structures at diff</w:t>
      </w:r>
      <w:r w:rsidRPr="008E18EC">
        <w:rPr>
          <w:sz w:val="20"/>
        </w:rPr>
        <w:t>erent overdrive liquid-gate voltages.</w:t>
      </w:r>
    </w:p>
    <w:p w14:paraId="03C57311" w14:textId="2DA80480" w:rsidR="008E18EC" w:rsidRPr="00D23AB8" w:rsidRDefault="00D23AB8" w:rsidP="00D23AB8">
      <w:pPr>
        <w:pStyle w:val="ListParagraph"/>
        <w:numPr>
          <w:ilvl w:val="0"/>
          <w:numId w:val="10"/>
        </w:numPr>
        <w:rPr>
          <w:b/>
          <w:lang w:val="en-US"/>
        </w:rPr>
      </w:pPr>
      <w:r w:rsidRPr="00D23AB8">
        <w:rPr>
          <w:b/>
          <w:lang w:val="en-US"/>
        </w:rPr>
        <w:t>Random telegraph signal noise simulation procedure</w:t>
      </w:r>
    </w:p>
    <w:p w14:paraId="21C16470" w14:textId="13F59A89" w:rsidR="00D23AB8" w:rsidRDefault="00D23AB8" w:rsidP="00D23AB8">
      <w:pPr>
        <w:ind w:firstLine="360"/>
        <w:rPr>
          <w:lang w:val="en-US"/>
        </w:rPr>
      </w:pPr>
      <w:r w:rsidRPr="00D23AB8">
        <w:rPr>
          <w:lang w:val="en-US"/>
        </w:rPr>
        <w:t>To evaluate the probabilities of electrons to be captured or emitted from the trap we utilized a method previously described in</w:t>
      </w:r>
      <w:r>
        <w:rPr>
          <w:lang w:val="en-US"/>
        </w:rPr>
        <w:t xml:space="preserve"> ref</w:t>
      </w:r>
      <w:r>
        <w:rPr>
          <w:lang w:val="en-US"/>
        </w:rPr>
        <w:fldChar w:fldCharType="begin" w:fldLock="1"/>
      </w:r>
      <w:r w:rsidR="00D21323">
        <w:rPr>
          <w:lang w:val="en-US"/>
        </w:rPr>
        <w:instrText xml:space="preserve">ADDIN CSL_CITATION {"citationItems":[{"id":"ITEM-1","itemData":{"DOI":"10.1021/ja4060788","ISSN":"15205126","abstract":"We develop a random walk model to simulate the Brownian motion and the electrochemical response of a single molecule confined to an electrode surface via a flexible molecular tether. We use our simple model, which requires no prior knowledge of the physics of the molecular tether, to predict and better understand the voltammetric response of surface-confined redox molecules when motion of the redox molecule becomes important. The single molecule is confined to a hemispherical volume with a maximum radius determined by the flexible molecular tether (5-20 nm) and is allowed to undergo true three-dimensional diffusion. Distance- and potential-dependent electron transfer probabilities are evaluated throughout the simulations to generate cyclic voltammograms of the model system. We find that at sufficiently slow cyclic voltammetric scan rates the electrochemical reaction behaves like an adsorbed redox molecule with no mass transfer limitation; thus, the peak current is proportional to the scan rate. Conversely, at faster scan rates the diffusional motion of the molecule limits the simulated peak current, which exhibits a linear dependence on the square root of the scan rate. The switch between these two limiting regimes occurs when the diffusion layer thickness, (2Dt)&lt;sup&gt;1/2&lt;/sup&gt;, is </w:instrText>
      </w:r>
      <w:r w:rsidR="00D21323">
        <w:rPr>
          <w:rFonts w:ascii="Cambria Math" w:hAnsi="Cambria Math" w:cs="Cambria Math"/>
          <w:lang w:val="en-US"/>
        </w:rPr>
        <w:instrText>∼</w:instrText>
      </w:r>
      <w:r w:rsidR="00D21323">
        <w:rPr>
          <w:lang w:val="en-US"/>
        </w:rPr>
        <w:instrText>10 times the tether length. Finally, we find that our model predicts the voltammetric behavior of a redox-active methylene blue tethered to an electrode surface via short flexible single-stranded, polythymine DNAs, allowing the estimation of diffusion coefficients for the end-tethered molecule. © 2013 American Chemical Society.","author":[{"dropping-particle":"","family":"Huang","given":"Kuan Chun","non-dropping-particle":"","parse-names":false,"suffix":""},{"dropping-particle":"","family":"White","given":"Ryan J.","non-dropping-particle":"","parse-names":false,"suffix":""}],"container-title":"Journal of the American Chemical Society","id":"ITEM-1","issue":"34","issued":{"date-parts":[["2013"]]},"page":"12808-12817","title":"Random walk on a leash: A simple single-molecule diffusion model for surface-tethered redox molecules with flexible linkers","type":"article-journal","volume":"135"},"uris":["http://www.mendeley.com/documents/?uuid=6dbb6d10-e9bb-4031-8421-a6820e1d9060"]}],"mendeley":{"formattedCitation":"&lt;sup&gt;4&lt;/sup&gt;","plainTextFormattedCitation":"4","previouslyFormattedCitation":"&lt;sup&gt;3&lt;/sup&gt;"},"properties":{"noteIndex":0},"schema":"https://github.com/citation-style-language/schema/raw/master/csl-citation.json"}</w:instrText>
      </w:r>
      <w:r>
        <w:rPr>
          <w:lang w:val="en-US"/>
        </w:rPr>
        <w:fldChar w:fldCharType="separate"/>
      </w:r>
      <w:r w:rsidR="00D21323" w:rsidRPr="00D21323">
        <w:rPr>
          <w:noProof/>
          <w:vertAlign w:val="superscript"/>
          <w:lang w:val="en-US"/>
        </w:rPr>
        <w:t>4</w:t>
      </w:r>
      <w:r>
        <w:rPr>
          <w:lang w:val="en-US"/>
        </w:rPr>
        <w:fldChar w:fldCharType="end"/>
      </w:r>
      <w:r>
        <w:rPr>
          <w:lang w:val="en-US"/>
        </w:rPr>
        <w:t xml:space="preserve">. </w:t>
      </w:r>
      <w:r w:rsidRPr="00D23AB8">
        <w:rPr>
          <w:lang w:val="en-US"/>
        </w:rPr>
        <w:t xml:space="preserve">The capture and emission rates were defined using </w:t>
      </w:r>
      <w:r>
        <w:rPr>
          <w:lang w:val="en-US"/>
        </w:rPr>
        <w:t xml:space="preserve">the </w:t>
      </w:r>
      <w:r w:rsidRPr="00D23AB8">
        <w:rPr>
          <w:lang w:val="en-US"/>
        </w:rPr>
        <w:t>following formulas: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6899"/>
        <w:gridCol w:w="1561"/>
      </w:tblGrid>
      <w:tr w:rsidR="00D23AB8" w14:paraId="20FA5278" w14:textId="77777777" w:rsidTr="000C1EF6">
        <w:tc>
          <w:tcPr>
            <w:tcW w:w="630" w:type="dxa"/>
            <w:vAlign w:val="center"/>
          </w:tcPr>
          <w:p w14:paraId="019338A6" w14:textId="77777777" w:rsidR="00D23AB8" w:rsidRDefault="00D23AB8" w:rsidP="000C1EF6">
            <w:pPr>
              <w:jc w:val="center"/>
            </w:pPr>
          </w:p>
        </w:tc>
        <w:tc>
          <w:tcPr>
            <w:tcW w:w="7110" w:type="dxa"/>
            <w:vAlign w:val="center"/>
          </w:tcPr>
          <w:p w14:paraId="07F0E4E4" w14:textId="77777777" w:rsidR="00D23AB8" w:rsidRDefault="00B934CC" w:rsidP="000C1EF6">
            <m:oMathPara>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c</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c</m:t>
                        </m:r>
                      </m:sub>
                    </m:sSub>
                  </m:den>
                </m:f>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coeff</m:t>
                    </m:r>
                  </m:sub>
                </m:sSub>
                <m:r>
                  <w:rPr>
                    <w:rFonts w:ascii="Cambria Math" w:hAnsi="Cambria Math" w:cs="Times New Roman"/>
                    <w:szCs w:val="24"/>
                  </w:rPr>
                  <m:t>* dgn*</m:t>
                </m:r>
                <m:func>
                  <m:funcPr>
                    <m:ctrlPr>
                      <w:rPr>
                        <w:rFonts w:ascii="Cambria Math" w:hAnsi="Cambria Math" w:cs="Times New Roman"/>
                        <w:i/>
                        <w:szCs w:val="24"/>
                      </w:rPr>
                    </m:ctrlPr>
                  </m:funcPr>
                  <m:fName>
                    <m:r>
                      <m:rPr>
                        <m:sty m:val="p"/>
                      </m:rPr>
                      <w:rPr>
                        <w:rFonts w:ascii="Cambria Math" w:hAnsi="Cambria Math" w:cs="Times New Roman"/>
                        <w:szCs w:val="24"/>
                      </w:rPr>
                      <m:t>exp</m:t>
                    </m:r>
                  </m:fName>
                  <m:e>
                    <m:d>
                      <m:dPr>
                        <m:begChr m:val="["/>
                        <m:endChr m:val="]"/>
                        <m:ctrlPr>
                          <w:rPr>
                            <w:rFonts w:ascii="Cambria Math" w:hAnsi="Cambria Math" w:cs="Times New Roman"/>
                            <w:i/>
                            <w:szCs w:val="24"/>
                          </w:rPr>
                        </m:ctrlPr>
                      </m:dPr>
                      <m:e>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q</m:t>
                            </m:r>
                          </m:num>
                          <m:den>
                            <m:r>
                              <w:rPr>
                                <w:rFonts w:ascii="Cambria Math" w:hAnsi="Cambria Math" w:cs="Times New Roman"/>
                                <w:szCs w:val="24"/>
                              </w:rPr>
                              <m:t>kT</m:t>
                            </m:r>
                          </m:den>
                        </m:f>
                        <m:r>
                          <w:rPr>
                            <w:rFonts w:ascii="Cambria Math" w:hAnsi="Cambria Math" w:cs="Times New Roman"/>
                            <w:szCs w:val="24"/>
                          </w:rPr>
                          <m:t xml:space="preserve"> γ (</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trap</m:t>
                            </m:r>
                          </m:sub>
                        </m:sSub>
                        <m:r>
                          <w:rPr>
                            <w:rFonts w:ascii="Cambria Math" w:hAnsi="Cambria Math" w:cs="Times New Roman"/>
                            <w:szCs w:val="24"/>
                          </w:rPr>
                          <m:t>- α</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g</m:t>
                            </m:r>
                          </m:sub>
                        </m:sSub>
                        <m:r>
                          <w:rPr>
                            <w:rFonts w:ascii="Cambria Math" w:hAnsi="Cambria Math" w:cs="Times New Roman"/>
                            <w:szCs w:val="24"/>
                          </w:rPr>
                          <m:t>)</m:t>
                        </m:r>
                      </m:e>
                    </m:d>
                  </m:e>
                </m:func>
              </m:oMath>
            </m:oMathPara>
          </w:p>
        </w:tc>
        <w:tc>
          <w:tcPr>
            <w:tcW w:w="1610" w:type="dxa"/>
            <w:vAlign w:val="center"/>
          </w:tcPr>
          <w:p w14:paraId="3F89B53A" w14:textId="77777777" w:rsidR="00D23AB8" w:rsidRDefault="00D23AB8" w:rsidP="000C1EF6">
            <w:pPr>
              <w:jc w:val="right"/>
            </w:pPr>
            <w:r>
              <w:t>(1)</w:t>
            </w:r>
          </w:p>
        </w:tc>
      </w:tr>
    </w:tbl>
    <w:p w14:paraId="3E3A800A" w14:textId="77777777" w:rsidR="00D23AB8" w:rsidRDefault="00D23AB8" w:rsidP="00D23AB8">
      <w:pPr>
        <w:spacing w:after="0"/>
        <w:ind w:firstLine="720"/>
      </w:pPr>
    </w:p>
    <w:tbl>
      <w:tblPr>
        <w:tblStyle w:val="TableGrid"/>
        <w:tblW w:w="0" w:type="auto"/>
        <w:tblLook w:val="04A0" w:firstRow="1" w:lastRow="0" w:firstColumn="1" w:lastColumn="0" w:noHBand="0" w:noVBand="1"/>
      </w:tblPr>
      <w:tblGrid>
        <w:gridCol w:w="614"/>
        <w:gridCol w:w="7065"/>
        <w:gridCol w:w="1393"/>
      </w:tblGrid>
      <w:tr w:rsidR="00D23AB8" w14:paraId="3875A1B6" w14:textId="77777777" w:rsidTr="00D23AB8">
        <w:tc>
          <w:tcPr>
            <w:tcW w:w="614" w:type="dxa"/>
            <w:tcBorders>
              <w:top w:val="nil"/>
              <w:left w:val="nil"/>
              <w:bottom w:val="nil"/>
              <w:right w:val="nil"/>
            </w:tcBorders>
            <w:vAlign w:val="center"/>
          </w:tcPr>
          <w:p w14:paraId="654ECD2F" w14:textId="77777777" w:rsidR="00D23AB8" w:rsidRDefault="00D23AB8" w:rsidP="000C1EF6">
            <w:pPr>
              <w:jc w:val="right"/>
            </w:pPr>
          </w:p>
        </w:tc>
        <w:tc>
          <w:tcPr>
            <w:tcW w:w="7065" w:type="dxa"/>
            <w:tcBorders>
              <w:top w:val="nil"/>
              <w:left w:val="nil"/>
              <w:bottom w:val="nil"/>
              <w:right w:val="nil"/>
            </w:tcBorders>
            <w:vAlign w:val="center"/>
          </w:tcPr>
          <w:p w14:paraId="1B225DD7" w14:textId="77777777" w:rsidR="00D23AB8" w:rsidRDefault="00B934CC" w:rsidP="000C1EF6">
            <w:pPr>
              <w:jc w:val="right"/>
            </w:pPr>
            <m:oMathPara>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e</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e</m:t>
                        </m:r>
                      </m:sub>
                    </m:sSub>
                  </m:den>
                </m:f>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coeff</m:t>
                    </m:r>
                  </m:sub>
                </m:sSub>
                <m:r>
                  <w:rPr>
                    <w:rFonts w:ascii="Cambria Math" w:hAnsi="Cambria Math" w:cs="Times New Roman"/>
                    <w:szCs w:val="24"/>
                  </w:rPr>
                  <m:t>* dgn*</m:t>
                </m:r>
                <m:func>
                  <m:funcPr>
                    <m:ctrlPr>
                      <w:rPr>
                        <w:rFonts w:ascii="Cambria Math" w:hAnsi="Cambria Math" w:cs="Times New Roman"/>
                        <w:i/>
                        <w:szCs w:val="24"/>
                      </w:rPr>
                    </m:ctrlPr>
                  </m:funcPr>
                  <m:fName>
                    <m:r>
                      <m:rPr>
                        <m:sty m:val="p"/>
                      </m:rPr>
                      <w:rPr>
                        <w:rFonts w:ascii="Cambria Math" w:hAnsi="Cambria Math" w:cs="Times New Roman"/>
                        <w:szCs w:val="24"/>
                      </w:rPr>
                      <m:t>exp</m:t>
                    </m:r>
                  </m:fName>
                  <m:e>
                    <m:d>
                      <m:dPr>
                        <m:begChr m:val="["/>
                        <m:endChr m:val="]"/>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q</m:t>
                            </m:r>
                          </m:num>
                          <m:den>
                            <m:r>
                              <w:rPr>
                                <w:rFonts w:ascii="Cambria Math" w:hAnsi="Cambria Math" w:cs="Times New Roman"/>
                                <w:szCs w:val="24"/>
                              </w:rPr>
                              <m:t>kT</m:t>
                            </m:r>
                          </m:den>
                        </m:f>
                        <m:r>
                          <w:rPr>
                            <w:rFonts w:ascii="Cambria Math" w:hAnsi="Cambria Math" w:cs="Times New Roman"/>
                            <w:szCs w:val="24"/>
                          </w:rPr>
                          <m:t xml:space="preserve"> (1-γ) (</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trap</m:t>
                            </m:r>
                          </m:sub>
                        </m:sSub>
                        <m:r>
                          <w:rPr>
                            <w:rFonts w:ascii="Cambria Math" w:hAnsi="Cambria Math" w:cs="Times New Roman"/>
                            <w:szCs w:val="24"/>
                          </w:rPr>
                          <m:t>- α</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g</m:t>
                            </m:r>
                          </m:sub>
                        </m:sSub>
                        <m:r>
                          <w:rPr>
                            <w:rFonts w:ascii="Cambria Math" w:hAnsi="Cambria Math" w:cs="Times New Roman"/>
                            <w:szCs w:val="24"/>
                          </w:rPr>
                          <m:t>)</m:t>
                        </m:r>
                      </m:e>
                    </m:d>
                  </m:e>
                </m:func>
              </m:oMath>
            </m:oMathPara>
          </w:p>
        </w:tc>
        <w:tc>
          <w:tcPr>
            <w:tcW w:w="1393" w:type="dxa"/>
            <w:tcBorders>
              <w:top w:val="nil"/>
              <w:left w:val="nil"/>
              <w:bottom w:val="nil"/>
              <w:right w:val="nil"/>
            </w:tcBorders>
            <w:vAlign w:val="center"/>
          </w:tcPr>
          <w:p w14:paraId="1076CBD0" w14:textId="77777777" w:rsidR="00D23AB8" w:rsidRDefault="00D23AB8" w:rsidP="000C1EF6">
            <w:pPr>
              <w:jc w:val="right"/>
            </w:pPr>
            <w:r>
              <w:t>(2)</w:t>
            </w:r>
          </w:p>
        </w:tc>
      </w:tr>
    </w:tbl>
    <w:p w14:paraId="36CB495E" w14:textId="175BDBC7" w:rsidR="00D23AB8" w:rsidRDefault="00930C5A" w:rsidP="004202FC">
      <w:pPr>
        <w:spacing w:before="240"/>
        <w:ind w:firstLine="360"/>
        <w:rPr>
          <w:rFonts w:cs="Times New Roman"/>
          <w:szCs w:val="24"/>
        </w:rPr>
      </w:pPr>
      <w:r>
        <w:rPr>
          <w:rFonts w:cs="Times New Roman"/>
          <w:szCs w:val="24"/>
        </w:rPr>
        <w:t>w</w:t>
      </w:r>
      <w:r w:rsidR="00D23AB8">
        <w:rPr>
          <w:rFonts w:cs="Times New Roman"/>
          <w:szCs w:val="24"/>
        </w:rPr>
        <w:t xml:space="preserve">here </w:t>
      </w:r>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coeff</m:t>
            </m:r>
          </m:sub>
        </m:sSub>
      </m:oMath>
      <w:r w:rsidR="00D23AB8" w:rsidRPr="005F1737">
        <w:rPr>
          <w:rFonts w:cs="Times New Roman"/>
          <w:szCs w:val="24"/>
        </w:rPr>
        <w:t xml:space="preserve"> </w:t>
      </w:r>
      <w:r w:rsidR="00D23AB8">
        <w:rPr>
          <w:rFonts w:cs="Times New Roman"/>
          <w:szCs w:val="24"/>
        </w:rPr>
        <w:t xml:space="preserve">is a coefficient defining rate when </w:t>
      </w:r>
      <m:oMath>
        <m:r>
          <w:rPr>
            <w:rFonts w:ascii="Cambria Math" w:hAnsi="Cambria Math" w:cs="Times New Roman"/>
            <w:szCs w:val="24"/>
          </w:rPr>
          <m:t>g=0.5</m:t>
        </m:r>
      </m:oMath>
      <w:r w:rsidR="00D23AB8">
        <w:rPr>
          <w:rFonts w:cs="Times New Roman"/>
          <w:szCs w:val="24"/>
        </w:rPr>
        <w:t xml:space="preserve">, </w:t>
      </w:r>
      <m:oMath>
        <m:r>
          <w:rPr>
            <w:rFonts w:ascii="Cambria Math" w:hAnsi="Cambria Math" w:cs="Times New Roman"/>
            <w:szCs w:val="24"/>
          </w:rPr>
          <m:t>dgn</m:t>
        </m:r>
      </m:oMath>
      <w:r w:rsidR="00D23AB8" w:rsidRPr="005F1737">
        <w:rPr>
          <w:rFonts w:cs="Times New Roman"/>
          <w:szCs w:val="24"/>
        </w:rPr>
        <w:t xml:space="preserve"> </w:t>
      </w:r>
      <w:r w:rsidR="00D23AB8">
        <w:rPr>
          <w:rFonts w:cs="Times New Roman"/>
          <w:szCs w:val="24"/>
        </w:rPr>
        <w:t xml:space="preserve">denotes a </w:t>
      </w:r>
      <w:r w:rsidR="00D23AB8" w:rsidRPr="005F1737">
        <w:rPr>
          <w:rFonts w:cs="Times New Roman"/>
          <w:szCs w:val="24"/>
        </w:rPr>
        <w:t xml:space="preserve">degeneracy </w:t>
      </w:r>
      <w:r w:rsidR="00D23AB8">
        <w:rPr>
          <w:rFonts w:cs="Times New Roman"/>
          <w:szCs w:val="24"/>
        </w:rPr>
        <w:t>factor (set</w:t>
      </w:r>
      <w:r w:rsidR="00D23AB8" w:rsidRPr="005F1737">
        <w:rPr>
          <w:rFonts w:cs="Times New Roman"/>
          <w:szCs w:val="24"/>
        </w:rPr>
        <w:t xml:space="preserve"> to 1</w:t>
      </w:r>
      <w:r w:rsidR="00D23AB8">
        <w:rPr>
          <w:rFonts w:cs="Times New Roman"/>
          <w:szCs w:val="24"/>
        </w:rPr>
        <w:t xml:space="preserve"> for all simulations),</w:t>
      </w:r>
      <w:r w:rsidR="00D23AB8" w:rsidRPr="005F1737">
        <w:rPr>
          <w:rFonts w:cs="Times New Roman"/>
          <w:szCs w:val="24"/>
        </w:rPr>
        <w:t xml:space="preserve"> </w:t>
      </w:r>
      <m:oMath>
        <m:r>
          <w:rPr>
            <w:rFonts w:ascii="Cambria Math" w:hAnsi="Cambria Math" w:cs="Times New Roman"/>
            <w:szCs w:val="24"/>
          </w:rPr>
          <m:t>q</m:t>
        </m:r>
      </m:oMath>
      <w:r w:rsidR="00D23AB8" w:rsidRPr="005F1737">
        <w:rPr>
          <w:rFonts w:cs="Times New Roman"/>
          <w:szCs w:val="24"/>
        </w:rPr>
        <w:t xml:space="preserve"> is the elementary charge, </w:t>
      </w:r>
      <m:oMath>
        <m:r>
          <w:rPr>
            <w:rFonts w:ascii="Cambria Math" w:hAnsi="Cambria Math" w:cs="Times New Roman"/>
            <w:szCs w:val="24"/>
          </w:rPr>
          <m:t>γ</m:t>
        </m:r>
      </m:oMath>
      <w:r w:rsidR="00D23AB8" w:rsidRPr="005F1737">
        <w:rPr>
          <w:rFonts w:cs="Times New Roman"/>
          <w:szCs w:val="24"/>
        </w:rPr>
        <w:t xml:space="preserve"> is the charge transfer coefficient</w:t>
      </w:r>
      <w:r w:rsidR="00D23AB8">
        <w:rPr>
          <w:rFonts w:cs="Times New Roman"/>
          <w:szCs w:val="24"/>
        </w:rPr>
        <w:t xml:space="preserve"> (1 if </w:t>
      </w:r>
      <m:oMath>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e</m:t>
            </m:r>
          </m:sub>
        </m:sSub>
      </m:oMath>
      <w:r w:rsidR="00D23AB8">
        <w:rPr>
          <w:rFonts w:cs="Times New Roman"/>
          <w:szCs w:val="24"/>
        </w:rPr>
        <w:t xml:space="preserve"> doesn’t depend on </w:t>
      </w: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g</m:t>
            </m:r>
          </m:sub>
        </m:sSub>
      </m:oMath>
      <w:r w:rsidR="00D23AB8">
        <w:rPr>
          <w:rFonts w:cs="Times New Roman"/>
          <w:szCs w:val="24"/>
        </w:rPr>
        <w:t>)</w:t>
      </w:r>
      <w:r w:rsidR="00D23AB8" w:rsidRPr="005F1737">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trap</m:t>
            </m:r>
          </m:sub>
        </m:sSub>
      </m:oMath>
      <w:r w:rsidR="00D23AB8" w:rsidRPr="005F1737">
        <w:rPr>
          <w:rFonts w:cs="Times New Roman"/>
          <w:szCs w:val="24"/>
        </w:rPr>
        <w:t xml:space="preserve"> is the energy of </w:t>
      </w:r>
      <w:r w:rsidR="00D23AB8">
        <w:rPr>
          <w:rFonts w:cs="Times New Roman"/>
          <w:szCs w:val="24"/>
        </w:rPr>
        <w:t xml:space="preserve">a trap, </w:t>
      </w: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g</m:t>
            </m:r>
          </m:sub>
        </m:sSub>
      </m:oMath>
      <w:r w:rsidR="00D23AB8" w:rsidRPr="005F1737">
        <w:rPr>
          <w:rFonts w:cs="Times New Roman"/>
          <w:szCs w:val="24"/>
        </w:rPr>
        <w:t xml:space="preserve"> is applied gate voltage, </w:t>
      </w:r>
      <m:oMath>
        <m:r>
          <w:rPr>
            <w:rFonts w:ascii="Cambria Math" w:hAnsi="Cambria Math" w:cs="Times New Roman"/>
            <w:szCs w:val="24"/>
          </w:rPr>
          <m:t>α</m:t>
        </m:r>
      </m:oMath>
      <w:r w:rsidR="00D23AB8" w:rsidRPr="005F1737">
        <w:rPr>
          <w:rFonts w:cs="Times New Roman"/>
          <w:szCs w:val="24"/>
        </w:rPr>
        <w:t xml:space="preserve"> is the</w:t>
      </w:r>
      <w:r w:rsidR="00D23AB8">
        <w:rPr>
          <w:rFonts w:cs="Times New Roman"/>
          <w:szCs w:val="24"/>
        </w:rPr>
        <w:t xml:space="preserve"> ration between the gate capacitance</w:t>
      </w:r>
      <w:r w:rsidR="00D23AB8" w:rsidRPr="005F1737">
        <w:rPr>
          <w:rFonts w:cs="Times New Roman"/>
          <w:szCs w:val="24"/>
        </w:rPr>
        <w:t xml:space="preserve"> and tunneling capacitance</w:t>
      </w:r>
      <w:r w:rsidR="00D23AB8">
        <w:rPr>
          <w:rFonts w:cs="Times New Roman"/>
          <w:szCs w:val="24"/>
        </w:rPr>
        <w:fldChar w:fldCharType="begin" w:fldLock="1"/>
      </w:r>
      <w:r w:rsidR="00D21323">
        <w:rPr>
          <w:rFonts w:cs="Times New Roman"/>
          <w:szCs w:val="24"/>
        </w:rPr>
        <w:instrText>ADDIN CSL_CITATION {"citationItems":[{"id":"ITEM-1","itemData":{"DOI":"10.1038/ncomms1092","ISSN":"2041-1723","PMID":"20981020","abstract":"Flicker or 1/f noise in metal-oxide-semiconductor field-effect transistors (MOSFETs) has been identified as the main source of noise at low frequency. It often originates from an ensemble of a huge number of charges becoming trapped and de-trapped. However, as a deviation from the well-known model of 1/f noise is observed for nanoscale MOSFETs, a new model is required. Here, we report the observation of one-by-one trap activation controlled by the gate voltage in a nanowire MOSFET and propose a new low-frequency-noise theory for nanoscale FETs. We show that the Coulomb repulsion between electronically charged trap sites prevents the activation of several traps simultaneously. This effect induces a noise reduction of more than one order of magnitude. It decreases when the electron density in the channel is increased due to the electrical screening of traps. These findings are technologically useful for any FET with a short and narrow channel.","author":[{"dropping-particle":"","family":"Clément","given":"N.","non-dropping-particle":"","parse-names":false,"suffix":""},{"dropping-particle":"","family":"Nishiguchi","given":"K.","non-dropping-particle":"","parse-names":false,"suffix":""},{"dropping-particle":"","family":"Fujiwara","given":"A.","non-dropping-particle":"","parse-names":false,"suffix":""},{"dropping-particle":"","family":"Vuillaume","given":"D.","non-dropping-particle":"","parse-names":false,"suffix":""}],"container-title":"Nature communications","id":"ITEM-1","issue":"92","issued":{"date-parts":[["2010"]]},"page":"1-8","title":"One-by-one trap activation in silicon nanowire transistors","type":"article-journal","volume":"1"},"uris":["http://www.mendeley.com/documents/?uuid=9cb7a0b9-4c05-4a50-bb38-30467ffa49cd"]}],"mendeley":{"formattedCitation":"&lt;sup&gt;5&lt;/sup&gt;","plainTextFormattedCitation":"5","previouslyFormattedCitation":"&lt;sup&gt;4&lt;/sup&gt;"},"properties":{"noteIndex":0},"schema":"https://github.com/citation-style-language/schema/raw/master/csl-citation.json"}</w:instrText>
      </w:r>
      <w:r w:rsidR="00D23AB8">
        <w:rPr>
          <w:rFonts w:cs="Times New Roman"/>
          <w:szCs w:val="24"/>
        </w:rPr>
        <w:fldChar w:fldCharType="separate"/>
      </w:r>
      <w:r w:rsidR="00D21323" w:rsidRPr="00D21323">
        <w:rPr>
          <w:rFonts w:cs="Times New Roman"/>
          <w:noProof/>
          <w:szCs w:val="24"/>
          <w:vertAlign w:val="superscript"/>
        </w:rPr>
        <w:t>5</w:t>
      </w:r>
      <w:r w:rsidR="00D23AB8">
        <w:rPr>
          <w:rFonts w:cs="Times New Roman"/>
          <w:szCs w:val="24"/>
        </w:rPr>
        <w:fldChar w:fldCharType="end"/>
      </w:r>
      <w:r w:rsidR="00D23AB8" w:rsidRPr="005F1737">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j</m:t>
            </m:r>
          </m:sub>
        </m:sSub>
      </m:oMath>
      <w:r w:rsidR="00D23AB8" w:rsidRPr="005F1737">
        <w:rPr>
          <w:rFonts w:cs="Times New Roman"/>
          <w:szCs w:val="24"/>
        </w:rPr>
        <w:t xml:space="preserve"> </w:t>
      </w:r>
      <w:r w:rsidR="00D23AB8">
        <w:rPr>
          <w:rFonts w:cs="Times New Roman"/>
          <w:szCs w:val="24"/>
        </w:rPr>
        <w:t xml:space="preserve">– capacitance </w:t>
      </w:r>
      <w:r w:rsidR="00D23AB8" w:rsidRPr="005F1737">
        <w:rPr>
          <w:rFonts w:cs="Times New Roman"/>
          <w:szCs w:val="24"/>
        </w:rPr>
        <w:t xml:space="preserve">between the channel and </w:t>
      </w:r>
      <w:r w:rsidR="00D23AB8">
        <w:rPr>
          <w:rFonts w:cs="Times New Roman"/>
          <w:szCs w:val="24"/>
        </w:rPr>
        <w:t xml:space="preserve">the trap. Therefore, we assume that </w:t>
      </w:r>
      <m:oMath>
        <m:r>
          <w:rPr>
            <w:rFonts w:ascii="Cambria Math" w:hAnsi="Cambria Math" w:cs="Times New Roman"/>
            <w:szCs w:val="24"/>
          </w:rPr>
          <m:t>α</m:t>
        </m:r>
      </m:oMath>
      <w:r w:rsidR="00D23AB8">
        <w:rPr>
          <w:rFonts w:cs="Times New Roman"/>
          <w:szCs w:val="24"/>
        </w:rPr>
        <w:t xml:space="preserve"> </w:t>
      </w:r>
      <w:r w:rsidR="00D23AB8" w:rsidRPr="005F1737">
        <w:rPr>
          <w:rFonts w:cs="Times New Roman"/>
          <w:szCs w:val="24"/>
        </w:rPr>
        <w:t xml:space="preserve">is the ratio between the trap depth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trap</m:t>
            </m:r>
          </m:sub>
        </m:sSub>
      </m:oMath>
      <w:r w:rsidR="00D23AB8" w:rsidRPr="005F1737">
        <w:rPr>
          <w:rFonts w:cs="Times New Roman"/>
          <w:szCs w:val="24"/>
        </w:rPr>
        <w:t xml:space="preserve"> and the dielectric thickness</w:t>
      </w:r>
      <m:oMath>
        <m:sSub>
          <m:sSubPr>
            <m:ctrlPr>
              <w:rPr>
                <w:rFonts w:ascii="Cambria Math" w:hAnsi="Cambria Math" w:cs="Times New Roman"/>
                <w:szCs w:val="24"/>
              </w:rPr>
            </m:ctrlPr>
          </m:sSubPr>
          <m:e>
            <m:r>
              <w:rPr>
                <w:rFonts w:ascii="Cambria Math" w:hAnsi="Cambria Math" w:cs="Times New Roman"/>
                <w:szCs w:val="24"/>
              </w:rPr>
              <m:t xml:space="preserve"> t</m:t>
            </m:r>
          </m:e>
          <m:sub>
            <m:r>
              <w:rPr>
                <w:rFonts w:ascii="Cambria Math" w:hAnsi="Cambria Math" w:cs="Times New Roman"/>
                <w:szCs w:val="24"/>
              </w:rPr>
              <m:t>ox</m:t>
            </m:r>
          </m:sub>
        </m:sSub>
      </m:oMath>
      <w:r w:rsidR="00D23AB8" w:rsidRPr="005F1737">
        <w:rPr>
          <w:rFonts w:cs="Times New Roman"/>
          <w:szCs w:val="24"/>
        </w:rPr>
        <w:t xml:space="preserve">. </w:t>
      </w:r>
    </w:p>
    <w:p w14:paraId="20A9D930" w14:textId="77777777" w:rsidR="00D23AB8" w:rsidRDefault="00D23AB8" w:rsidP="004202FC">
      <w:pPr>
        <w:spacing w:before="240"/>
        <w:ind w:firstLine="360"/>
      </w:pPr>
      <w:r w:rsidRPr="005F3F0F">
        <w:t xml:space="preserve">The probability of the electron </w:t>
      </w:r>
      <w:r>
        <w:t xml:space="preserve">transferring (capture or emission) at </w:t>
      </w:r>
      <w:r w:rsidRPr="005F3F0F">
        <w:t xml:space="preserve">time </w:t>
      </w:r>
      <w:r w:rsidRPr="00787E14">
        <w:rPr>
          <w:i/>
        </w:rPr>
        <w:t>t</w:t>
      </w:r>
      <w:r w:rsidRPr="005F3F0F">
        <w:t xml:space="preserve"> </w:t>
      </w:r>
      <w:r w:rsidRPr="005F1737">
        <w:rPr>
          <w:rFonts w:cs="Times New Roman"/>
          <w:szCs w:val="24"/>
        </w:rPr>
        <w:t>since the last transition</w:t>
      </w:r>
      <w:r>
        <w:t xml:space="preserve"> was</w:t>
      </w:r>
      <w:r w:rsidRPr="005F3F0F">
        <w:t xml:space="preserve"> calculated</w:t>
      </w:r>
      <w:r>
        <w:t xml:space="preserve"> using formulas: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3954"/>
        <w:gridCol w:w="2694"/>
      </w:tblGrid>
      <w:tr w:rsidR="00D23AB8" w14:paraId="4C627E3D" w14:textId="77777777" w:rsidTr="000C1EF6">
        <w:tc>
          <w:tcPr>
            <w:tcW w:w="2515" w:type="dxa"/>
            <w:vAlign w:val="center"/>
          </w:tcPr>
          <w:p w14:paraId="2EFDCC0C" w14:textId="77777777" w:rsidR="00D23AB8" w:rsidRDefault="00D23AB8" w:rsidP="000C1EF6">
            <w:pPr>
              <w:jc w:val="center"/>
            </w:pPr>
          </w:p>
        </w:tc>
        <w:tc>
          <w:tcPr>
            <w:tcW w:w="4050" w:type="dxa"/>
            <w:vAlign w:val="center"/>
          </w:tcPr>
          <w:p w14:paraId="5989B862" w14:textId="77777777" w:rsidR="00D23AB8" w:rsidRDefault="00B934CC" w:rsidP="000C1EF6">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c,e</m:t>
                    </m:r>
                  </m:sub>
                </m:sSub>
                <m:r>
                  <w:rPr>
                    <w:rFonts w:ascii="Cambria Math" w:hAnsi="Cambria Math"/>
                  </w:rPr>
                  <m:t>=1-Exp[-</m:t>
                </m:r>
                <m:f>
                  <m:fPr>
                    <m:ctrlPr>
                      <w:rPr>
                        <w:rFonts w:ascii="Cambria Math" w:hAnsi="Cambria Math"/>
                        <w:i/>
                      </w:rPr>
                    </m:ctrlPr>
                  </m:fPr>
                  <m:num>
                    <m:r>
                      <w:rPr>
                        <w:rFonts w:ascii="Cambria Math" w:hAnsi="Cambria Math"/>
                      </w:rPr>
                      <m:t xml:space="preserve">t </m:t>
                    </m:r>
                  </m:num>
                  <m:den>
                    <m:sSub>
                      <m:sSubPr>
                        <m:ctrlPr>
                          <w:rPr>
                            <w:rFonts w:ascii="Cambria Math" w:hAnsi="Cambria Math"/>
                            <w:i/>
                          </w:rPr>
                        </m:ctrlPr>
                      </m:sSubPr>
                      <m:e>
                        <m:r>
                          <w:rPr>
                            <w:rFonts w:ascii="Cambria Math" w:hAnsi="Cambria Math"/>
                          </w:rPr>
                          <m:t xml:space="preserve"> τ</m:t>
                        </m:r>
                      </m:e>
                      <m:sub>
                        <m:r>
                          <w:rPr>
                            <w:rFonts w:ascii="Cambria Math" w:hAnsi="Cambria Math"/>
                          </w:rPr>
                          <m:t>c,  e</m:t>
                        </m:r>
                      </m:sub>
                    </m:sSub>
                  </m:den>
                </m:f>
                <m:r>
                  <w:rPr>
                    <w:rFonts w:ascii="Cambria Math" w:hAnsi="Cambria Math"/>
                  </w:rPr>
                  <m:t>]</m:t>
                </m:r>
              </m:oMath>
            </m:oMathPara>
          </w:p>
        </w:tc>
        <w:tc>
          <w:tcPr>
            <w:tcW w:w="2785" w:type="dxa"/>
            <w:vAlign w:val="center"/>
          </w:tcPr>
          <w:p w14:paraId="13736125" w14:textId="77777777" w:rsidR="00D23AB8" w:rsidRDefault="00D23AB8" w:rsidP="000C1EF6">
            <w:pPr>
              <w:jc w:val="right"/>
            </w:pPr>
            <w:r>
              <w:t>(3)</w:t>
            </w:r>
          </w:p>
        </w:tc>
      </w:tr>
    </w:tbl>
    <w:p w14:paraId="1336F089" w14:textId="644E68BB" w:rsidR="00D23AB8" w:rsidRDefault="00D23AB8" w:rsidP="00D23AB8"/>
    <w:p w14:paraId="2F14BC74" w14:textId="498E84E8" w:rsidR="004202FC" w:rsidRDefault="004202FC" w:rsidP="00D23AB8"/>
    <w:p w14:paraId="7B8D9F28" w14:textId="77777777" w:rsidR="004202FC" w:rsidRPr="00D23AB8" w:rsidRDefault="004202FC" w:rsidP="00D23AB8"/>
    <w:p w14:paraId="4D14FE72" w14:textId="5F9B5E76" w:rsidR="00D23AB8" w:rsidRPr="007C4B0E" w:rsidRDefault="007C4B0E" w:rsidP="007C4B0E">
      <w:pPr>
        <w:pStyle w:val="ListParagraph"/>
        <w:numPr>
          <w:ilvl w:val="0"/>
          <w:numId w:val="10"/>
        </w:numPr>
        <w:rPr>
          <w:b/>
          <w:lang w:val="en-US"/>
        </w:rPr>
      </w:pPr>
      <w:r w:rsidRPr="007C4B0E">
        <w:rPr>
          <w:b/>
          <w:lang w:val="en-US"/>
        </w:rPr>
        <w:lastRenderedPageBreak/>
        <w:t>Autocorrelation function of g-factor</w:t>
      </w:r>
    </w:p>
    <w:p w14:paraId="1056039E" w14:textId="77777777" w:rsidR="007C4B0E" w:rsidRDefault="007C4B0E" w:rsidP="007C4B0E">
      <w:pPr>
        <w:keepNext/>
        <w:jc w:val="center"/>
      </w:pPr>
      <w:r>
        <w:rPr>
          <w:noProof/>
          <w:lang w:val="en-US" w:eastAsia="en-US"/>
        </w:rPr>
        <w:drawing>
          <wp:inline distT="0" distB="0" distL="0" distR="0" wp14:anchorId="05C88491" wp14:editId="056B8AEC">
            <wp:extent cx="2792749" cy="18288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2749" cy="1828800"/>
                    </a:xfrm>
                    <a:prstGeom prst="rect">
                      <a:avLst/>
                    </a:prstGeom>
                    <a:noFill/>
                  </pic:spPr>
                </pic:pic>
              </a:graphicData>
            </a:graphic>
          </wp:inline>
        </w:drawing>
      </w:r>
    </w:p>
    <w:p w14:paraId="09BD244E" w14:textId="3CAB2CB2" w:rsidR="007C4B0E" w:rsidRPr="00D23AB8" w:rsidRDefault="007C4B0E" w:rsidP="007C4B0E">
      <w:pPr>
        <w:rPr>
          <w:lang w:val="en-US"/>
        </w:rPr>
      </w:pPr>
      <w:r w:rsidRPr="00410500">
        <w:rPr>
          <w:b/>
          <w:sz w:val="20"/>
        </w:rPr>
        <w:t>Fig</w:t>
      </w:r>
      <w:r w:rsidR="003343CE">
        <w:rPr>
          <w:b/>
          <w:sz w:val="20"/>
        </w:rPr>
        <w:t xml:space="preserve">ure </w:t>
      </w:r>
      <w:r>
        <w:rPr>
          <w:b/>
          <w:sz w:val="20"/>
        </w:rPr>
        <w:t>S5</w:t>
      </w:r>
      <w:r w:rsidRPr="00410500">
        <w:rPr>
          <w:b/>
          <w:sz w:val="20"/>
        </w:rPr>
        <w:t>.</w:t>
      </w:r>
      <w:r w:rsidRPr="004E1EE9">
        <w:t xml:space="preserve"> </w:t>
      </w:r>
      <w:r>
        <w:rPr>
          <w:sz w:val="20"/>
        </w:rPr>
        <w:t xml:space="preserve">The correlation function </w:t>
      </w:r>
      <w:r w:rsidRPr="007C4B0E">
        <w:rPr>
          <w:sz w:val="20"/>
        </w:rPr>
        <w:t>of g</w:t>
      </w:r>
      <w:r>
        <w:rPr>
          <w:sz w:val="20"/>
        </w:rPr>
        <w:t>-factor</w:t>
      </w:r>
      <w:r w:rsidRPr="007C4B0E">
        <w:rPr>
          <w:sz w:val="20"/>
        </w:rPr>
        <w:t xml:space="preserve"> as a function of the averaging time window.</w:t>
      </w:r>
      <w:r>
        <w:rPr>
          <w:sz w:val="20"/>
        </w:rPr>
        <w:t xml:space="preserve"> </w:t>
      </w:r>
      <w:r w:rsidRPr="007C4B0E">
        <w:rPr>
          <w:sz w:val="20"/>
        </w:rPr>
        <w:t>Two regimes are observed</w:t>
      </w:r>
      <w:r>
        <w:rPr>
          <w:sz w:val="20"/>
        </w:rPr>
        <w:t xml:space="preserve"> </w:t>
      </w:r>
      <w:r w:rsidRPr="007C4B0E">
        <w:rPr>
          <w:sz w:val="20"/>
        </w:rPr>
        <w:t>that are related to the averaging filter and the stochastic charge transfer</w:t>
      </w:r>
      <w:r>
        <w:rPr>
          <w:sz w:val="20"/>
        </w:rPr>
        <w:t>, respectively.</w:t>
      </w:r>
    </w:p>
    <w:p w14:paraId="74C7FF2C" w14:textId="77777777" w:rsidR="00D21323" w:rsidRDefault="00D21323" w:rsidP="00D21323">
      <w:pPr>
        <w:rPr>
          <w:lang w:val="en-US"/>
        </w:rPr>
      </w:pPr>
    </w:p>
    <w:p w14:paraId="7A479954" w14:textId="35B8274A" w:rsidR="0012721F" w:rsidRPr="0012721F" w:rsidRDefault="0012721F" w:rsidP="0012721F">
      <w:pPr>
        <w:rPr>
          <w:b/>
          <w:sz w:val="28"/>
          <w:lang w:val="en-US"/>
        </w:rPr>
      </w:pPr>
      <w:r w:rsidRPr="00D21323">
        <w:rPr>
          <w:b/>
          <w:szCs w:val="20"/>
          <w:lang w:val="en-US"/>
        </w:rPr>
        <w:t>References</w:t>
      </w:r>
    </w:p>
    <w:p w14:paraId="0B6082CB" w14:textId="66506824" w:rsidR="00D21323" w:rsidRPr="00D21323" w:rsidRDefault="0012721F" w:rsidP="00D21323">
      <w:pPr>
        <w:widowControl w:val="0"/>
        <w:autoSpaceDE w:val="0"/>
        <w:autoSpaceDN w:val="0"/>
        <w:adjustRightInd w:val="0"/>
        <w:spacing w:line="240" w:lineRule="auto"/>
        <w:ind w:left="640" w:hanging="640"/>
        <w:rPr>
          <w:rFonts w:cs="Times New Roman"/>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D21323" w:rsidRPr="00D21323">
        <w:rPr>
          <w:rFonts w:cs="Times New Roman"/>
          <w:noProof/>
          <w:szCs w:val="24"/>
        </w:rPr>
        <w:t>1.</w:t>
      </w:r>
      <w:r w:rsidR="00D21323" w:rsidRPr="00D21323">
        <w:rPr>
          <w:rFonts w:cs="Times New Roman"/>
          <w:noProof/>
          <w:szCs w:val="24"/>
        </w:rPr>
        <w:tab/>
        <w:t xml:space="preserve">Zadorozhnyi, I. Nanowire Transistor Structures for Advanced Biosensing. </w:t>
      </w:r>
      <w:r w:rsidR="00D21323" w:rsidRPr="00D21323">
        <w:rPr>
          <w:rFonts w:cs="Times New Roman"/>
          <w:i/>
          <w:iCs/>
          <w:noProof/>
          <w:szCs w:val="24"/>
        </w:rPr>
        <w:t>Doctoral thesis</w:t>
      </w:r>
      <w:r w:rsidR="00D21323" w:rsidRPr="00D21323">
        <w:rPr>
          <w:rFonts w:cs="Times New Roman"/>
          <w:noProof/>
          <w:szCs w:val="24"/>
        </w:rPr>
        <w:t xml:space="preserve"> (Forschungszentrum Juelich and TU Dortmund University, 2019). doi:dx.doi.org/10.17877/DE290R-20179</w:t>
      </w:r>
    </w:p>
    <w:p w14:paraId="108649B7" w14:textId="77777777" w:rsidR="00D21323" w:rsidRPr="00D21323" w:rsidRDefault="00D21323" w:rsidP="00D21323">
      <w:pPr>
        <w:widowControl w:val="0"/>
        <w:autoSpaceDE w:val="0"/>
        <w:autoSpaceDN w:val="0"/>
        <w:adjustRightInd w:val="0"/>
        <w:spacing w:line="240" w:lineRule="auto"/>
        <w:ind w:left="640" w:hanging="640"/>
        <w:rPr>
          <w:rFonts w:cs="Times New Roman"/>
          <w:noProof/>
          <w:szCs w:val="24"/>
        </w:rPr>
      </w:pPr>
      <w:r w:rsidRPr="00D21323">
        <w:rPr>
          <w:rFonts w:cs="Times New Roman"/>
          <w:noProof/>
          <w:szCs w:val="24"/>
        </w:rPr>
        <w:t>2.</w:t>
      </w:r>
      <w:r w:rsidRPr="00D21323">
        <w:rPr>
          <w:rFonts w:cs="Times New Roman"/>
          <w:noProof/>
          <w:szCs w:val="24"/>
        </w:rPr>
        <w:tab/>
        <w:t xml:space="preserve">Petrychuk, M. </w:t>
      </w:r>
      <w:r w:rsidRPr="00D21323">
        <w:rPr>
          <w:rFonts w:cs="Times New Roman"/>
          <w:i/>
          <w:iCs/>
          <w:noProof/>
          <w:szCs w:val="24"/>
        </w:rPr>
        <w:t>et al.</w:t>
      </w:r>
      <w:r w:rsidRPr="00D21323">
        <w:rPr>
          <w:rFonts w:cs="Times New Roman"/>
          <w:noProof/>
          <w:szCs w:val="24"/>
        </w:rPr>
        <w:t xml:space="preserve"> Noise spectroscopy to study the 1D electron transport properties in InAs nanowires. </w:t>
      </w:r>
      <w:r w:rsidRPr="00D21323">
        <w:rPr>
          <w:rFonts w:cs="Times New Roman"/>
          <w:i/>
          <w:iCs/>
          <w:noProof/>
          <w:szCs w:val="24"/>
        </w:rPr>
        <w:t>Nanotechnology</w:t>
      </w:r>
      <w:r w:rsidRPr="00D21323">
        <w:rPr>
          <w:rFonts w:cs="Times New Roman"/>
          <w:noProof/>
          <w:szCs w:val="24"/>
        </w:rPr>
        <w:t xml:space="preserve"> </w:t>
      </w:r>
      <w:r w:rsidRPr="00D21323">
        <w:rPr>
          <w:rFonts w:cs="Times New Roman"/>
          <w:b/>
          <w:bCs/>
          <w:noProof/>
          <w:szCs w:val="24"/>
        </w:rPr>
        <w:t>30</w:t>
      </w:r>
      <w:r w:rsidRPr="00D21323">
        <w:rPr>
          <w:rFonts w:cs="Times New Roman"/>
          <w:noProof/>
          <w:szCs w:val="24"/>
        </w:rPr>
        <w:t>, 1–9 (2019).</w:t>
      </w:r>
    </w:p>
    <w:p w14:paraId="0AC6AC27" w14:textId="77777777" w:rsidR="00D21323" w:rsidRPr="00D21323" w:rsidRDefault="00D21323" w:rsidP="00D21323">
      <w:pPr>
        <w:widowControl w:val="0"/>
        <w:autoSpaceDE w:val="0"/>
        <w:autoSpaceDN w:val="0"/>
        <w:adjustRightInd w:val="0"/>
        <w:spacing w:line="240" w:lineRule="auto"/>
        <w:ind w:left="640" w:hanging="640"/>
        <w:rPr>
          <w:rFonts w:cs="Times New Roman"/>
          <w:noProof/>
          <w:szCs w:val="24"/>
        </w:rPr>
      </w:pPr>
      <w:r w:rsidRPr="00D21323">
        <w:rPr>
          <w:rFonts w:cs="Times New Roman"/>
          <w:noProof/>
          <w:szCs w:val="24"/>
        </w:rPr>
        <w:t>3.</w:t>
      </w:r>
      <w:r w:rsidRPr="00D21323">
        <w:rPr>
          <w:rFonts w:cs="Times New Roman"/>
          <w:noProof/>
          <w:szCs w:val="24"/>
        </w:rPr>
        <w:tab/>
        <w:t xml:space="preserve">Kutovyi, Y. </w:t>
      </w:r>
      <w:r w:rsidRPr="00D21323">
        <w:rPr>
          <w:rFonts w:cs="Times New Roman"/>
          <w:i/>
          <w:iCs/>
          <w:noProof/>
          <w:szCs w:val="24"/>
        </w:rPr>
        <w:t>et al.</w:t>
      </w:r>
      <w:r w:rsidRPr="00D21323">
        <w:rPr>
          <w:rFonts w:cs="Times New Roman"/>
          <w:noProof/>
          <w:szCs w:val="24"/>
        </w:rPr>
        <w:t xml:space="preserve"> Liquid-Gated Two-Layer Silicon Nanowire FETs: Evidence of Controlling Single-Trap Dynamic Processes. </w:t>
      </w:r>
      <w:r w:rsidRPr="00D21323">
        <w:rPr>
          <w:rFonts w:cs="Times New Roman"/>
          <w:i/>
          <w:iCs/>
          <w:noProof/>
          <w:szCs w:val="24"/>
        </w:rPr>
        <w:t>Nano Lett.</w:t>
      </w:r>
      <w:r w:rsidRPr="00D21323">
        <w:rPr>
          <w:rFonts w:cs="Times New Roman"/>
          <w:noProof/>
          <w:szCs w:val="24"/>
        </w:rPr>
        <w:t xml:space="preserve"> </w:t>
      </w:r>
      <w:r w:rsidRPr="00D21323">
        <w:rPr>
          <w:rFonts w:cs="Times New Roman"/>
          <w:b/>
          <w:bCs/>
          <w:noProof/>
          <w:szCs w:val="24"/>
        </w:rPr>
        <w:t>18</w:t>
      </w:r>
      <w:r w:rsidRPr="00D21323">
        <w:rPr>
          <w:rFonts w:cs="Times New Roman"/>
          <w:noProof/>
          <w:szCs w:val="24"/>
        </w:rPr>
        <w:t>, 7305–7313 (2018).</w:t>
      </w:r>
    </w:p>
    <w:p w14:paraId="02C71044" w14:textId="77777777" w:rsidR="00D21323" w:rsidRPr="00D21323" w:rsidRDefault="00D21323" w:rsidP="00D21323">
      <w:pPr>
        <w:widowControl w:val="0"/>
        <w:autoSpaceDE w:val="0"/>
        <w:autoSpaceDN w:val="0"/>
        <w:adjustRightInd w:val="0"/>
        <w:spacing w:line="240" w:lineRule="auto"/>
        <w:ind w:left="640" w:hanging="640"/>
        <w:rPr>
          <w:rFonts w:cs="Times New Roman"/>
          <w:noProof/>
          <w:szCs w:val="24"/>
        </w:rPr>
      </w:pPr>
      <w:r w:rsidRPr="00D21323">
        <w:rPr>
          <w:rFonts w:cs="Times New Roman"/>
          <w:noProof/>
          <w:szCs w:val="24"/>
        </w:rPr>
        <w:t>4.</w:t>
      </w:r>
      <w:r w:rsidRPr="00D21323">
        <w:rPr>
          <w:rFonts w:cs="Times New Roman"/>
          <w:noProof/>
          <w:szCs w:val="24"/>
        </w:rPr>
        <w:tab/>
        <w:t xml:space="preserve">Huang, K. C. &amp; White, R. J. Random walk on a leash: A simple single-molecule diffusion model for surface-tethered redox molecules with flexible linkers. </w:t>
      </w:r>
      <w:r w:rsidRPr="00D21323">
        <w:rPr>
          <w:rFonts w:cs="Times New Roman"/>
          <w:i/>
          <w:iCs/>
          <w:noProof/>
          <w:szCs w:val="24"/>
        </w:rPr>
        <w:t>J. Am. Chem. Soc.</w:t>
      </w:r>
      <w:r w:rsidRPr="00D21323">
        <w:rPr>
          <w:rFonts w:cs="Times New Roman"/>
          <w:noProof/>
          <w:szCs w:val="24"/>
        </w:rPr>
        <w:t xml:space="preserve"> </w:t>
      </w:r>
      <w:r w:rsidRPr="00D21323">
        <w:rPr>
          <w:rFonts w:cs="Times New Roman"/>
          <w:b/>
          <w:bCs/>
          <w:noProof/>
          <w:szCs w:val="24"/>
        </w:rPr>
        <w:t>135</w:t>
      </w:r>
      <w:r w:rsidRPr="00D21323">
        <w:rPr>
          <w:rFonts w:cs="Times New Roman"/>
          <w:noProof/>
          <w:szCs w:val="24"/>
        </w:rPr>
        <w:t>, 12808–12817 (2013).</w:t>
      </w:r>
    </w:p>
    <w:p w14:paraId="29C7A7BE" w14:textId="77777777" w:rsidR="00D21323" w:rsidRPr="00D21323" w:rsidRDefault="00D21323" w:rsidP="00D21323">
      <w:pPr>
        <w:widowControl w:val="0"/>
        <w:autoSpaceDE w:val="0"/>
        <w:autoSpaceDN w:val="0"/>
        <w:adjustRightInd w:val="0"/>
        <w:spacing w:line="240" w:lineRule="auto"/>
        <w:ind w:left="640" w:hanging="640"/>
        <w:rPr>
          <w:rFonts w:cs="Times New Roman"/>
          <w:noProof/>
        </w:rPr>
      </w:pPr>
      <w:r w:rsidRPr="00D21323">
        <w:rPr>
          <w:rFonts w:cs="Times New Roman"/>
          <w:noProof/>
          <w:szCs w:val="24"/>
        </w:rPr>
        <w:t>5.</w:t>
      </w:r>
      <w:r w:rsidRPr="00D21323">
        <w:rPr>
          <w:rFonts w:cs="Times New Roman"/>
          <w:noProof/>
          <w:szCs w:val="24"/>
        </w:rPr>
        <w:tab/>
        <w:t xml:space="preserve">Clément, N., Nishiguchi, K., Fujiwara, A. &amp; Vuillaume, D. One-by-one trap activation in silicon nanowire transistors. </w:t>
      </w:r>
      <w:r w:rsidRPr="00D21323">
        <w:rPr>
          <w:rFonts w:cs="Times New Roman"/>
          <w:i/>
          <w:iCs/>
          <w:noProof/>
          <w:szCs w:val="24"/>
        </w:rPr>
        <w:t>Nat. Commun.</w:t>
      </w:r>
      <w:r w:rsidRPr="00D21323">
        <w:rPr>
          <w:rFonts w:cs="Times New Roman"/>
          <w:noProof/>
          <w:szCs w:val="24"/>
        </w:rPr>
        <w:t xml:space="preserve"> </w:t>
      </w:r>
      <w:r w:rsidRPr="00D21323">
        <w:rPr>
          <w:rFonts w:cs="Times New Roman"/>
          <w:b/>
          <w:bCs/>
          <w:noProof/>
          <w:szCs w:val="24"/>
        </w:rPr>
        <w:t>1</w:t>
      </w:r>
      <w:r w:rsidRPr="00D21323">
        <w:rPr>
          <w:rFonts w:cs="Times New Roman"/>
          <w:noProof/>
          <w:szCs w:val="24"/>
        </w:rPr>
        <w:t>, 1–8 (2010).</w:t>
      </w:r>
    </w:p>
    <w:p w14:paraId="024EB7FD" w14:textId="7AB0468F" w:rsidR="0012721F" w:rsidRPr="0012721F" w:rsidRDefault="0012721F" w:rsidP="0012721F">
      <w:pPr>
        <w:rPr>
          <w:lang w:val="en-US"/>
        </w:rPr>
      </w:pPr>
      <w:r>
        <w:rPr>
          <w:lang w:val="en-US"/>
        </w:rPr>
        <w:fldChar w:fldCharType="end"/>
      </w:r>
    </w:p>
    <w:sectPr w:rsidR="0012721F" w:rsidRPr="0012721F" w:rsidSect="003744A8">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E1A5E" w14:textId="77777777" w:rsidR="00B934CC" w:rsidRDefault="00B934CC" w:rsidP="00CD6B21">
      <w:pPr>
        <w:spacing w:after="0" w:line="240" w:lineRule="auto"/>
      </w:pPr>
      <w:r>
        <w:separator/>
      </w:r>
    </w:p>
  </w:endnote>
  <w:endnote w:type="continuationSeparator" w:id="0">
    <w:p w14:paraId="1514CBED" w14:textId="77777777" w:rsidR="00B934CC" w:rsidRDefault="00B934CC" w:rsidP="00CD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6B71D" w14:textId="77777777" w:rsidR="00B934CC" w:rsidRDefault="00B934CC" w:rsidP="00CD6B21">
      <w:pPr>
        <w:spacing w:after="0" w:line="240" w:lineRule="auto"/>
      </w:pPr>
      <w:r>
        <w:separator/>
      </w:r>
    </w:p>
  </w:footnote>
  <w:footnote w:type="continuationSeparator" w:id="0">
    <w:p w14:paraId="19244EC9" w14:textId="77777777" w:rsidR="00B934CC" w:rsidRDefault="00B934CC" w:rsidP="00CD6B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272D"/>
    <w:multiLevelType w:val="multilevel"/>
    <w:tmpl w:val="94E48BB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4A7F32"/>
    <w:multiLevelType w:val="multilevel"/>
    <w:tmpl w:val="7B24BA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482C2A"/>
    <w:multiLevelType w:val="multilevel"/>
    <w:tmpl w:val="7B24BA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100E8C"/>
    <w:multiLevelType w:val="multilevel"/>
    <w:tmpl w:val="8EC0D66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B7A7DE7"/>
    <w:multiLevelType w:val="multilevel"/>
    <w:tmpl w:val="793A39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1DB2C26"/>
    <w:multiLevelType w:val="hybridMultilevel"/>
    <w:tmpl w:val="F586D180"/>
    <w:lvl w:ilvl="0" w:tplc="59BE43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645495"/>
    <w:multiLevelType w:val="multilevel"/>
    <w:tmpl w:val="94E48BB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7748AC"/>
    <w:multiLevelType w:val="multilevel"/>
    <w:tmpl w:val="7B24BA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0D4B94"/>
    <w:multiLevelType w:val="multilevel"/>
    <w:tmpl w:val="94E48BB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FB077C"/>
    <w:multiLevelType w:val="hybridMultilevel"/>
    <w:tmpl w:val="A492E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7E569D"/>
    <w:multiLevelType w:val="hybridMultilevel"/>
    <w:tmpl w:val="F32EEEDC"/>
    <w:lvl w:ilvl="0" w:tplc="80DE625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8"/>
  </w:num>
  <w:num w:numId="3">
    <w:abstractNumId w:val="6"/>
  </w:num>
  <w:num w:numId="4">
    <w:abstractNumId w:val="0"/>
  </w:num>
  <w:num w:numId="5">
    <w:abstractNumId w:val="2"/>
  </w:num>
  <w:num w:numId="6">
    <w:abstractNumId w:val="7"/>
  </w:num>
  <w:num w:numId="7">
    <w:abstractNumId w:val="10"/>
  </w:num>
  <w:num w:numId="8">
    <w:abstractNumId w:val="9"/>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C2NDQ3NTUwMzI0NTZR0lEKTi0uzszPAykwNKwFAPdnZ04tAAAA"/>
  </w:docVars>
  <w:rsids>
    <w:rsidRoot w:val="007E438B"/>
    <w:rsid w:val="00000BD7"/>
    <w:rsid w:val="000020DD"/>
    <w:rsid w:val="00002543"/>
    <w:rsid w:val="00005ED6"/>
    <w:rsid w:val="00007DB2"/>
    <w:rsid w:val="000102F8"/>
    <w:rsid w:val="0001073E"/>
    <w:rsid w:val="00011BED"/>
    <w:rsid w:val="000151AE"/>
    <w:rsid w:val="0001792C"/>
    <w:rsid w:val="00020489"/>
    <w:rsid w:val="00022741"/>
    <w:rsid w:val="00022D7E"/>
    <w:rsid w:val="00023450"/>
    <w:rsid w:val="000259C9"/>
    <w:rsid w:val="000265E3"/>
    <w:rsid w:val="00027DFB"/>
    <w:rsid w:val="00031D7A"/>
    <w:rsid w:val="0003226B"/>
    <w:rsid w:val="00032A42"/>
    <w:rsid w:val="00032EDC"/>
    <w:rsid w:val="00033434"/>
    <w:rsid w:val="00040918"/>
    <w:rsid w:val="00043082"/>
    <w:rsid w:val="00056349"/>
    <w:rsid w:val="000629B7"/>
    <w:rsid w:val="00063C3A"/>
    <w:rsid w:val="000642CE"/>
    <w:rsid w:val="0006660D"/>
    <w:rsid w:val="00070299"/>
    <w:rsid w:val="000725B2"/>
    <w:rsid w:val="000767C6"/>
    <w:rsid w:val="00080F27"/>
    <w:rsid w:val="00080FE5"/>
    <w:rsid w:val="00090255"/>
    <w:rsid w:val="00091078"/>
    <w:rsid w:val="00092215"/>
    <w:rsid w:val="000A18B2"/>
    <w:rsid w:val="000A3E9F"/>
    <w:rsid w:val="000B1A9E"/>
    <w:rsid w:val="000B4F6F"/>
    <w:rsid w:val="000C0E02"/>
    <w:rsid w:val="000C33F6"/>
    <w:rsid w:val="000C3728"/>
    <w:rsid w:val="000D088E"/>
    <w:rsid w:val="000D2D06"/>
    <w:rsid w:val="000D4781"/>
    <w:rsid w:val="000D65FB"/>
    <w:rsid w:val="000E3602"/>
    <w:rsid w:val="000E496B"/>
    <w:rsid w:val="000E4D7E"/>
    <w:rsid w:val="000E5F8C"/>
    <w:rsid w:val="000E73EB"/>
    <w:rsid w:val="000F0338"/>
    <w:rsid w:val="000F289E"/>
    <w:rsid w:val="000F3C23"/>
    <w:rsid w:val="000F694A"/>
    <w:rsid w:val="000F75A3"/>
    <w:rsid w:val="0010178F"/>
    <w:rsid w:val="00101F39"/>
    <w:rsid w:val="001066F2"/>
    <w:rsid w:val="00107F03"/>
    <w:rsid w:val="00114929"/>
    <w:rsid w:val="001225B8"/>
    <w:rsid w:val="00122F51"/>
    <w:rsid w:val="00124091"/>
    <w:rsid w:val="001244AE"/>
    <w:rsid w:val="001250B8"/>
    <w:rsid w:val="0012721F"/>
    <w:rsid w:val="00131F47"/>
    <w:rsid w:val="00134CC9"/>
    <w:rsid w:val="001366EB"/>
    <w:rsid w:val="00143588"/>
    <w:rsid w:val="00143B0C"/>
    <w:rsid w:val="001522F2"/>
    <w:rsid w:val="00152501"/>
    <w:rsid w:val="00157364"/>
    <w:rsid w:val="0016307E"/>
    <w:rsid w:val="00163148"/>
    <w:rsid w:val="00165D42"/>
    <w:rsid w:val="00167755"/>
    <w:rsid w:val="00167B1C"/>
    <w:rsid w:val="00171B2B"/>
    <w:rsid w:val="00173937"/>
    <w:rsid w:val="001750E9"/>
    <w:rsid w:val="00175665"/>
    <w:rsid w:val="00175FF1"/>
    <w:rsid w:val="001774B4"/>
    <w:rsid w:val="001803F2"/>
    <w:rsid w:val="001818E7"/>
    <w:rsid w:val="00184C1F"/>
    <w:rsid w:val="00185B7E"/>
    <w:rsid w:val="00186989"/>
    <w:rsid w:val="00191C4A"/>
    <w:rsid w:val="001A46C1"/>
    <w:rsid w:val="001A5648"/>
    <w:rsid w:val="001B0F94"/>
    <w:rsid w:val="001B6107"/>
    <w:rsid w:val="001B7DC8"/>
    <w:rsid w:val="001C6ACF"/>
    <w:rsid w:val="001D0BAD"/>
    <w:rsid w:val="001D1D7B"/>
    <w:rsid w:val="001D2051"/>
    <w:rsid w:val="001D3031"/>
    <w:rsid w:val="001E3254"/>
    <w:rsid w:val="001E33FD"/>
    <w:rsid w:val="001E38D7"/>
    <w:rsid w:val="001E3924"/>
    <w:rsid w:val="001E4CBC"/>
    <w:rsid w:val="001F297E"/>
    <w:rsid w:val="00202BA2"/>
    <w:rsid w:val="00203521"/>
    <w:rsid w:val="00204273"/>
    <w:rsid w:val="00210C23"/>
    <w:rsid w:val="00211046"/>
    <w:rsid w:val="00215F8B"/>
    <w:rsid w:val="002163CD"/>
    <w:rsid w:val="00220BD3"/>
    <w:rsid w:val="0022282F"/>
    <w:rsid w:val="00225F2E"/>
    <w:rsid w:val="002277C6"/>
    <w:rsid w:val="00227A31"/>
    <w:rsid w:val="00230AB4"/>
    <w:rsid w:val="00233E59"/>
    <w:rsid w:val="00234DD6"/>
    <w:rsid w:val="00235BB1"/>
    <w:rsid w:val="00237971"/>
    <w:rsid w:val="00240FE1"/>
    <w:rsid w:val="0024542D"/>
    <w:rsid w:val="0024767D"/>
    <w:rsid w:val="0025413D"/>
    <w:rsid w:val="00255D3E"/>
    <w:rsid w:val="00256A14"/>
    <w:rsid w:val="00260186"/>
    <w:rsid w:val="00260A91"/>
    <w:rsid w:val="00260E9D"/>
    <w:rsid w:val="00261422"/>
    <w:rsid w:val="002667F7"/>
    <w:rsid w:val="00270D96"/>
    <w:rsid w:val="00276A42"/>
    <w:rsid w:val="00285647"/>
    <w:rsid w:val="0029490E"/>
    <w:rsid w:val="00296F95"/>
    <w:rsid w:val="002B30F7"/>
    <w:rsid w:val="002B4EC3"/>
    <w:rsid w:val="002C13CB"/>
    <w:rsid w:val="002C3211"/>
    <w:rsid w:val="002D3275"/>
    <w:rsid w:val="002D7C7A"/>
    <w:rsid w:val="002D7E06"/>
    <w:rsid w:val="002E44CA"/>
    <w:rsid w:val="002E7663"/>
    <w:rsid w:val="002F631B"/>
    <w:rsid w:val="00300AA9"/>
    <w:rsid w:val="0031044E"/>
    <w:rsid w:val="0031378A"/>
    <w:rsid w:val="003149D2"/>
    <w:rsid w:val="00325BC1"/>
    <w:rsid w:val="00332A69"/>
    <w:rsid w:val="003343CE"/>
    <w:rsid w:val="003409F7"/>
    <w:rsid w:val="003456AD"/>
    <w:rsid w:val="00353E69"/>
    <w:rsid w:val="00355273"/>
    <w:rsid w:val="0035618A"/>
    <w:rsid w:val="0036033B"/>
    <w:rsid w:val="00360D5E"/>
    <w:rsid w:val="00362A87"/>
    <w:rsid w:val="00362B40"/>
    <w:rsid w:val="00363300"/>
    <w:rsid w:val="003633F6"/>
    <w:rsid w:val="0036491A"/>
    <w:rsid w:val="003653D1"/>
    <w:rsid w:val="0037166A"/>
    <w:rsid w:val="0037369F"/>
    <w:rsid w:val="003744A8"/>
    <w:rsid w:val="0037717F"/>
    <w:rsid w:val="003802CB"/>
    <w:rsid w:val="003863DE"/>
    <w:rsid w:val="00394AE9"/>
    <w:rsid w:val="00394F11"/>
    <w:rsid w:val="003A3052"/>
    <w:rsid w:val="003A403B"/>
    <w:rsid w:val="003A538C"/>
    <w:rsid w:val="003B1637"/>
    <w:rsid w:val="003B1E4B"/>
    <w:rsid w:val="003B3AC1"/>
    <w:rsid w:val="003B4540"/>
    <w:rsid w:val="003C0E8F"/>
    <w:rsid w:val="003C2798"/>
    <w:rsid w:val="003C43CB"/>
    <w:rsid w:val="003D76DD"/>
    <w:rsid w:val="003E0354"/>
    <w:rsid w:val="003E4323"/>
    <w:rsid w:val="003E61D5"/>
    <w:rsid w:val="003E6C75"/>
    <w:rsid w:val="003F0303"/>
    <w:rsid w:val="003F5BFD"/>
    <w:rsid w:val="003F6967"/>
    <w:rsid w:val="00401E9E"/>
    <w:rsid w:val="004043BB"/>
    <w:rsid w:val="00404F46"/>
    <w:rsid w:val="00410500"/>
    <w:rsid w:val="00413AC3"/>
    <w:rsid w:val="00414A56"/>
    <w:rsid w:val="00416350"/>
    <w:rsid w:val="00417EFE"/>
    <w:rsid w:val="004202FC"/>
    <w:rsid w:val="00422A97"/>
    <w:rsid w:val="00422B22"/>
    <w:rsid w:val="004238F3"/>
    <w:rsid w:val="00425C5F"/>
    <w:rsid w:val="004328D3"/>
    <w:rsid w:val="00433FF2"/>
    <w:rsid w:val="0043430A"/>
    <w:rsid w:val="00435D0C"/>
    <w:rsid w:val="00440C82"/>
    <w:rsid w:val="004508CA"/>
    <w:rsid w:val="0045140E"/>
    <w:rsid w:val="00451BDE"/>
    <w:rsid w:val="00460D8D"/>
    <w:rsid w:val="004738E1"/>
    <w:rsid w:val="0047451E"/>
    <w:rsid w:val="00475F23"/>
    <w:rsid w:val="004769F0"/>
    <w:rsid w:val="00476F8A"/>
    <w:rsid w:val="004805C9"/>
    <w:rsid w:val="00486F04"/>
    <w:rsid w:val="0049300D"/>
    <w:rsid w:val="00494BD9"/>
    <w:rsid w:val="00496226"/>
    <w:rsid w:val="0049756D"/>
    <w:rsid w:val="004979E8"/>
    <w:rsid w:val="004A0304"/>
    <w:rsid w:val="004A2DD0"/>
    <w:rsid w:val="004A3918"/>
    <w:rsid w:val="004B216B"/>
    <w:rsid w:val="004B280D"/>
    <w:rsid w:val="004C053A"/>
    <w:rsid w:val="004C192E"/>
    <w:rsid w:val="004C1E4E"/>
    <w:rsid w:val="004C4417"/>
    <w:rsid w:val="004C5061"/>
    <w:rsid w:val="004C7CA8"/>
    <w:rsid w:val="004C7EA0"/>
    <w:rsid w:val="004D33EA"/>
    <w:rsid w:val="004D7387"/>
    <w:rsid w:val="004E1EE9"/>
    <w:rsid w:val="004E6043"/>
    <w:rsid w:val="004E6427"/>
    <w:rsid w:val="004E6C65"/>
    <w:rsid w:val="004F03F9"/>
    <w:rsid w:val="004F05DC"/>
    <w:rsid w:val="004F1B03"/>
    <w:rsid w:val="004F4BA1"/>
    <w:rsid w:val="004F65F8"/>
    <w:rsid w:val="004F679B"/>
    <w:rsid w:val="004F6F6B"/>
    <w:rsid w:val="004F7FBF"/>
    <w:rsid w:val="005116EE"/>
    <w:rsid w:val="0051192F"/>
    <w:rsid w:val="005149B6"/>
    <w:rsid w:val="00517F73"/>
    <w:rsid w:val="00523E8B"/>
    <w:rsid w:val="005310AD"/>
    <w:rsid w:val="00532521"/>
    <w:rsid w:val="005333BF"/>
    <w:rsid w:val="0053423F"/>
    <w:rsid w:val="0055124B"/>
    <w:rsid w:val="00555ECA"/>
    <w:rsid w:val="00563299"/>
    <w:rsid w:val="00572A29"/>
    <w:rsid w:val="005738B5"/>
    <w:rsid w:val="005743FD"/>
    <w:rsid w:val="005817AB"/>
    <w:rsid w:val="00582E34"/>
    <w:rsid w:val="00584DD3"/>
    <w:rsid w:val="005851C0"/>
    <w:rsid w:val="005858CB"/>
    <w:rsid w:val="005935FF"/>
    <w:rsid w:val="00597B8C"/>
    <w:rsid w:val="005A58D2"/>
    <w:rsid w:val="005A63B9"/>
    <w:rsid w:val="005B0A07"/>
    <w:rsid w:val="005B3A64"/>
    <w:rsid w:val="005B4106"/>
    <w:rsid w:val="005B52F1"/>
    <w:rsid w:val="005B5A26"/>
    <w:rsid w:val="005C1418"/>
    <w:rsid w:val="005C31B4"/>
    <w:rsid w:val="005C4B85"/>
    <w:rsid w:val="005E6773"/>
    <w:rsid w:val="005E6D1B"/>
    <w:rsid w:val="005E79BA"/>
    <w:rsid w:val="005F31D7"/>
    <w:rsid w:val="00600FA5"/>
    <w:rsid w:val="006012CC"/>
    <w:rsid w:val="00601C5E"/>
    <w:rsid w:val="00602BC5"/>
    <w:rsid w:val="006043DF"/>
    <w:rsid w:val="00605554"/>
    <w:rsid w:val="00610025"/>
    <w:rsid w:val="00613689"/>
    <w:rsid w:val="0061410C"/>
    <w:rsid w:val="0061423C"/>
    <w:rsid w:val="006150B5"/>
    <w:rsid w:val="00620CBE"/>
    <w:rsid w:val="00626564"/>
    <w:rsid w:val="00631065"/>
    <w:rsid w:val="006369D1"/>
    <w:rsid w:val="00640372"/>
    <w:rsid w:val="00641004"/>
    <w:rsid w:val="00644629"/>
    <w:rsid w:val="00647695"/>
    <w:rsid w:val="0065035D"/>
    <w:rsid w:val="00652E90"/>
    <w:rsid w:val="00654848"/>
    <w:rsid w:val="00662BB2"/>
    <w:rsid w:val="0066467F"/>
    <w:rsid w:val="00667644"/>
    <w:rsid w:val="00667AA7"/>
    <w:rsid w:val="00670517"/>
    <w:rsid w:val="0067156C"/>
    <w:rsid w:val="00673A64"/>
    <w:rsid w:val="00675AB1"/>
    <w:rsid w:val="00675FD9"/>
    <w:rsid w:val="00681653"/>
    <w:rsid w:val="0068472E"/>
    <w:rsid w:val="006847F2"/>
    <w:rsid w:val="00685686"/>
    <w:rsid w:val="00685C46"/>
    <w:rsid w:val="006959F5"/>
    <w:rsid w:val="006961E7"/>
    <w:rsid w:val="006B2408"/>
    <w:rsid w:val="006B45AF"/>
    <w:rsid w:val="006B5DB8"/>
    <w:rsid w:val="006D0B4A"/>
    <w:rsid w:val="006D191F"/>
    <w:rsid w:val="006D28AA"/>
    <w:rsid w:val="006D4604"/>
    <w:rsid w:val="006E34B3"/>
    <w:rsid w:val="006E595D"/>
    <w:rsid w:val="006E630B"/>
    <w:rsid w:val="006F1910"/>
    <w:rsid w:val="006F1DE7"/>
    <w:rsid w:val="006F7686"/>
    <w:rsid w:val="006F7AE1"/>
    <w:rsid w:val="0070096E"/>
    <w:rsid w:val="007025D2"/>
    <w:rsid w:val="00706A5F"/>
    <w:rsid w:val="0071167F"/>
    <w:rsid w:val="007142D6"/>
    <w:rsid w:val="00717A10"/>
    <w:rsid w:val="00720C35"/>
    <w:rsid w:val="0072147B"/>
    <w:rsid w:val="00724BEE"/>
    <w:rsid w:val="00725C03"/>
    <w:rsid w:val="00726E22"/>
    <w:rsid w:val="0073260B"/>
    <w:rsid w:val="00741141"/>
    <w:rsid w:val="00741566"/>
    <w:rsid w:val="007416EF"/>
    <w:rsid w:val="00742BF4"/>
    <w:rsid w:val="00744B2F"/>
    <w:rsid w:val="0075017B"/>
    <w:rsid w:val="00752C2A"/>
    <w:rsid w:val="007538C7"/>
    <w:rsid w:val="00757900"/>
    <w:rsid w:val="00757C2E"/>
    <w:rsid w:val="00761093"/>
    <w:rsid w:val="007622E8"/>
    <w:rsid w:val="00763F8C"/>
    <w:rsid w:val="00766E5B"/>
    <w:rsid w:val="007721AE"/>
    <w:rsid w:val="00774E50"/>
    <w:rsid w:val="00780091"/>
    <w:rsid w:val="007840A9"/>
    <w:rsid w:val="00785C8F"/>
    <w:rsid w:val="00787F71"/>
    <w:rsid w:val="0079041B"/>
    <w:rsid w:val="007948A0"/>
    <w:rsid w:val="007A0A1C"/>
    <w:rsid w:val="007A22A1"/>
    <w:rsid w:val="007A279E"/>
    <w:rsid w:val="007A55EA"/>
    <w:rsid w:val="007A58FA"/>
    <w:rsid w:val="007A5A77"/>
    <w:rsid w:val="007B2682"/>
    <w:rsid w:val="007C4B0E"/>
    <w:rsid w:val="007C60FF"/>
    <w:rsid w:val="007C6DC3"/>
    <w:rsid w:val="007E0AB9"/>
    <w:rsid w:val="007E0E7A"/>
    <w:rsid w:val="007E144C"/>
    <w:rsid w:val="007E424E"/>
    <w:rsid w:val="007E438B"/>
    <w:rsid w:val="007E6CFE"/>
    <w:rsid w:val="007E731B"/>
    <w:rsid w:val="007F14F2"/>
    <w:rsid w:val="007F494D"/>
    <w:rsid w:val="0080356D"/>
    <w:rsid w:val="0081077A"/>
    <w:rsid w:val="00811002"/>
    <w:rsid w:val="00812680"/>
    <w:rsid w:val="00813902"/>
    <w:rsid w:val="008179E5"/>
    <w:rsid w:val="00821223"/>
    <w:rsid w:val="0082275B"/>
    <w:rsid w:val="00824C76"/>
    <w:rsid w:val="00830EAA"/>
    <w:rsid w:val="0083497D"/>
    <w:rsid w:val="00837440"/>
    <w:rsid w:val="00840619"/>
    <w:rsid w:val="008435C5"/>
    <w:rsid w:val="0084611D"/>
    <w:rsid w:val="008469CA"/>
    <w:rsid w:val="00852D7E"/>
    <w:rsid w:val="0085439C"/>
    <w:rsid w:val="0086079B"/>
    <w:rsid w:val="0086409F"/>
    <w:rsid w:val="00864B79"/>
    <w:rsid w:val="00870EF7"/>
    <w:rsid w:val="0087237D"/>
    <w:rsid w:val="008764EE"/>
    <w:rsid w:val="008878E8"/>
    <w:rsid w:val="00890885"/>
    <w:rsid w:val="00890BD6"/>
    <w:rsid w:val="00890DE2"/>
    <w:rsid w:val="00895E3D"/>
    <w:rsid w:val="00896599"/>
    <w:rsid w:val="00897847"/>
    <w:rsid w:val="008A1F68"/>
    <w:rsid w:val="008A1FCF"/>
    <w:rsid w:val="008A5C96"/>
    <w:rsid w:val="008A63B4"/>
    <w:rsid w:val="008B05D0"/>
    <w:rsid w:val="008B18FB"/>
    <w:rsid w:val="008B2CAF"/>
    <w:rsid w:val="008B3B28"/>
    <w:rsid w:val="008B5F98"/>
    <w:rsid w:val="008B6377"/>
    <w:rsid w:val="008B7F61"/>
    <w:rsid w:val="008C083A"/>
    <w:rsid w:val="008C23E0"/>
    <w:rsid w:val="008C2CFB"/>
    <w:rsid w:val="008C323A"/>
    <w:rsid w:val="008C3C38"/>
    <w:rsid w:val="008C4C86"/>
    <w:rsid w:val="008D3C46"/>
    <w:rsid w:val="008D4543"/>
    <w:rsid w:val="008E011B"/>
    <w:rsid w:val="008E04F4"/>
    <w:rsid w:val="008E18EC"/>
    <w:rsid w:val="008E7FE7"/>
    <w:rsid w:val="008F02D3"/>
    <w:rsid w:val="008F1927"/>
    <w:rsid w:val="008F42F3"/>
    <w:rsid w:val="008F54E0"/>
    <w:rsid w:val="00900845"/>
    <w:rsid w:val="0090224E"/>
    <w:rsid w:val="00902357"/>
    <w:rsid w:val="0090486F"/>
    <w:rsid w:val="00920335"/>
    <w:rsid w:val="00920ECE"/>
    <w:rsid w:val="00921EE8"/>
    <w:rsid w:val="00923FDD"/>
    <w:rsid w:val="00926AFE"/>
    <w:rsid w:val="00927288"/>
    <w:rsid w:val="00930C5A"/>
    <w:rsid w:val="00933272"/>
    <w:rsid w:val="00935A72"/>
    <w:rsid w:val="00941961"/>
    <w:rsid w:val="00944DCE"/>
    <w:rsid w:val="00945671"/>
    <w:rsid w:val="0095351E"/>
    <w:rsid w:val="00953BC3"/>
    <w:rsid w:val="00954DFF"/>
    <w:rsid w:val="00957790"/>
    <w:rsid w:val="009620B6"/>
    <w:rsid w:val="009704F4"/>
    <w:rsid w:val="00970E4F"/>
    <w:rsid w:val="0097135E"/>
    <w:rsid w:val="00983F47"/>
    <w:rsid w:val="00984BA7"/>
    <w:rsid w:val="00984CE3"/>
    <w:rsid w:val="00986F88"/>
    <w:rsid w:val="00992F8A"/>
    <w:rsid w:val="00994F0F"/>
    <w:rsid w:val="0099601D"/>
    <w:rsid w:val="009A64C4"/>
    <w:rsid w:val="009A65B6"/>
    <w:rsid w:val="009A672A"/>
    <w:rsid w:val="009B0149"/>
    <w:rsid w:val="009B62FE"/>
    <w:rsid w:val="009C3A22"/>
    <w:rsid w:val="009C535C"/>
    <w:rsid w:val="009C75D2"/>
    <w:rsid w:val="009D33AA"/>
    <w:rsid w:val="009D670C"/>
    <w:rsid w:val="009E00AD"/>
    <w:rsid w:val="009E1750"/>
    <w:rsid w:val="009E373B"/>
    <w:rsid w:val="009E38AA"/>
    <w:rsid w:val="009E39D6"/>
    <w:rsid w:val="00A016DA"/>
    <w:rsid w:val="00A1168B"/>
    <w:rsid w:val="00A1348C"/>
    <w:rsid w:val="00A15AFD"/>
    <w:rsid w:val="00A24D15"/>
    <w:rsid w:val="00A25AC4"/>
    <w:rsid w:val="00A27F77"/>
    <w:rsid w:val="00A3202D"/>
    <w:rsid w:val="00A34424"/>
    <w:rsid w:val="00A3635E"/>
    <w:rsid w:val="00A42B60"/>
    <w:rsid w:val="00A4394E"/>
    <w:rsid w:val="00A4684D"/>
    <w:rsid w:val="00A532E6"/>
    <w:rsid w:val="00A66AC2"/>
    <w:rsid w:val="00A70A81"/>
    <w:rsid w:val="00A71B94"/>
    <w:rsid w:val="00A72E8F"/>
    <w:rsid w:val="00A81194"/>
    <w:rsid w:val="00A852EB"/>
    <w:rsid w:val="00A85CCC"/>
    <w:rsid w:val="00A86A6D"/>
    <w:rsid w:val="00A86B94"/>
    <w:rsid w:val="00A87A70"/>
    <w:rsid w:val="00A919CF"/>
    <w:rsid w:val="00A96076"/>
    <w:rsid w:val="00AA1D02"/>
    <w:rsid w:val="00AA4077"/>
    <w:rsid w:val="00AA4A5A"/>
    <w:rsid w:val="00AB1DA6"/>
    <w:rsid w:val="00AB35B7"/>
    <w:rsid w:val="00AB6554"/>
    <w:rsid w:val="00AC30E2"/>
    <w:rsid w:val="00AC7C25"/>
    <w:rsid w:val="00AC7CAD"/>
    <w:rsid w:val="00AD0309"/>
    <w:rsid w:val="00AD2823"/>
    <w:rsid w:val="00AE3478"/>
    <w:rsid w:val="00AE3875"/>
    <w:rsid w:val="00AE39FA"/>
    <w:rsid w:val="00AE6CCB"/>
    <w:rsid w:val="00AE7307"/>
    <w:rsid w:val="00AE7939"/>
    <w:rsid w:val="00B00281"/>
    <w:rsid w:val="00B0350E"/>
    <w:rsid w:val="00B03CE0"/>
    <w:rsid w:val="00B03DA9"/>
    <w:rsid w:val="00B14302"/>
    <w:rsid w:val="00B24009"/>
    <w:rsid w:val="00B26F17"/>
    <w:rsid w:val="00B27081"/>
    <w:rsid w:val="00B30031"/>
    <w:rsid w:val="00B37042"/>
    <w:rsid w:val="00B42A4B"/>
    <w:rsid w:val="00B47C45"/>
    <w:rsid w:val="00B50ABC"/>
    <w:rsid w:val="00B51369"/>
    <w:rsid w:val="00B53331"/>
    <w:rsid w:val="00B53717"/>
    <w:rsid w:val="00B53EE9"/>
    <w:rsid w:val="00B54C6A"/>
    <w:rsid w:val="00B554CC"/>
    <w:rsid w:val="00B637AB"/>
    <w:rsid w:val="00B66B9C"/>
    <w:rsid w:val="00B67501"/>
    <w:rsid w:val="00B67C79"/>
    <w:rsid w:val="00B74DF1"/>
    <w:rsid w:val="00B74E84"/>
    <w:rsid w:val="00B74F25"/>
    <w:rsid w:val="00B76727"/>
    <w:rsid w:val="00B778A2"/>
    <w:rsid w:val="00B86DBF"/>
    <w:rsid w:val="00B87DFE"/>
    <w:rsid w:val="00B92E37"/>
    <w:rsid w:val="00B934CC"/>
    <w:rsid w:val="00B93632"/>
    <w:rsid w:val="00B93F30"/>
    <w:rsid w:val="00B9707C"/>
    <w:rsid w:val="00BA1542"/>
    <w:rsid w:val="00BA5D12"/>
    <w:rsid w:val="00BB5A1C"/>
    <w:rsid w:val="00BB5AE2"/>
    <w:rsid w:val="00BC139D"/>
    <w:rsid w:val="00BC4878"/>
    <w:rsid w:val="00BC60B9"/>
    <w:rsid w:val="00BD67C2"/>
    <w:rsid w:val="00BE0D81"/>
    <w:rsid w:val="00BE1DD1"/>
    <w:rsid w:val="00BE3437"/>
    <w:rsid w:val="00BE3C82"/>
    <w:rsid w:val="00BE61C3"/>
    <w:rsid w:val="00BF0B67"/>
    <w:rsid w:val="00BF65A8"/>
    <w:rsid w:val="00C04B38"/>
    <w:rsid w:val="00C41868"/>
    <w:rsid w:val="00C420A0"/>
    <w:rsid w:val="00C438AE"/>
    <w:rsid w:val="00C507C7"/>
    <w:rsid w:val="00C50AA4"/>
    <w:rsid w:val="00C53057"/>
    <w:rsid w:val="00C56C8E"/>
    <w:rsid w:val="00C64128"/>
    <w:rsid w:val="00C6501D"/>
    <w:rsid w:val="00C67761"/>
    <w:rsid w:val="00C84CF2"/>
    <w:rsid w:val="00C91E85"/>
    <w:rsid w:val="00C96413"/>
    <w:rsid w:val="00C97A6B"/>
    <w:rsid w:val="00CA09BB"/>
    <w:rsid w:val="00CA30DB"/>
    <w:rsid w:val="00CA4032"/>
    <w:rsid w:val="00CA70E0"/>
    <w:rsid w:val="00CC415E"/>
    <w:rsid w:val="00CC5054"/>
    <w:rsid w:val="00CD01E6"/>
    <w:rsid w:val="00CD2F39"/>
    <w:rsid w:val="00CD4F13"/>
    <w:rsid w:val="00CD6B21"/>
    <w:rsid w:val="00CE10C3"/>
    <w:rsid w:val="00CE5446"/>
    <w:rsid w:val="00CE5C3F"/>
    <w:rsid w:val="00CE6667"/>
    <w:rsid w:val="00CF21B5"/>
    <w:rsid w:val="00CF5308"/>
    <w:rsid w:val="00D00B7F"/>
    <w:rsid w:val="00D0107C"/>
    <w:rsid w:val="00D03596"/>
    <w:rsid w:val="00D05179"/>
    <w:rsid w:val="00D05818"/>
    <w:rsid w:val="00D06936"/>
    <w:rsid w:val="00D07757"/>
    <w:rsid w:val="00D07A2C"/>
    <w:rsid w:val="00D11363"/>
    <w:rsid w:val="00D13F33"/>
    <w:rsid w:val="00D14D4B"/>
    <w:rsid w:val="00D17684"/>
    <w:rsid w:val="00D21323"/>
    <w:rsid w:val="00D23AB8"/>
    <w:rsid w:val="00D24E2C"/>
    <w:rsid w:val="00D25F7C"/>
    <w:rsid w:val="00D263BE"/>
    <w:rsid w:val="00D308F3"/>
    <w:rsid w:val="00D3697F"/>
    <w:rsid w:val="00D4071B"/>
    <w:rsid w:val="00D41F35"/>
    <w:rsid w:val="00D43739"/>
    <w:rsid w:val="00D43953"/>
    <w:rsid w:val="00D47130"/>
    <w:rsid w:val="00D47343"/>
    <w:rsid w:val="00D52405"/>
    <w:rsid w:val="00D537A2"/>
    <w:rsid w:val="00D54063"/>
    <w:rsid w:val="00D54D68"/>
    <w:rsid w:val="00D564CF"/>
    <w:rsid w:val="00D57A28"/>
    <w:rsid w:val="00D604AF"/>
    <w:rsid w:val="00D65A05"/>
    <w:rsid w:val="00D70AA3"/>
    <w:rsid w:val="00D73EF9"/>
    <w:rsid w:val="00D7790C"/>
    <w:rsid w:val="00D80396"/>
    <w:rsid w:val="00D84386"/>
    <w:rsid w:val="00D84F0B"/>
    <w:rsid w:val="00D9656D"/>
    <w:rsid w:val="00DA112F"/>
    <w:rsid w:val="00DA31C4"/>
    <w:rsid w:val="00DA5D98"/>
    <w:rsid w:val="00DA69D2"/>
    <w:rsid w:val="00DA7FA4"/>
    <w:rsid w:val="00DB2F40"/>
    <w:rsid w:val="00DB451D"/>
    <w:rsid w:val="00DB56A5"/>
    <w:rsid w:val="00DB597F"/>
    <w:rsid w:val="00DB7E70"/>
    <w:rsid w:val="00DC0165"/>
    <w:rsid w:val="00DD221E"/>
    <w:rsid w:val="00DD2FA7"/>
    <w:rsid w:val="00DD623B"/>
    <w:rsid w:val="00DE3D52"/>
    <w:rsid w:val="00DE4307"/>
    <w:rsid w:val="00DE5F69"/>
    <w:rsid w:val="00DF2CBC"/>
    <w:rsid w:val="00E00688"/>
    <w:rsid w:val="00E00E71"/>
    <w:rsid w:val="00E02445"/>
    <w:rsid w:val="00E05CD0"/>
    <w:rsid w:val="00E12BD9"/>
    <w:rsid w:val="00E2792B"/>
    <w:rsid w:val="00E2794B"/>
    <w:rsid w:val="00E306AF"/>
    <w:rsid w:val="00E33303"/>
    <w:rsid w:val="00E33F90"/>
    <w:rsid w:val="00E351D1"/>
    <w:rsid w:val="00E35700"/>
    <w:rsid w:val="00E61E8C"/>
    <w:rsid w:val="00E63484"/>
    <w:rsid w:val="00E66038"/>
    <w:rsid w:val="00E6719D"/>
    <w:rsid w:val="00E700FB"/>
    <w:rsid w:val="00E70C97"/>
    <w:rsid w:val="00E719E1"/>
    <w:rsid w:val="00E733D7"/>
    <w:rsid w:val="00E74098"/>
    <w:rsid w:val="00E75743"/>
    <w:rsid w:val="00E826CF"/>
    <w:rsid w:val="00E83A9A"/>
    <w:rsid w:val="00E83BF8"/>
    <w:rsid w:val="00E854A8"/>
    <w:rsid w:val="00E85E5D"/>
    <w:rsid w:val="00E8744C"/>
    <w:rsid w:val="00E923FD"/>
    <w:rsid w:val="00E930D3"/>
    <w:rsid w:val="00E96FFD"/>
    <w:rsid w:val="00E97D29"/>
    <w:rsid w:val="00EA14CF"/>
    <w:rsid w:val="00EA62CC"/>
    <w:rsid w:val="00EA634D"/>
    <w:rsid w:val="00EA772F"/>
    <w:rsid w:val="00EB1284"/>
    <w:rsid w:val="00EB1ECC"/>
    <w:rsid w:val="00EB7FD9"/>
    <w:rsid w:val="00EC0233"/>
    <w:rsid w:val="00EC69D3"/>
    <w:rsid w:val="00EC74E5"/>
    <w:rsid w:val="00EC7DFC"/>
    <w:rsid w:val="00ED1B93"/>
    <w:rsid w:val="00ED339B"/>
    <w:rsid w:val="00ED4F07"/>
    <w:rsid w:val="00ED64B6"/>
    <w:rsid w:val="00ED7C17"/>
    <w:rsid w:val="00EE0A76"/>
    <w:rsid w:val="00EE12AE"/>
    <w:rsid w:val="00EE4BE4"/>
    <w:rsid w:val="00EE5204"/>
    <w:rsid w:val="00EF03CC"/>
    <w:rsid w:val="00EF08EA"/>
    <w:rsid w:val="00EF6441"/>
    <w:rsid w:val="00F035D9"/>
    <w:rsid w:val="00F163A1"/>
    <w:rsid w:val="00F21AA1"/>
    <w:rsid w:val="00F26116"/>
    <w:rsid w:val="00F30DE1"/>
    <w:rsid w:val="00F35CC5"/>
    <w:rsid w:val="00F372D9"/>
    <w:rsid w:val="00F41DA1"/>
    <w:rsid w:val="00F43D8D"/>
    <w:rsid w:val="00F4571B"/>
    <w:rsid w:val="00F45A6F"/>
    <w:rsid w:val="00F45CF5"/>
    <w:rsid w:val="00F46442"/>
    <w:rsid w:val="00F4735B"/>
    <w:rsid w:val="00F50683"/>
    <w:rsid w:val="00F53A30"/>
    <w:rsid w:val="00F53E63"/>
    <w:rsid w:val="00F578E7"/>
    <w:rsid w:val="00F634D8"/>
    <w:rsid w:val="00F649FC"/>
    <w:rsid w:val="00F64F7E"/>
    <w:rsid w:val="00F70C3E"/>
    <w:rsid w:val="00F71E39"/>
    <w:rsid w:val="00F7382A"/>
    <w:rsid w:val="00F73936"/>
    <w:rsid w:val="00F739C2"/>
    <w:rsid w:val="00F73E7D"/>
    <w:rsid w:val="00F75148"/>
    <w:rsid w:val="00F755E8"/>
    <w:rsid w:val="00F809FB"/>
    <w:rsid w:val="00F83D13"/>
    <w:rsid w:val="00F85A98"/>
    <w:rsid w:val="00F8741B"/>
    <w:rsid w:val="00F92AA4"/>
    <w:rsid w:val="00F93D51"/>
    <w:rsid w:val="00F9703C"/>
    <w:rsid w:val="00FA0D90"/>
    <w:rsid w:val="00FA1435"/>
    <w:rsid w:val="00FA590E"/>
    <w:rsid w:val="00FA5978"/>
    <w:rsid w:val="00FB042D"/>
    <w:rsid w:val="00FB0938"/>
    <w:rsid w:val="00FB2E6E"/>
    <w:rsid w:val="00FB488E"/>
    <w:rsid w:val="00FB6364"/>
    <w:rsid w:val="00FB7702"/>
    <w:rsid w:val="00FC2728"/>
    <w:rsid w:val="00FD09C9"/>
    <w:rsid w:val="00FD34BA"/>
    <w:rsid w:val="00FD3EB1"/>
    <w:rsid w:val="00FD76FA"/>
    <w:rsid w:val="00FE2837"/>
    <w:rsid w:val="00FE4449"/>
    <w:rsid w:val="00FF1CA4"/>
    <w:rsid w:val="00FF24A2"/>
    <w:rsid w:val="00FF3E3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9CFD8"/>
  <w15:docId w15:val="{60697970-E0D8-4A7E-A9D4-4E6D9EDF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F0B"/>
    <w:pPr>
      <w:jc w:val="both"/>
    </w:pPr>
    <w:rPr>
      <w:rFonts w:ascii="Times New Roman" w:hAnsi="Times New Roman"/>
      <w:sz w:val="24"/>
    </w:rPr>
  </w:style>
  <w:style w:type="paragraph" w:styleId="Heading1">
    <w:name w:val="heading 1"/>
    <w:basedOn w:val="Normal"/>
    <w:next w:val="Normal"/>
    <w:link w:val="Heading1Char"/>
    <w:uiPriority w:val="9"/>
    <w:qFormat/>
    <w:rsid w:val="00AA1D02"/>
    <w:pPr>
      <w:keepNext/>
      <w:keepLines/>
      <w:spacing w:before="240" w:after="0" w:line="259" w:lineRule="auto"/>
      <w:jc w:val="left"/>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CD6B21"/>
    <w:pPr>
      <w:spacing w:after="0" w:line="240" w:lineRule="auto"/>
    </w:pPr>
    <w:rPr>
      <w:sz w:val="20"/>
      <w:szCs w:val="20"/>
    </w:rPr>
  </w:style>
  <w:style w:type="character" w:customStyle="1" w:styleId="EndnoteTextChar">
    <w:name w:val="Endnote Text Char"/>
    <w:basedOn w:val="DefaultParagraphFont"/>
    <w:link w:val="EndnoteText"/>
    <w:uiPriority w:val="99"/>
    <w:rsid w:val="00CD6B21"/>
    <w:rPr>
      <w:sz w:val="20"/>
      <w:szCs w:val="20"/>
    </w:rPr>
  </w:style>
  <w:style w:type="character" w:styleId="EndnoteReference">
    <w:name w:val="endnote reference"/>
    <w:basedOn w:val="DefaultParagraphFont"/>
    <w:uiPriority w:val="99"/>
    <w:semiHidden/>
    <w:unhideWhenUsed/>
    <w:rsid w:val="00CD6B21"/>
    <w:rPr>
      <w:vertAlign w:val="superscript"/>
    </w:rPr>
  </w:style>
  <w:style w:type="character" w:styleId="PlaceholderText">
    <w:name w:val="Placeholder Text"/>
    <w:basedOn w:val="DefaultParagraphFont"/>
    <w:uiPriority w:val="99"/>
    <w:semiHidden/>
    <w:rsid w:val="00742BF4"/>
    <w:rPr>
      <w:color w:val="808080"/>
    </w:rPr>
  </w:style>
  <w:style w:type="paragraph" w:styleId="BalloonText">
    <w:name w:val="Balloon Text"/>
    <w:basedOn w:val="Normal"/>
    <w:link w:val="BalloonTextChar"/>
    <w:uiPriority w:val="99"/>
    <w:semiHidden/>
    <w:unhideWhenUsed/>
    <w:rsid w:val="00742B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BF4"/>
    <w:rPr>
      <w:rFonts w:ascii="Tahoma" w:hAnsi="Tahoma" w:cs="Tahoma"/>
      <w:sz w:val="16"/>
      <w:szCs w:val="16"/>
    </w:rPr>
  </w:style>
  <w:style w:type="paragraph" w:styleId="ListParagraph">
    <w:name w:val="List Paragraph"/>
    <w:basedOn w:val="Normal"/>
    <w:uiPriority w:val="34"/>
    <w:qFormat/>
    <w:rsid w:val="003E0354"/>
    <w:pPr>
      <w:ind w:left="720"/>
      <w:contextualSpacing/>
    </w:pPr>
  </w:style>
  <w:style w:type="table" w:styleId="TableGrid">
    <w:name w:val="Table Grid"/>
    <w:basedOn w:val="TableNormal"/>
    <w:uiPriority w:val="39"/>
    <w:rsid w:val="00780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4449"/>
    <w:rPr>
      <w:sz w:val="16"/>
      <w:szCs w:val="16"/>
    </w:rPr>
  </w:style>
  <w:style w:type="paragraph" w:styleId="CommentText">
    <w:name w:val="annotation text"/>
    <w:basedOn w:val="Normal"/>
    <w:link w:val="CommentTextChar"/>
    <w:uiPriority w:val="99"/>
    <w:semiHidden/>
    <w:unhideWhenUsed/>
    <w:rsid w:val="00FE4449"/>
    <w:pPr>
      <w:spacing w:line="240" w:lineRule="auto"/>
    </w:pPr>
    <w:rPr>
      <w:sz w:val="20"/>
      <w:szCs w:val="20"/>
    </w:rPr>
  </w:style>
  <w:style w:type="character" w:customStyle="1" w:styleId="CommentTextChar">
    <w:name w:val="Comment Text Char"/>
    <w:basedOn w:val="DefaultParagraphFont"/>
    <w:link w:val="CommentText"/>
    <w:uiPriority w:val="99"/>
    <w:semiHidden/>
    <w:rsid w:val="00FE4449"/>
    <w:rPr>
      <w:sz w:val="20"/>
      <w:szCs w:val="20"/>
    </w:rPr>
  </w:style>
  <w:style w:type="paragraph" w:styleId="CommentSubject">
    <w:name w:val="annotation subject"/>
    <w:basedOn w:val="CommentText"/>
    <w:next w:val="CommentText"/>
    <w:link w:val="CommentSubjectChar"/>
    <w:uiPriority w:val="99"/>
    <w:semiHidden/>
    <w:unhideWhenUsed/>
    <w:rsid w:val="00FE4449"/>
    <w:rPr>
      <w:b/>
      <w:bCs/>
    </w:rPr>
  </w:style>
  <w:style w:type="character" w:customStyle="1" w:styleId="CommentSubjectChar">
    <w:name w:val="Comment Subject Char"/>
    <w:basedOn w:val="CommentTextChar"/>
    <w:link w:val="CommentSubject"/>
    <w:uiPriority w:val="99"/>
    <w:semiHidden/>
    <w:rsid w:val="00FE4449"/>
    <w:rPr>
      <w:b/>
      <w:bCs/>
      <w:sz w:val="20"/>
      <w:szCs w:val="20"/>
    </w:rPr>
  </w:style>
  <w:style w:type="character" w:styleId="Hyperlink">
    <w:name w:val="Hyperlink"/>
    <w:basedOn w:val="DefaultParagraphFont"/>
    <w:uiPriority w:val="99"/>
    <w:unhideWhenUsed/>
    <w:rsid w:val="000151AE"/>
    <w:rPr>
      <w:color w:val="0000FF" w:themeColor="hyperlink"/>
      <w:u w:val="single"/>
    </w:rPr>
  </w:style>
  <w:style w:type="character" w:customStyle="1" w:styleId="UnresolvedMention1">
    <w:name w:val="Unresolved Mention1"/>
    <w:basedOn w:val="DefaultParagraphFont"/>
    <w:uiPriority w:val="99"/>
    <w:semiHidden/>
    <w:unhideWhenUsed/>
    <w:rsid w:val="000151AE"/>
    <w:rPr>
      <w:color w:val="605E5C"/>
      <w:shd w:val="clear" w:color="auto" w:fill="E1DFDD"/>
    </w:rPr>
  </w:style>
  <w:style w:type="character" w:customStyle="1" w:styleId="Heading1Char">
    <w:name w:val="Heading 1 Char"/>
    <w:basedOn w:val="DefaultParagraphFont"/>
    <w:link w:val="Heading1"/>
    <w:uiPriority w:val="9"/>
    <w:rsid w:val="00AA1D02"/>
    <w:rPr>
      <w:rFonts w:asciiTheme="majorHAnsi" w:eastAsiaTheme="majorEastAsia" w:hAnsiTheme="majorHAnsi" w:cstheme="majorBidi"/>
      <w:color w:val="365F91" w:themeColor="accent1" w:themeShade="BF"/>
      <w:sz w:val="32"/>
      <w:szCs w:val="32"/>
      <w:lang w:val="en-US" w:eastAsia="en-US"/>
    </w:rPr>
  </w:style>
  <w:style w:type="character" w:styleId="FollowedHyperlink">
    <w:name w:val="FollowedHyperlink"/>
    <w:basedOn w:val="DefaultParagraphFont"/>
    <w:uiPriority w:val="99"/>
    <w:semiHidden/>
    <w:unhideWhenUsed/>
    <w:rsid w:val="00FD76FA"/>
    <w:rPr>
      <w:color w:val="800080" w:themeColor="followedHyperlink"/>
      <w:u w:val="single"/>
    </w:rPr>
  </w:style>
  <w:style w:type="character" w:styleId="HTMLCite">
    <w:name w:val="HTML Cite"/>
    <w:basedOn w:val="DefaultParagraphFont"/>
    <w:uiPriority w:val="99"/>
    <w:semiHidden/>
    <w:unhideWhenUsed/>
    <w:rsid w:val="00204273"/>
    <w:rPr>
      <w:i/>
      <w:iCs/>
    </w:rPr>
  </w:style>
  <w:style w:type="paragraph" w:styleId="Header">
    <w:name w:val="header"/>
    <w:basedOn w:val="Normal"/>
    <w:link w:val="HeaderChar"/>
    <w:uiPriority w:val="99"/>
    <w:unhideWhenUsed/>
    <w:rsid w:val="008C3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23A"/>
  </w:style>
  <w:style w:type="paragraph" w:styleId="Footer">
    <w:name w:val="footer"/>
    <w:basedOn w:val="Normal"/>
    <w:link w:val="FooterChar"/>
    <w:uiPriority w:val="99"/>
    <w:unhideWhenUsed/>
    <w:rsid w:val="008C3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23A"/>
  </w:style>
  <w:style w:type="paragraph" w:styleId="NormalWeb">
    <w:name w:val="Normal (Web)"/>
    <w:basedOn w:val="Normal"/>
    <w:uiPriority w:val="99"/>
    <w:unhideWhenUsed/>
    <w:rsid w:val="00B53717"/>
    <w:pPr>
      <w:spacing w:before="100" w:beforeAutospacing="1" w:after="100" w:afterAutospacing="1" w:line="240" w:lineRule="auto"/>
      <w:jc w:val="left"/>
    </w:pPr>
    <w:rPr>
      <w:rFonts w:cs="Times New Roman"/>
      <w:szCs w:val="24"/>
    </w:rPr>
  </w:style>
  <w:style w:type="paragraph" w:styleId="Caption">
    <w:name w:val="caption"/>
    <w:basedOn w:val="Normal"/>
    <w:next w:val="Normal"/>
    <w:uiPriority w:val="35"/>
    <w:unhideWhenUsed/>
    <w:qFormat/>
    <w:rsid w:val="00F4735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s.vitusevich@fz-juelich.de" TargetMode="External"/><Relationship Id="rId4" Type="http://schemas.openxmlformats.org/officeDocument/2006/relationships/styles" Target="styles.xml"/><Relationship Id="rId9" Type="http://schemas.openxmlformats.org/officeDocument/2006/relationships/hyperlink" Target="mailto:nclement@iis.u-tokyo.ac.jp"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s\AppData\Local\Chemistry%20Add-in%20for%20Word\Chemistry%20Gallery\Chem4Word.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F25E4-A6B2-4FFF-A9A9-34E81BC205A7}">
  <ds:schemaRefs>
    <ds:schemaRef ds:uri="urn:schemas-microsoft-com.VSTO2008Demos.ControlsStorage"/>
  </ds:schemaRefs>
</ds:datastoreItem>
</file>

<file path=customXml/itemProps2.xml><?xml version="1.0" encoding="utf-8"?>
<ds:datastoreItem xmlns:ds="http://schemas.openxmlformats.org/officeDocument/2006/customXml" ds:itemID="{BD63CB0B-A081-4054-BF80-CE566BEF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93</TotalTime>
  <Pages>5</Pages>
  <Words>2719</Words>
  <Characters>15499</Characters>
  <Application>Microsoft Office Word</Application>
  <DocSecurity>0</DocSecurity>
  <Lines>129</Lines>
  <Paragraphs>36</Paragraphs>
  <ScaleCrop>false</ScaleCrop>
  <HeadingPairs>
    <vt:vector size="6" baseType="variant">
      <vt:variant>
        <vt:lpstr>Title</vt:lpstr>
      </vt:variant>
      <vt:variant>
        <vt:i4>1</vt:i4>
      </vt:variant>
      <vt:variant>
        <vt:lpstr>Название</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18182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Kutovyi, Yurii</dc:creator>
  <cp:lastModifiedBy>Kutovyi, Yurii</cp:lastModifiedBy>
  <cp:revision>9</cp:revision>
  <cp:lastPrinted>2020-03-03T11:37:00Z</cp:lastPrinted>
  <dcterms:created xsi:type="dcterms:W3CDTF">2020-05-01T16:42:00Z</dcterms:created>
  <dcterms:modified xsi:type="dcterms:W3CDTF">2020-05-05T14:06:00Z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http://www.zotero.org/styles/american-institute-of-physics</vt:lpwstr>
  </property>
  <property fmtid="{D5CDD505-2E9C-101B-9397-08002B2CF9AE}" pid="3" name="Mendeley Recent Style Name 0_1">
    <vt:lpwstr>American Institute of Physics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b819f077-ddcb-36f6-8560-1668b2578f92</vt:lpwstr>
  </property>
  <property fmtid="{D5CDD505-2E9C-101B-9397-08002B2CF9AE}" pid="24" name="Mendeley Citation Style_1">
    <vt:lpwstr>http://www.zotero.org/styles/nature</vt:lpwstr>
  </property>
</Properties>
</file>