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EABCC" w14:textId="77777777" w:rsidR="007B5804" w:rsidRDefault="007B5804" w:rsidP="007B5804">
      <w:pPr>
        <w:rPr>
          <w:rFonts w:ascii="Arial" w:eastAsia="Arial" w:hAnsi="Arial" w:cs="Arial"/>
          <w:b/>
          <w:bCs/>
          <w:sz w:val="24"/>
          <w:szCs w:val="24"/>
        </w:rPr>
      </w:pPr>
      <w:bookmarkStart w:id="0" w:name="_Hlk36758476"/>
      <w:r>
        <w:rPr>
          <w:rFonts w:ascii="Arial" w:eastAsia="Arial" w:hAnsi="Arial" w:cs="Arial"/>
          <w:b/>
          <w:bCs/>
          <w:sz w:val="24"/>
          <w:szCs w:val="24"/>
        </w:rPr>
        <w:t>Postmarketing safety surveillance data reveals antidepressant effects of botulinum toxin across various indications and injection sites</w:t>
      </w:r>
    </w:p>
    <w:bookmarkEnd w:id="0"/>
    <w:p w14:paraId="0BD1A5A0" w14:textId="77777777" w:rsidR="007B5804" w:rsidRDefault="007B5804" w:rsidP="007B5804">
      <w:pPr>
        <w:rPr>
          <w:rFonts w:ascii="Arial" w:eastAsia="Arial" w:hAnsi="Arial" w:cs="Arial"/>
          <w:sz w:val="24"/>
          <w:szCs w:val="24"/>
        </w:rPr>
      </w:pPr>
      <w:r>
        <w:rPr>
          <w:rFonts w:ascii="Arial" w:eastAsia="Arial" w:hAnsi="Arial" w:cs="Arial"/>
          <w:sz w:val="24"/>
          <w:szCs w:val="24"/>
        </w:rPr>
        <w:t>Tigran Makunts</w:t>
      </w:r>
      <w:r>
        <w:rPr>
          <w:rFonts w:ascii="Arial" w:eastAsia="Arial" w:hAnsi="Arial" w:cs="Arial"/>
          <w:sz w:val="24"/>
          <w:szCs w:val="24"/>
          <w:vertAlign w:val="superscript"/>
        </w:rPr>
        <w:t>1,2</w:t>
      </w:r>
      <w:r>
        <w:rPr>
          <w:rFonts w:ascii="Arial" w:eastAsia="Arial" w:hAnsi="Arial" w:cs="Arial"/>
          <w:sz w:val="24"/>
          <w:szCs w:val="24"/>
        </w:rPr>
        <w:t>, M. Axel Wollmer</w:t>
      </w:r>
      <w:r>
        <w:rPr>
          <w:rFonts w:ascii="Arial" w:eastAsia="Arial" w:hAnsi="Arial" w:cs="Arial"/>
          <w:sz w:val="24"/>
          <w:szCs w:val="24"/>
          <w:vertAlign w:val="superscript"/>
        </w:rPr>
        <w:t>3</w:t>
      </w:r>
      <w:r>
        <w:rPr>
          <w:rFonts w:ascii="Arial" w:eastAsia="Arial" w:hAnsi="Arial" w:cs="Arial"/>
          <w:sz w:val="24"/>
          <w:szCs w:val="24"/>
        </w:rPr>
        <w:t>, Ruben Abagyan</w:t>
      </w:r>
      <w:r>
        <w:rPr>
          <w:rFonts w:ascii="Arial" w:eastAsia="Arial" w:hAnsi="Arial" w:cs="Arial"/>
          <w:sz w:val="24"/>
          <w:szCs w:val="24"/>
          <w:vertAlign w:val="superscript"/>
        </w:rPr>
        <w:t>1*</w:t>
      </w:r>
    </w:p>
    <w:p w14:paraId="04CBAFFD" w14:textId="77777777" w:rsidR="007B5804" w:rsidRDefault="007B5804" w:rsidP="007B5804">
      <w:pPr>
        <w:rPr>
          <w:rFonts w:ascii="Arial" w:eastAsia="Arial" w:hAnsi="Arial" w:cs="Arial"/>
          <w:sz w:val="24"/>
          <w:szCs w:val="24"/>
        </w:rPr>
      </w:pPr>
      <w:r>
        <w:rPr>
          <w:rFonts w:ascii="Arial" w:eastAsia="Arial" w:hAnsi="Arial" w:cs="Arial"/>
          <w:sz w:val="24"/>
          <w:szCs w:val="24"/>
          <w:vertAlign w:val="superscript"/>
        </w:rPr>
        <w:t xml:space="preserve">1 </w:t>
      </w:r>
      <w:r>
        <w:rPr>
          <w:rFonts w:ascii="Arial" w:eastAsia="Arial" w:hAnsi="Arial" w:cs="Arial"/>
          <w:sz w:val="24"/>
          <w:szCs w:val="24"/>
        </w:rPr>
        <w:t>Skaggs School of Pharmacy and Pharmaceutical Sciences, University of California San Diego, La Jolla, California</w:t>
      </w:r>
    </w:p>
    <w:p w14:paraId="152B2D9E" w14:textId="77777777" w:rsidR="007B5804" w:rsidRDefault="007B5804" w:rsidP="007B5804">
      <w:pPr>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Oak Ridge Institute of Science and Education fellowship at Office of Clinical Pharmacology, United States Food and Drug Administration</w:t>
      </w:r>
    </w:p>
    <w:p w14:paraId="3481BC6C" w14:textId="77777777" w:rsidR="007B5804" w:rsidRDefault="007B5804" w:rsidP="007B5804">
      <w:pPr>
        <w:spacing w:before="240" w:after="240" w:line="240" w:lineRule="auto"/>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 xml:space="preserve"> </w:t>
      </w:r>
      <w:proofErr w:type="spellStart"/>
      <w:r>
        <w:rPr>
          <w:rFonts w:ascii="Arial" w:eastAsia="Arial" w:hAnsi="Arial" w:cs="Arial"/>
          <w:sz w:val="24"/>
          <w:szCs w:val="24"/>
        </w:rPr>
        <w:t>Asklepios</w:t>
      </w:r>
      <w:proofErr w:type="spellEnd"/>
      <w:r>
        <w:rPr>
          <w:rFonts w:ascii="Arial" w:eastAsia="Arial" w:hAnsi="Arial" w:cs="Arial"/>
          <w:sz w:val="24"/>
          <w:szCs w:val="24"/>
        </w:rPr>
        <w:t xml:space="preserve"> Clinic North - </w:t>
      </w:r>
      <w:proofErr w:type="spellStart"/>
      <w:r>
        <w:rPr>
          <w:rFonts w:ascii="Arial" w:eastAsia="Arial" w:hAnsi="Arial" w:cs="Arial"/>
          <w:sz w:val="24"/>
          <w:szCs w:val="24"/>
        </w:rPr>
        <w:t>Ochsenzoll</w:t>
      </w:r>
      <w:proofErr w:type="spellEnd"/>
      <w:r>
        <w:rPr>
          <w:rFonts w:ascii="Arial" w:eastAsia="Arial" w:hAnsi="Arial" w:cs="Arial"/>
          <w:sz w:val="24"/>
          <w:szCs w:val="24"/>
        </w:rPr>
        <w:t xml:space="preserve">, </w:t>
      </w:r>
      <w:proofErr w:type="spellStart"/>
      <w:r>
        <w:rPr>
          <w:rFonts w:ascii="Arial" w:eastAsia="Arial" w:hAnsi="Arial" w:cs="Arial"/>
          <w:sz w:val="24"/>
          <w:szCs w:val="24"/>
        </w:rPr>
        <w:t>Asklepios</w:t>
      </w:r>
      <w:proofErr w:type="spellEnd"/>
      <w:r>
        <w:rPr>
          <w:rFonts w:ascii="Arial" w:eastAsia="Arial" w:hAnsi="Arial" w:cs="Arial"/>
          <w:sz w:val="24"/>
          <w:szCs w:val="24"/>
        </w:rPr>
        <w:t xml:space="preserve"> Campus Hamburg, Medical Faculty, Semmelweis University, Germany</w:t>
      </w:r>
    </w:p>
    <w:p w14:paraId="702653A6" w14:textId="77777777" w:rsidR="007B5804" w:rsidRDefault="007B5804" w:rsidP="007B5804">
      <w:pPr>
        <w:rPr>
          <w:rFonts w:ascii="Arial" w:eastAsia="Arial" w:hAnsi="Arial" w:cs="Arial"/>
          <w:sz w:val="24"/>
          <w:szCs w:val="24"/>
        </w:rPr>
      </w:pPr>
      <w:r>
        <w:rPr>
          <w:rFonts w:ascii="Arial" w:eastAsia="Arial" w:hAnsi="Arial" w:cs="Arial"/>
          <w:sz w:val="24"/>
          <w:szCs w:val="24"/>
        </w:rPr>
        <w:t xml:space="preserve">Correspondence to RA: </w:t>
      </w:r>
      <w:hyperlink r:id="rId4" w:history="1">
        <w:r>
          <w:rPr>
            <w:rStyle w:val="Hyperlink"/>
            <w:rFonts w:ascii="Arial" w:eastAsia="Arial" w:hAnsi="Arial" w:cs="Arial"/>
            <w:color w:val="0563C1"/>
            <w:sz w:val="24"/>
            <w:szCs w:val="24"/>
          </w:rPr>
          <w:t>rabagyan@health.ucsd.edu</w:t>
        </w:r>
      </w:hyperlink>
    </w:p>
    <w:p w14:paraId="7E806068" w14:textId="77777777" w:rsidR="007B5804" w:rsidRDefault="007B5804" w:rsidP="00553C05">
      <w:pPr>
        <w:spacing w:before="240" w:after="240" w:line="240" w:lineRule="auto"/>
        <w:rPr>
          <w:rFonts w:ascii="Arial" w:eastAsia="Arial" w:hAnsi="Arial" w:cs="Arial"/>
          <w:b/>
          <w:sz w:val="24"/>
          <w:szCs w:val="24"/>
        </w:rPr>
      </w:pPr>
      <w:bookmarkStart w:id="1" w:name="_GoBack"/>
      <w:bookmarkEnd w:id="1"/>
    </w:p>
    <w:p w14:paraId="68E5ED60" w14:textId="75C76BD2" w:rsidR="00553C05" w:rsidRDefault="00553C05" w:rsidP="00553C05">
      <w:pPr>
        <w:spacing w:before="240" w:after="240" w:line="240" w:lineRule="auto"/>
        <w:rPr>
          <w:rFonts w:ascii="Times New Roman" w:eastAsia="Times New Roman" w:hAnsi="Times New Roman" w:cs="Times New Roman"/>
          <w:sz w:val="24"/>
          <w:szCs w:val="24"/>
        </w:rPr>
      </w:pPr>
      <w:r>
        <w:rPr>
          <w:rFonts w:ascii="Arial" w:eastAsia="Arial" w:hAnsi="Arial" w:cs="Arial"/>
          <w:b/>
          <w:sz w:val="24"/>
          <w:szCs w:val="24"/>
        </w:rPr>
        <w:t>Supplementary information</w:t>
      </w:r>
    </w:p>
    <w:p w14:paraId="57D07DE0" w14:textId="77777777" w:rsidR="00553C05" w:rsidRDefault="00553C05" w:rsidP="00553C05">
      <w:pPr>
        <w:spacing w:before="240" w:after="0" w:line="240" w:lineRule="auto"/>
        <w:rPr>
          <w:rFonts w:ascii="Times New Roman" w:eastAsia="Times New Roman" w:hAnsi="Times New Roman" w:cs="Times New Roman"/>
          <w:sz w:val="24"/>
          <w:szCs w:val="24"/>
        </w:rPr>
      </w:pPr>
      <w:r>
        <w:rPr>
          <w:rFonts w:ascii="Arial" w:eastAsia="Arial" w:hAnsi="Arial" w:cs="Arial"/>
          <w:b/>
          <w:sz w:val="24"/>
          <w:szCs w:val="24"/>
        </w:rPr>
        <w:t>S1 Appendix. Excluded antidepressant list.</w:t>
      </w:r>
      <w:r>
        <w:rPr>
          <w:rFonts w:ascii="Arial" w:eastAsia="Arial" w:hAnsi="Arial" w:cs="Arial"/>
          <w:sz w:val="24"/>
          <w:szCs w:val="24"/>
        </w:rPr>
        <w:t> </w:t>
      </w:r>
    </w:p>
    <w:p w14:paraId="01A6A9F5" w14:textId="06A014A0" w:rsidR="00553C05" w:rsidRDefault="00553C05" w:rsidP="00E1122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Arial" w:eastAsia="Arial" w:hAnsi="Arial" w:cs="Arial"/>
          <w:sz w:val="24"/>
          <w:szCs w:val="24"/>
        </w:rPr>
        <w:t xml:space="preserve">Sertraline, fluoxetine, citalopram, escitalopram, paroxetine, fluvoxamine, venlafaxine, desvenlafaxine, duloxetine, </w:t>
      </w:r>
      <w:proofErr w:type="spellStart"/>
      <w:r>
        <w:rPr>
          <w:rFonts w:ascii="Arial" w:eastAsia="Arial" w:hAnsi="Arial" w:cs="Arial"/>
          <w:sz w:val="24"/>
          <w:szCs w:val="24"/>
        </w:rPr>
        <w:t>levomilnacipran</w:t>
      </w:r>
      <w:proofErr w:type="spellEnd"/>
      <w:r>
        <w:rPr>
          <w:rFonts w:ascii="Arial" w:eastAsia="Arial" w:hAnsi="Arial" w:cs="Arial"/>
          <w:sz w:val="24"/>
          <w:szCs w:val="24"/>
        </w:rPr>
        <w:t xml:space="preserve"> , milnacipran, amitriptyline, amoxapine, clomipramine, desipramine, nortriptyline, doxepin, imipramine, protriptyline, trimipramine, maprotiline, bupropion, vilazodone, nefazodone,  trazodone, vortioxetine, mirtazapine,  </w:t>
      </w:r>
      <w:proofErr w:type="spellStart"/>
      <w:r>
        <w:rPr>
          <w:rFonts w:ascii="Arial" w:eastAsia="Arial" w:hAnsi="Arial" w:cs="Arial"/>
          <w:sz w:val="24"/>
          <w:szCs w:val="24"/>
        </w:rPr>
        <w:t>isocarboxazid</w:t>
      </w:r>
      <w:proofErr w:type="spellEnd"/>
      <w:r>
        <w:rPr>
          <w:rFonts w:ascii="Arial" w:eastAsia="Arial" w:hAnsi="Arial" w:cs="Arial"/>
          <w:sz w:val="24"/>
          <w:szCs w:val="24"/>
        </w:rPr>
        <w:t xml:space="preserve">, phenelzine, tranylcypromine, selegiline, milnacipran, tofenacin, etoperidone, </w:t>
      </w:r>
      <w:proofErr w:type="spellStart"/>
      <w:r>
        <w:rPr>
          <w:rFonts w:ascii="Arial" w:eastAsia="Arial" w:hAnsi="Arial" w:cs="Arial"/>
          <w:sz w:val="24"/>
          <w:szCs w:val="24"/>
        </w:rPr>
        <w:t>amitriptylinoxide</w:t>
      </w:r>
      <w:proofErr w:type="spellEnd"/>
      <w:r>
        <w:rPr>
          <w:rFonts w:ascii="Arial" w:eastAsia="Arial" w:hAnsi="Arial" w:cs="Arial"/>
          <w:sz w:val="24"/>
          <w:szCs w:val="24"/>
        </w:rPr>
        <w:t xml:space="preserve">, </w:t>
      </w:r>
      <w:proofErr w:type="spellStart"/>
      <w:r>
        <w:rPr>
          <w:rFonts w:ascii="Arial" w:eastAsia="Arial" w:hAnsi="Arial" w:cs="Arial"/>
          <w:sz w:val="24"/>
          <w:szCs w:val="24"/>
        </w:rPr>
        <w:t>dibenzepin</w:t>
      </w:r>
      <w:proofErr w:type="spellEnd"/>
      <w:r>
        <w:rPr>
          <w:rFonts w:ascii="Arial" w:eastAsia="Arial" w:hAnsi="Arial" w:cs="Arial"/>
          <w:sz w:val="24"/>
          <w:szCs w:val="24"/>
        </w:rPr>
        <w:t xml:space="preserve">, dimetacrine, </w:t>
      </w:r>
      <w:proofErr w:type="spellStart"/>
      <w:r>
        <w:rPr>
          <w:rFonts w:ascii="Arial" w:eastAsia="Arial" w:hAnsi="Arial" w:cs="Arial"/>
          <w:sz w:val="24"/>
          <w:szCs w:val="24"/>
        </w:rPr>
        <w:t>dosulepin</w:t>
      </w:r>
      <w:proofErr w:type="spellEnd"/>
      <w:r>
        <w:rPr>
          <w:rFonts w:ascii="Arial" w:eastAsia="Arial" w:hAnsi="Arial" w:cs="Arial"/>
          <w:sz w:val="24"/>
          <w:szCs w:val="24"/>
        </w:rPr>
        <w:t xml:space="preserve"> , </w:t>
      </w:r>
      <w:proofErr w:type="spellStart"/>
      <w:r>
        <w:rPr>
          <w:rFonts w:ascii="Arial" w:eastAsia="Arial" w:hAnsi="Arial" w:cs="Arial"/>
          <w:sz w:val="24"/>
          <w:szCs w:val="24"/>
        </w:rPr>
        <w:t>adapin</w:t>
      </w:r>
      <w:proofErr w:type="spellEnd"/>
      <w:r>
        <w:rPr>
          <w:rFonts w:ascii="Arial" w:eastAsia="Arial" w:hAnsi="Arial" w:cs="Arial"/>
          <w:sz w:val="24"/>
          <w:szCs w:val="24"/>
        </w:rPr>
        <w:t xml:space="preserve">, </w:t>
      </w:r>
      <w:proofErr w:type="spellStart"/>
      <w:r>
        <w:rPr>
          <w:rFonts w:ascii="Arial" w:eastAsia="Arial" w:hAnsi="Arial" w:cs="Arial"/>
          <w:sz w:val="24"/>
          <w:szCs w:val="24"/>
        </w:rPr>
        <w:t>lofepramine</w:t>
      </w:r>
      <w:proofErr w:type="spellEnd"/>
      <w:r>
        <w:rPr>
          <w:rFonts w:ascii="Arial" w:eastAsia="Arial" w:hAnsi="Arial" w:cs="Arial"/>
          <w:sz w:val="24"/>
          <w:szCs w:val="24"/>
        </w:rPr>
        <w:t xml:space="preserve">, melitracen, nitroxazepine, noxiptiline, </w:t>
      </w:r>
      <w:proofErr w:type="spellStart"/>
      <w:r>
        <w:rPr>
          <w:rFonts w:ascii="Arial" w:eastAsia="Arial" w:hAnsi="Arial" w:cs="Arial"/>
          <w:sz w:val="24"/>
          <w:szCs w:val="24"/>
        </w:rPr>
        <w:t>pipofezine</w:t>
      </w:r>
      <w:proofErr w:type="spellEnd"/>
      <w:r>
        <w:rPr>
          <w:rFonts w:ascii="Arial" w:eastAsia="Arial" w:hAnsi="Arial" w:cs="Arial"/>
          <w:sz w:val="24"/>
          <w:szCs w:val="24"/>
        </w:rPr>
        <w:t xml:space="preserve">, butriptyline, </w:t>
      </w:r>
      <w:proofErr w:type="spellStart"/>
      <w:r>
        <w:rPr>
          <w:rFonts w:ascii="Arial" w:eastAsia="Arial" w:hAnsi="Arial" w:cs="Arial"/>
          <w:sz w:val="24"/>
          <w:szCs w:val="24"/>
        </w:rPr>
        <w:t>demexiptiline</w:t>
      </w:r>
      <w:proofErr w:type="spellEnd"/>
      <w:r>
        <w:rPr>
          <w:rFonts w:ascii="Arial" w:eastAsia="Arial" w:hAnsi="Arial" w:cs="Arial"/>
          <w:sz w:val="24"/>
          <w:szCs w:val="24"/>
        </w:rPr>
        <w:t xml:space="preserve">, </w:t>
      </w:r>
      <w:proofErr w:type="spellStart"/>
      <w:r>
        <w:rPr>
          <w:rFonts w:ascii="Arial" w:eastAsia="Arial" w:hAnsi="Arial" w:cs="Arial"/>
          <w:sz w:val="24"/>
          <w:szCs w:val="24"/>
        </w:rPr>
        <w:t>imipraminoxide</w:t>
      </w:r>
      <w:proofErr w:type="spellEnd"/>
      <w:r>
        <w:rPr>
          <w:rFonts w:ascii="Arial" w:eastAsia="Arial" w:hAnsi="Arial" w:cs="Arial"/>
          <w:sz w:val="24"/>
          <w:szCs w:val="24"/>
        </w:rPr>
        <w:t xml:space="preserve">, iprindole, </w:t>
      </w:r>
      <w:proofErr w:type="spellStart"/>
      <w:r>
        <w:rPr>
          <w:rFonts w:ascii="Arial" w:eastAsia="Arial" w:hAnsi="Arial" w:cs="Arial"/>
          <w:sz w:val="24"/>
          <w:szCs w:val="24"/>
        </w:rPr>
        <w:t>metapramine</w:t>
      </w:r>
      <w:proofErr w:type="spellEnd"/>
      <w:r>
        <w:rPr>
          <w:rFonts w:ascii="Arial" w:eastAsia="Arial" w:hAnsi="Arial" w:cs="Arial"/>
          <w:sz w:val="24"/>
          <w:szCs w:val="24"/>
        </w:rPr>
        <w:t xml:space="preserve">, propizepine, quinupramine, </w:t>
      </w:r>
      <w:proofErr w:type="spellStart"/>
      <w:r>
        <w:rPr>
          <w:rFonts w:ascii="Arial" w:eastAsia="Arial" w:hAnsi="Arial" w:cs="Arial"/>
          <w:sz w:val="24"/>
          <w:szCs w:val="24"/>
        </w:rPr>
        <w:t>mianserin</w:t>
      </w:r>
      <w:proofErr w:type="spellEnd"/>
      <w:r>
        <w:rPr>
          <w:rFonts w:ascii="Arial" w:eastAsia="Arial" w:hAnsi="Arial" w:cs="Arial"/>
          <w:sz w:val="24"/>
          <w:szCs w:val="24"/>
        </w:rPr>
        <w:t xml:space="preserve">, </w:t>
      </w:r>
      <w:proofErr w:type="spellStart"/>
      <w:r>
        <w:rPr>
          <w:rFonts w:ascii="Arial" w:eastAsia="Arial" w:hAnsi="Arial" w:cs="Arial"/>
          <w:sz w:val="24"/>
          <w:szCs w:val="24"/>
        </w:rPr>
        <w:t>setiptiline</w:t>
      </w:r>
      <w:proofErr w:type="spellEnd"/>
      <w:r>
        <w:rPr>
          <w:rFonts w:ascii="Arial" w:eastAsia="Arial" w:hAnsi="Arial" w:cs="Arial"/>
          <w:sz w:val="24"/>
          <w:szCs w:val="24"/>
        </w:rPr>
        <w:t xml:space="preserve">, caroxazone, metralindole, moclobemide, </w:t>
      </w:r>
      <w:proofErr w:type="spellStart"/>
      <w:r>
        <w:rPr>
          <w:rFonts w:ascii="Arial" w:eastAsia="Arial" w:hAnsi="Arial" w:cs="Arial"/>
          <w:sz w:val="24"/>
          <w:szCs w:val="24"/>
        </w:rPr>
        <w:t>pirindole</w:t>
      </w:r>
      <w:proofErr w:type="spellEnd"/>
      <w:r>
        <w:rPr>
          <w:rFonts w:ascii="Arial" w:eastAsia="Arial" w:hAnsi="Arial" w:cs="Arial"/>
          <w:sz w:val="24"/>
          <w:szCs w:val="24"/>
        </w:rPr>
        <w:t>, toloxatone, eprobemide, minaprine, ketamine.</w:t>
      </w:r>
    </w:p>
    <w:p w14:paraId="3F0CB7C1" w14:textId="39673DCC" w:rsidR="00553C05" w:rsidRDefault="00553C05" w:rsidP="00553C05">
      <w:pPr>
        <w:spacing w:before="240" w:after="0" w:line="240" w:lineRule="auto"/>
        <w:rPr>
          <w:rFonts w:ascii="Times New Roman" w:eastAsia="Times New Roman" w:hAnsi="Times New Roman" w:cs="Times New Roman"/>
          <w:sz w:val="24"/>
          <w:szCs w:val="24"/>
        </w:rPr>
      </w:pPr>
      <w:r>
        <w:rPr>
          <w:rFonts w:ascii="Arial" w:eastAsia="Arial" w:hAnsi="Arial" w:cs="Arial"/>
          <w:b/>
          <w:sz w:val="24"/>
          <w:szCs w:val="24"/>
        </w:rPr>
        <w:t>S2 Appendix</w:t>
      </w:r>
      <w:r>
        <w:rPr>
          <w:rFonts w:ascii="Arial" w:eastAsia="Arial" w:hAnsi="Arial" w:cs="Arial"/>
          <w:sz w:val="24"/>
          <w:szCs w:val="24"/>
        </w:rPr>
        <w:t xml:space="preserve">. </w:t>
      </w:r>
      <w:r>
        <w:rPr>
          <w:rFonts w:ascii="Arial" w:eastAsia="Arial" w:hAnsi="Arial" w:cs="Arial"/>
          <w:b/>
          <w:sz w:val="24"/>
          <w:szCs w:val="24"/>
        </w:rPr>
        <w:t>Excluded depressive disorder related indications/comorbidities</w:t>
      </w:r>
    </w:p>
    <w:p w14:paraId="195C6632" w14:textId="372DB441" w:rsidR="00553C05" w:rsidRPr="00E11224" w:rsidRDefault="00553C05" w:rsidP="00E11224">
      <w:pPr>
        <w:spacing w:before="240" w:after="240" w:line="240" w:lineRule="auto"/>
        <w:rPr>
          <w:rFonts w:ascii="Times New Roman" w:eastAsia="Times New Roman" w:hAnsi="Times New Roman" w:cs="Times New Roman"/>
          <w:sz w:val="24"/>
          <w:szCs w:val="24"/>
        </w:rPr>
      </w:pPr>
      <w:r>
        <w:rPr>
          <w:rFonts w:ascii="Arial" w:eastAsia="Arial" w:hAnsi="Arial" w:cs="Arial"/>
          <w:sz w:val="24"/>
          <w:szCs w:val="24"/>
        </w:rPr>
        <w:t>Depression, treatment resistant depression, depressed mood, major depression, adjustment disorder with depressed mood, depressive symptom, adjustment disorder with mixed anxiety and depression, agitated depression, persistent depressive disorder, depression suicidal, adjustment disorder with anxiety and depressed mood, suicidal ideation, suicide attempt, suicidal behavior.</w:t>
      </w:r>
    </w:p>
    <w:p w14:paraId="08C947BC" w14:textId="77777777" w:rsidR="00553C05" w:rsidRDefault="00553C05" w:rsidP="00553C05">
      <w:pPr>
        <w:spacing w:before="240" w:after="0" w:line="240" w:lineRule="auto"/>
        <w:rPr>
          <w:rFonts w:ascii="Arial" w:eastAsia="Arial" w:hAnsi="Arial" w:cs="Arial"/>
          <w:sz w:val="24"/>
          <w:szCs w:val="24"/>
        </w:rPr>
      </w:pPr>
    </w:p>
    <w:p w14:paraId="0DA37DA4" w14:textId="77777777" w:rsidR="00553C05" w:rsidRPr="00102BD1" w:rsidRDefault="00553C05" w:rsidP="00553C05">
      <w:pPr>
        <w:rPr>
          <w:rFonts w:ascii="Arial" w:eastAsia="Arial" w:hAnsi="Arial" w:cs="Arial"/>
          <w:b/>
          <w:bCs/>
          <w:sz w:val="24"/>
          <w:szCs w:val="24"/>
        </w:rPr>
      </w:pPr>
      <w:r w:rsidRPr="00102BD1">
        <w:rPr>
          <w:rFonts w:ascii="Arial" w:eastAsia="Arial" w:hAnsi="Arial" w:cs="Arial"/>
          <w:b/>
          <w:bCs/>
          <w:sz w:val="24"/>
          <w:szCs w:val="24"/>
        </w:rPr>
        <w:t xml:space="preserve">S3 Appendix. List of concurrent medications in </w:t>
      </w:r>
      <w:proofErr w:type="spellStart"/>
      <w:r w:rsidRPr="00102BD1">
        <w:rPr>
          <w:rFonts w:ascii="Arial" w:eastAsia="Arial" w:hAnsi="Arial" w:cs="Arial"/>
          <w:b/>
          <w:bCs/>
          <w:sz w:val="24"/>
          <w:szCs w:val="24"/>
        </w:rPr>
        <w:t>BoNT</w:t>
      </w:r>
      <w:proofErr w:type="spellEnd"/>
      <w:r w:rsidRPr="00102BD1">
        <w:rPr>
          <w:rFonts w:ascii="Arial" w:eastAsia="Arial" w:hAnsi="Arial" w:cs="Arial"/>
          <w:b/>
          <w:bCs/>
          <w:sz w:val="24"/>
          <w:szCs w:val="24"/>
        </w:rPr>
        <w:t xml:space="preserve"> and control groups</w:t>
      </w:r>
    </w:p>
    <w:tbl>
      <w:tblPr>
        <w:tblStyle w:val="TableGrid"/>
        <w:tblW w:w="9085" w:type="dxa"/>
        <w:tblLook w:val="04A0" w:firstRow="1" w:lastRow="0" w:firstColumn="1" w:lastColumn="0" w:noHBand="0" w:noVBand="1"/>
      </w:tblPr>
      <w:tblGrid>
        <w:gridCol w:w="1873"/>
        <w:gridCol w:w="3342"/>
        <w:gridCol w:w="3870"/>
      </w:tblGrid>
      <w:tr w:rsidR="00553C05" w:rsidRPr="00601313" w14:paraId="233F0D59" w14:textId="77777777" w:rsidTr="00E3345C">
        <w:tc>
          <w:tcPr>
            <w:tcW w:w="1873" w:type="dxa"/>
          </w:tcPr>
          <w:p w14:paraId="5417AA35" w14:textId="77777777" w:rsidR="00553C05" w:rsidRPr="00601313" w:rsidRDefault="00553C05" w:rsidP="00E3345C">
            <w:pPr>
              <w:rPr>
                <w:rFonts w:ascii="Arial" w:eastAsia="Arial" w:hAnsi="Arial" w:cs="Arial"/>
                <w:b/>
                <w:bCs/>
                <w:sz w:val="20"/>
                <w:szCs w:val="20"/>
              </w:rPr>
            </w:pPr>
            <w:r w:rsidRPr="00601313">
              <w:rPr>
                <w:rFonts w:ascii="Arial" w:eastAsia="Arial" w:hAnsi="Arial" w:cs="Arial"/>
                <w:b/>
                <w:bCs/>
                <w:sz w:val="20"/>
                <w:szCs w:val="20"/>
              </w:rPr>
              <w:t>Indication</w:t>
            </w:r>
          </w:p>
        </w:tc>
        <w:tc>
          <w:tcPr>
            <w:tcW w:w="3342" w:type="dxa"/>
          </w:tcPr>
          <w:p w14:paraId="2AE9A4D9" w14:textId="77777777" w:rsidR="00553C05" w:rsidRPr="00601313" w:rsidRDefault="00553C05" w:rsidP="00E3345C">
            <w:pPr>
              <w:rPr>
                <w:rFonts w:ascii="Arial" w:eastAsia="Arial" w:hAnsi="Arial" w:cs="Arial"/>
                <w:b/>
                <w:bCs/>
                <w:sz w:val="20"/>
                <w:szCs w:val="20"/>
              </w:rPr>
            </w:pPr>
            <w:proofErr w:type="spellStart"/>
            <w:r w:rsidRPr="00601313">
              <w:rPr>
                <w:rFonts w:ascii="Arial" w:eastAsia="Arial" w:hAnsi="Arial" w:cs="Arial"/>
                <w:b/>
                <w:bCs/>
                <w:sz w:val="20"/>
                <w:szCs w:val="20"/>
              </w:rPr>
              <w:t>BoNT</w:t>
            </w:r>
            <w:proofErr w:type="spellEnd"/>
            <w:r w:rsidRPr="00601313">
              <w:rPr>
                <w:rFonts w:ascii="Arial" w:eastAsia="Arial" w:hAnsi="Arial" w:cs="Arial"/>
                <w:b/>
                <w:bCs/>
                <w:sz w:val="20"/>
                <w:szCs w:val="20"/>
              </w:rPr>
              <w:t xml:space="preserve"> cohort concurrent medications</w:t>
            </w:r>
            <w:r>
              <w:rPr>
                <w:rFonts w:ascii="Arial" w:eastAsia="Arial" w:hAnsi="Arial" w:cs="Arial"/>
                <w:b/>
                <w:bCs/>
                <w:sz w:val="20"/>
                <w:szCs w:val="20"/>
              </w:rPr>
              <w:t xml:space="preserve"> (&gt;1% reported)</w:t>
            </w:r>
          </w:p>
        </w:tc>
        <w:tc>
          <w:tcPr>
            <w:tcW w:w="3870" w:type="dxa"/>
          </w:tcPr>
          <w:p w14:paraId="6065DA65" w14:textId="77777777" w:rsidR="00553C05" w:rsidRDefault="00553C05" w:rsidP="00E3345C">
            <w:pPr>
              <w:rPr>
                <w:rFonts w:ascii="Arial" w:eastAsia="Arial" w:hAnsi="Arial" w:cs="Arial"/>
                <w:b/>
                <w:bCs/>
                <w:sz w:val="20"/>
                <w:szCs w:val="20"/>
              </w:rPr>
            </w:pPr>
            <w:r w:rsidRPr="00601313">
              <w:rPr>
                <w:rFonts w:ascii="Arial" w:eastAsia="Arial" w:hAnsi="Arial" w:cs="Arial"/>
                <w:b/>
                <w:bCs/>
                <w:sz w:val="20"/>
                <w:szCs w:val="20"/>
              </w:rPr>
              <w:t>Control cohort medications</w:t>
            </w:r>
          </w:p>
          <w:p w14:paraId="3E782C0F" w14:textId="77777777" w:rsidR="00553C05" w:rsidRPr="00601313" w:rsidRDefault="00553C05" w:rsidP="00E3345C">
            <w:pPr>
              <w:rPr>
                <w:rFonts w:ascii="Arial" w:eastAsia="Arial" w:hAnsi="Arial" w:cs="Arial"/>
                <w:b/>
                <w:bCs/>
                <w:sz w:val="20"/>
                <w:szCs w:val="20"/>
              </w:rPr>
            </w:pPr>
            <w:r>
              <w:rPr>
                <w:rFonts w:ascii="Arial" w:eastAsia="Arial" w:hAnsi="Arial" w:cs="Arial"/>
                <w:b/>
                <w:bCs/>
                <w:sz w:val="20"/>
                <w:szCs w:val="20"/>
              </w:rPr>
              <w:t>(&gt;1% reported)</w:t>
            </w:r>
          </w:p>
        </w:tc>
      </w:tr>
      <w:tr w:rsidR="00553C05" w:rsidRPr="00601313" w14:paraId="480C4900" w14:textId="77777777" w:rsidTr="00E3345C">
        <w:tc>
          <w:tcPr>
            <w:tcW w:w="1873" w:type="dxa"/>
          </w:tcPr>
          <w:p w14:paraId="44EFD743" w14:textId="77777777" w:rsidR="00553C05" w:rsidRPr="00601313" w:rsidRDefault="00553C05" w:rsidP="00E3345C">
            <w:pPr>
              <w:rPr>
                <w:rFonts w:ascii="Arial" w:eastAsia="Arial" w:hAnsi="Arial" w:cs="Arial"/>
                <w:sz w:val="20"/>
                <w:szCs w:val="20"/>
              </w:rPr>
            </w:pPr>
            <w:r w:rsidRPr="00601313">
              <w:rPr>
                <w:rFonts w:ascii="Arial" w:eastAsia="Arial" w:hAnsi="Arial" w:cs="Arial"/>
                <w:sz w:val="20"/>
                <w:szCs w:val="20"/>
              </w:rPr>
              <w:t>Cosmetic use</w:t>
            </w:r>
          </w:p>
        </w:tc>
        <w:tc>
          <w:tcPr>
            <w:tcW w:w="3342" w:type="dxa"/>
          </w:tcPr>
          <w:p w14:paraId="40220D91"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 xml:space="preserve">Hyaluronic acid, </w:t>
            </w:r>
            <w:r w:rsidRPr="00DE3846">
              <w:rPr>
                <w:rFonts w:ascii="Arial" w:eastAsia="Arial" w:hAnsi="Arial" w:cs="Arial"/>
                <w:sz w:val="20"/>
                <w:szCs w:val="20"/>
              </w:rPr>
              <w:t>synthetic calcium hydroxyapatite</w:t>
            </w:r>
          </w:p>
        </w:tc>
        <w:tc>
          <w:tcPr>
            <w:tcW w:w="3870" w:type="dxa"/>
          </w:tcPr>
          <w:p w14:paraId="756F408D"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 xml:space="preserve">Tretinoin, hyaluronic acid, adapalene, hydroquinone, clobetasol propionate, deoxycholic acid, epinephrine with </w:t>
            </w:r>
            <w:r>
              <w:rPr>
                <w:rFonts w:ascii="Arial" w:eastAsia="Arial" w:hAnsi="Arial" w:cs="Arial"/>
                <w:sz w:val="20"/>
                <w:szCs w:val="20"/>
              </w:rPr>
              <w:lastRenderedPageBreak/>
              <w:t>lidocaine, fibrinogen (BAC2) and thrombin</w:t>
            </w:r>
          </w:p>
        </w:tc>
      </w:tr>
      <w:tr w:rsidR="00553C05" w:rsidRPr="00601313" w14:paraId="38121656" w14:textId="77777777" w:rsidTr="00E3345C">
        <w:tc>
          <w:tcPr>
            <w:tcW w:w="1873" w:type="dxa"/>
          </w:tcPr>
          <w:p w14:paraId="1A594E82" w14:textId="77777777" w:rsidR="00553C05" w:rsidRPr="00601313" w:rsidRDefault="00553C05" w:rsidP="00E3345C">
            <w:pPr>
              <w:rPr>
                <w:rFonts w:ascii="Arial" w:eastAsia="Arial" w:hAnsi="Arial" w:cs="Arial"/>
                <w:sz w:val="20"/>
                <w:szCs w:val="20"/>
              </w:rPr>
            </w:pPr>
            <w:r w:rsidRPr="00601313">
              <w:rPr>
                <w:rFonts w:ascii="Arial" w:eastAsia="Arial" w:hAnsi="Arial" w:cs="Arial"/>
                <w:sz w:val="20"/>
                <w:szCs w:val="20"/>
              </w:rPr>
              <w:lastRenderedPageBreak/>
              <w:t>Migraine</w:t>
            </w:r>
          </w:p>
        </w:tc>
        <w:tc>
          <w:tcPr>
            <w:tcW w:w="3342" w:type="dxa"/>
          </w:tcPr>
          <w:p w14:paraId="6F258BF8" w14:textId="77777777" w:rsidR="00553C05" w:rsidRDefault="00553C05" w:rsidP="00E3345C">
            <w:pPr>
              <w:rPr>
                <w:rFonts w:ascii="Arial" w:eastAsia="Arial" w:hAnsi="Arial" w:cs="Arial"/>
                <w:sz w:val="20"/>
                <w:szCs w:val="20"/>
              </w:rPr>
            </w:pPr>
            <w:r>
              <w:rPr>
                <w:rFonts w:ascii="Arial" w:eastAsia="Arial" w:hAnsi="Arial" w:cs="Arial"/>
                <w:sz w:val="20"/>
                <w:szCs w:val="20"/>
              </w:rPr>
              <w:t xml:space="preserve">Sumatriptan, topiramate, gabapentin, rizatriptan, ibuprofen, propranolol, </w:t>
            </w:r>
            <w:proofErr w:type="spellStart"/>
            <w:r>
              <w:rPr>
                <w:rFonts w:ascii="Arial" w:eastAsia="Arial" w:hAnsi="Arial" w:cs="Arial"/>
                <w:sz w:val="20"/>
                <w:szCs w:val="20"/>
              </w:rPr>
              <w:t>eletriptan</w:t>
            </w:r>
            <w:proofErr w:type="spellEnd"/>
            <w:r>
              <w:rPr>
                <w:rFonts w:ascii="Arial" w:eastAsia="Arial" w:hAnsi="Arial" w:cs="Arial"/>
                <w:sz w:val="20"/>
                <w:szCs w:val="20"/>
              </w:rPr>
              <w:t>, acetaminophen/butalbital/caffeine,</w:t>
            </w:r>
          </w:p>
          <w:p w14:paraId="0E779285"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 xml:space="preserve">zolmitriptan, aspirin, tizanidine, diclofenac, ergocalciferol, valproic acid, </w:t>
            </w:r>
            <w:proofErr w:type="spellStart"/>
            <w:r>
              <w:rPr>
                <w:rFonts w:ascii="Arial" w:eastAsia="Arial" w:hAnsi="Arial" w:cs="Arial"/>
                <w:sz w:val="20"/>
                <w:szCs w:val="20"/>
              </w:rPr>
              <w:t>erenumab-aooe</w:t>
            </w:r>
            <w:proofErr w:type="spellEnd"/>
            <w:r>
              <w:rPr>
                <w:rFonts w:ascii="Arial" w:eastAsia="Arial" w:hAnsi="Arial" w:cs="Arial"/>
                <w:sz w:val="20"/>
                <w:szCs w:val="20"/>
              </w:rPr>
              <w:t xml:space="preserve">, </w:t>
            </w:r>
            <w:proofErr w:type="spellStart"/>
            <w:r>
              <w:rPr>
                <w:rFonts w:ascii="Arial" w:eastAsia="Arial" w:hAnsi="Arial" w:cs="Arial"/>
                <w:sz w:val="20"/>
                <w:szCs w:val="20"/>
              </w:rPr>
              <w:t>galcanezumab-gnlm</w:t>
            </w:r>
            <w:proofErr w:type="spellEnd"/>
            <w:r>
              <w:rPr>
                <w:rFonts w:ascii="Arial" w:eastAsia="Arial" w:hAnsi="Arial" w:cs="Arial"/>
                <w:sz w:val="20"/>
                <w:szCs w:val="20"/>
              </w:rPr>
              <w:t>, tramadol, ketorolac, pregabalin, naproxen</w:t>
            </w:r>
          </w:p>
        </w:tc>
        <w:tc>
          <w:tcPr>
            <w:tcW w:w="3870" w:type="dxa"/>
          </w:tcPr>
          <w:p w14:paraId="1C3CC1AC" w14:textId="77777777" w:rsidR="00553C05" w:rsidRDefault="00553C05" w:rsidP="00E3345C">
            <w:pPr>
              <w:rPr>
                <w:rFonts w:ascii="Arial" w:eastAsia="Arial" w:hAnsi="Arial" w:cs="Arial"/>
                <w:sz w:val="20"/>
                <w:szCs w:val="20"/>
              </w:rPr>
            </w:pPr>
            <w:r>
              <w:rPr>
                <w:rFonts w:ascii="Arial" w:eastAsia="Arial" w:hAnsi="Arial" w:cs="Arial"/>
                <w:sz w:val="20"/>
                <w:szCs w:val="20"/>
              </w:rPr>
              <w:t xml:space="preserve">Sumatriptan, </w:t>
            </w:r>
            <w:proofErr w:type="spellStart"/>
            <w:r>
              <w:rPr>
                <w:rFonts w:ascii="Arial" w:eastAsia="Arial" w:hAnsi="Arial" w:cs="Arial"/>
                <w:sz w:val="20"/>
                <w:szCs w:val="20"/>
              </w:rPr>
              <w:t>erenumab-aooe</w:t>
            </w:r>
            <w:proofErr w:type="spellEnd"/>
            <w:r>
              <w:rPr>
                <w:rFonts w:ascii="Arial" w:eastAsia="Arial" w:hAnsi="Arial" w:cs="Arial"/>
                <w:sz w:val="20"/>
                <w:szCs w:val="20"/>
              </w:rPr>
              <w:t xml:space="preserve">, topiramate, </w:t>
            </w:r>
            <w:r w:rsidRPr="00FC3D65">
              <w:rPr>
                <w:rFonts w:ascii="Arial" w:eastAsia="Arial" w:hAnsi="Arial" w:cs="Arial"/>
                <w:sz w:val="20"/>
                <w:szCs w:val="20"/>
              </w:rPr>
              <w:t>ibuprofen,</w:t>
            </w:r>
            <w:r>
              <w:rPr>
                <w:rFonts w:ascii="Arial" w:eastAsia="Arial" w:hAnsi="Arial" w:cs="Arial"/>
                <w:sz w:val="20"/>
                <w:szCs w:val="20"/>
              </w:rPr>
              <w:t xml:space="preserve"> </w:t>
            </w:r>
            <w:proofErr w:type="spellStart"/>
            <w:r>
              <w:rPr>
                <w:rFonts w:ascii="Arial" w:eastAsia="Arial" w:hAnsi="Arial" w:cs="Arial"/>
                <w:sz w:val="20"/>
                <w:szCs w:val="20"/>
              </w:rPr>
              <w:t>eletriptan</w:t>
            </w:r>
            <w:proofErr w:type="spellEnd"/>
            <w:r>
              <w:rPr>
                <w:rFonts w:ascii="Arial" w:eastAsia="Arial" w:hAnsi="Arial" w:cs="Arial"/>
                <w:sz w:val="20"/>
                <w:szCs w:val="20"/>
              </w:rPr>
              <w:t>, acetaminophen, gabapentin, rizatriptan, propranolol, acetaminophen/caffeine, acetaminophen/butalbital/caffeine,</w:t>
            </w:r>
          </w:p>
          <w:p w14:paraId="61DEB6A7"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 xml:space="preserve">zolmitriptan, aspirin, tizanidine, diclofenac, ergocalciferol, valproic acid, </w:t>
            </w:r>
            <w:proofErr w:type="spellStart"/>
            <w:r>
              <w:rPr>
                <w:rFonts w:ascii="Arial" w:eastAsia="Arial" w:hAnsi="Arial" w:cs="Arial"/>
                <w:sz w:val="20"/>
                <w:szCs w:val="20"/>
              </w:rPr>
              <w:t>galcanezumab-gnlm</w:t>
            </w:r>
            <w:proofErr w:type="spellEnd"/>
            <w:r>
              <w:rPr>
                <w:rFonts w:ascii="Arial" w:eastAsia="Arial" w:hAnsi="Arial" w:cs="Arial"/>
                <w:sz w:val="20"/>
                <w:szCs w:val="20"/>
              </w:rPr>
              <w:t>, tramadol, ketorolac, pregabalin, naproxen, acetaminophen/hydrocodone, naratriptan, naproxen/sumatriptan, fentanyl</w:t>
            </w:r>
          </w:p>
        </w:tc>
      </w:tr>
      <w:tr w:rsidR="00553C05" w:rsidRPr="00601313" w14:paraId="2176EC2C" w14:textId="77777777" w:rsidTr="00E3345C">
        <w:tc>
          <w:tcPr>
            <w:tcW w:w="1873" w:type="dxa"/>
          </w:tcPr>
          <w:p w14:paraId="28EFA9C6" w14:textId="77777777" w:rsidR="00553C05" w:rsidRPr="00601313" w:rsidRDefault="00553C05" w:rsidP="00E3345C">
            <w:pPr>
              <w:rPr>
                <w:rFonts w:ascii="Arial" w:eastAsia="Arial" w:hAnsi="Arial" w:cs="Arial"/>
                <w:sz w:val="20"/>
                <w:szCs w:val="20"/>
              </w:rPr>
            </w:pPr>
            <w:r w:rsidRPr="00601313">
              <w:rPr>
                <w:rFonts w:ascii="Arial" w:eastAsia="Arial" w:hAnsi="Arial" w:cs="Arial"/>
                <w:sz w:val="20"/>
                <w:szCs w:val="20"/>
              </w:rPr>
              <w:t>Spasms and spasticity</w:t>
            </w:r>
          </w:p>
        </w:tc>
        <w:tc>
          <w:tcPr>
            <w:tcW w:w="3342" w:type="dxa"/>
          </w:tcPr>
          <w:p w14:paraId="0D50E42E"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Baclofen, gabapentin, diazepam, aspirin, tizanidine, clonazepam, valproic acid, pregabalin, levetiracetam, cyclobenzaprine, lamotrigine, topiramate, dalfampridine, carbamazepine, zolpidem, midazolam, carbidopa/levodopa</w:t>
            </w:r>
          </w:p>
        </w:tc>
        <w:tc>
          <w:tcPr>
            <w:tcW w:w="3870" w:type="dxa"/>
          </w:tcPr>
          <w:p w14:paraId="734E649E"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Baclofen, gabapentin, cyclobenzaprine, pregabalin, diazepam, tizanidine, clonazepam, lorazepam, zolpidem, tetrabenazine, primidone, valproic acid, dalfampridine, carisoprodol, topiramate, carbidopa/levodopa</w:t>
            </w:r>
          </w:p>
        </w:tc>
      </w:tr>
      <w:tr w:rsidR="00553C05" w:rsidRPr="00601313" w14:paraId="5FFD482B" w14:textId="77777777" w:rsidTr="00E3345C">
        <w:tc>
          <w:tcPr>
            <w:tcW w:w="1873" w:type="dxa"/>
          </w:tcPr>
          <w:p w14:paraId="6A4F27AD" w14:textId="77777777" w:rsidR="00553C05" w:rsidRPr="00601313" w:rsidRDefault="00553C05" w:rsidP="00E3345C">
            <w:pPr>
              <w:rPr>
                <w:rFonts w:ascii="Arial" w:eastAsia="Arial" w:hAnsi="Arial" w:cs="Arial"/>
                <w:sz w:val="20"/>
                <w:szCs w:val="20"/>
              </w:rPr>
            </w:pPr>
            <w:r w:rsidRPr="00601313">
              <w:rPr>
                <w:rFonts w:ascii="Arial" w:eastAsia="Arial" w:hAnsi="Arial" w:cs="Arial"/>
                <w:sz w:val="20"/>
                <w:szCs w:val="20"/>
              </w:rPr>
              <w:t>Torticollis and neck pain</w:t>
            </w:r>
          </w:p>
        </w:tc>
        <w:tc>
          <w:tcPr>
            <w:tcW w:w="3342" w:type="dxa"/>
          </w:tcPr>
          <w:p w14:paraId="79B213ED"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Clonazepam, gabapentin, diazepam, baclofen, tizanidine, lorazepam, cyclobenzaprine, phenobarbital, t</w:t>
            </w:r>
            <w:r w:rsidRPr="003F412B">
              <w:rPr>
                <w:rFonts w:ascii="Arial" w:eastAsia="Arial" w:hAnsi="Arial" w:cs="Arial"/>
                <w:sz w:val="20"/>
                <w:szCs w:val="20"/>
              </w:rPr>
              <w:t>rihexyphenidyl</w:t>
            </w:r>
            <w:r>
              <w:rPr>
                <w:rFonts w:ascii="Arial" w:eastAsia="Arial" w:hAnsi="Arial" w:cs="Arial"/>
                <w:sz w:val="20"/>
                <w:szCs w:val="20"/>
              </w:rPr>
              <w:t>, valproic acid, pregabalin</w:t>
            </w:r>
          </w:p>
        </w:tc>
        <w:tc>
          <w:tcPr>
            <w:tcW w:w="3870" w:type="dxa"/>
          </w:tcPr>
          <w:p w14:paraId="3FB36382"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Pregabalin, gabapentin, cyclobenzaprine, diazepam, tizanidine, clonazepam, alprazolam, carisoprodol, baclofen, lorazepam, topiramate</w:t>
            </w:r>
          </w:p>
        </w:tc>
      </w:tr>
      <w:tr w:rsidR="00553C05" w:rsidRPr="00601313" w14:paraId="31AE8064" w14:textId="77777777" w:rsidTr="00E3345C">
        <w:tc>
          <w:tcPr>
            <w:tcW w:w="1873" w:type="dxa"/>
          </w:tcPr>
          <w:p w14:paraId="12C68093" w14:textId="77777777" w:rsidR="00553C05" w:rsidRPr="00601313" w:rsidRDefault="00553C05" w:rsidP="00E3345C">
            <w:pPr>
              <w:rPr>
                <w:rFonts w:ascii="Arial" w:eastAsia="Arial" w:hAnsi="Arial" w:cs="Arial"/>
                <w:sz w:val="20"/>
                <w:szCs w:val="20"/>
              </w:rPr>
            </w:pPr>
            <w:r w:rsidRPr="00601313">
              <w:rPr>
                <w:rFonts w:ascii="Arial" w:eastAsia="Arial" w:hAnsi="Arial" w:cs="Arial"/>
                <w:sz w:val="20"/>
                <w:szCs w:val="20"/>
              </w:rPr>
              <w:t>Blepharospasm</w:t>
            </w:r>
          </w:p>
        </w:tc>
        <w:tc>
          <w:tcPr>
            <w:tcW w:w="3342" w:type="dxa"/>
          </w:tcPr>
          <w:p w14:paraId="643F50E8"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Clonazepam, lorazepam, diazepam, t</w:t>
            </w:r>
            <w:r w:rsidRPr="003F412B">
              <w:rPr>
                <w:rFonts w:ascii="Arial" w:eastAsia="Arial" w:hAnsi="Arial" w:cs="Arial"/>
                <w:sz w:val="20"/>
                <w:szCs w:val="20"/>
              </w:rPr>
              <w:t>rihexyphenidyl</w:t>
            </w:r>
          </w:p>
        </w:tc>
        <w:tc>
          <w:tcPr>
            <w:tcW w:w="3870" w:type="dxa"/>
          </w:tcPr>
          <w:p w14:paraId="6C0FB563"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Clonazepam, carbamazepine, tetrabenazine, pregabalin, lorazepam, cyclobenzaprine, baclofen, t</w:t>
            </w:r>
            <w:r w:rsidRPr="003F412B">
              <w:rPr>
                <w:rFonts w:ascii="Arial" w:eastAsia="Arial" w:hAnsi="Arial" w:cs="Arial"/>
                <w:sz w:val="20"/>
                <w:szCs w:val="20"/>
              </w:rPr>
              <w:t>rihexyphenidyl</w:t>
            </w:r>
            <w:r>
              <w:rPr>
                <w:rFonts w:ascii="Arial" w:eastAsia="Arial" w:hAnsi="Arial" w:cs="Arial"/>
                <w:sz w:val="20"/>
                <w:szCs w:val="20"/>
              </w:rPr>
              <w:t>, alprazolam, gabapentin</w:t>
            </w:r>
          </w:p>
        </w:tc>
      </w:tr>
      <w:tr w:rsidR="00553C05" w:rsidRPr="00601313" w14:paraId="4A6CDFA0" w14:textId="77777777" w:rsidTr="00E3345C">
        <w:tc>
          <w:tcPr>
            <w:tcW w:w="1873" w:type="dxa"/>
          </w:tcPr>
          <w:p w14:paraId="0E8045B0" w14:textId="77777777" w:rsidR="00553C05" w:rsidRPr="00601313" w:rsidRDefault="00553C05" w:rsidP="00E3345C">
            <w:pPr>
              <w:rPr>
                <w:rFonts w:ascii="Arial" w:eastAsia="Arial" w:hAnsi="Arial" w:cs="Arial"/>
                <w:sz w:val="20"/>
                <w:szCs w:val="20"/>
              </w:rPr>
            </w:pPr>
            <w:r w:rsidRPr="00601313">
              <w:rPr>
                <w:rFonts w:ascii="Arial" w:eastAsia="Arial" w:hAnsi="Arial" w:cs="Arial"/>
                <w:sz w:val="20"/>
                <w:szCs w:val="20"/>
              </w:rPr>
              <w:t>Hyperhidrosis</w:t>
            </w:r>
          </w:p>
        </w:tc>
        <w:tc>
          <w:tcPr>
            <w:tcW w:w="3342" w:type="dxa"/>
          </w:tcPr>
          <w:p w14:paraId="69FE1DBE"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none</w:t>
            </w:r>
          </w:p>
        </w:tc>
        <w:tc>
          <w:tcPr>
            <w:tcW w:w="3870" w:type="dxa"/>
          </w:tcPr>
          <w:p w14:paraId="54C7F3B0" w14:textId="77777777" w:rsidR="00553C05" w:rsidRPr="00EC6756" w:rsidRDefault="00553C05" w:rsidP="00E3345C">
            <w:pPr>
              <w:rPr>
                <w:rFonts w:ascii="Arial" w:eastAsia="Arial" w:hAnsi="Arial" w:cs="Arial"/>
                <w:sz w:val="20"/>
                <w:szCs w:val="20"/>
              </w:rPr>
            </w:pPr>
            <w:proofErr w:type="spellStart"/>
            <w:r w:rsidRPr="00EC6756">
              <w:rPr>
                <w:rFonts w:ascii="Arial" w:eastAsia="Arial" w:hAnsi="Arial" w:cs="Arial"/>
                <w:sz w:val="20"/>
                <w:szCs w:val="20"/>
              </w:rPr>
              <w:t>Glycopyrronium</w:t>
            </w:r>
            <w:proofErr w:type="spellEnd"/>
            <w:r>
              <w:rPr>
                <w:rFonts w:ascii="Arial" w:eastAsia="Arial" w:hAnsi="Arial" w:cs="Arial"/>
                <w:sz w:val="20"/>
                <w:szCs w:val="20"/>
              </w:rPr>
              <w:t xml:space="preserve">, </w:t>
            </w:r>
            <w:r w:rsidRPr="00EC6756">
              <w:rPr>
                <w:rFonts w:ascii="Arial" w:eastAsia="Arial" w:hAnsi="Arial" w:cs="Arial"/>
                <w:sz w:val="20"/>
                <w:szCs w:val="20"/>
              </w:rPr>
              <w:t>aluminum chloride hexahydrate</w:t>
            </w:r>
            <w:r>
              <w:rPr>
                <w:rFonts w:ascii="Arial" w:eastAsia="Arial" w:hAnsi="Arial" w:cs="Arial"/>
                <w:sz w:val="20"/>
                <w:szCs w:val="20"/>
              </w:rPr>
              <w:t xml:space="preserve"> with anhydrous ethyl alcohol</w:t>
            </w:r>
          </w:p>
          <w:p w14:paraId="15DC95D6" w14:textId="77777777" w:rsidR="00553C05" w:rsidRPr="00601313" w:rsidRDefault="00553C05" w:rsidP="00E3345C">
            <w:pPr>
              <w:rPr>
                <w:rFonts w:ascii="Arial" w:eastAsia="Arial" w:hAnsi="Arial" w:cs="Arial"/>
                <w:sz w:val="20"/>
                <w:szCs w:val="20"/>
              </w:rPr>
            </w:pPr>
          </w:p>
        </w:tc>
      </w:tr>
      <w:tr w:rsidR="00553C05" w:rsidRPr="00601313" w14:paraId="0F92C1F3" w14:textId="77777777" w:rsidTr="00E3345C">
        <w:tc>
          <w:tcPr>
            <w:tcW w:w="1873" w:type="dxa"/>
          </w:tcPr>
          <w:p w14:paraId="4DCBCF65" w14:textId="77777777" w:rsidR="00553C05" w:rsidRPr="00601313" w:rsidRDefault="00553C05" w:rsidP="00E3345C">
            <w:pPr>
              <w:rPr>
                <w:rFonts w:ascii="Arial" w:eastAsia="Arial" w:hAnsi="Arial" w:cs="Arial"/>
                <w:sz w:val="20"/>
                <w:szCs w:val="20"/>
              </w:rPr>
            </w:pPr>
            <w:r w:rsidRPr="00601313">
              <w:rPr>
                <w:rFonts w:ascii="Arial" w:eastAsia="Arial" w:hAnsi="Arial" w:cs="Arial"/>
                <w:sz w:val="20"/>
                <w:szCs w:val="20"/>
              </w:rPr>
              <w:t>Sialorrhea</w:t>
            </w:r>
          </w:p>
        </w:tc>
        <w:tc>
          <w:tcPr>
            <w:tcW w:w="3342" w:type="dxa"/>
          </w:tcPr>
          <w:p w14:paraId="1EE04077" w14:textId="77777777" w:rsidR="00553C05" w:rsidRPr="00601313" w:rsidRDefault="00553C05" w:rsidP="00E3345C">
            <w:pPr>
              <w:rPr>
                <w:rFonts w:ascii="Arial" w:eastAsia="Arial" w:hAnsi="Arial" w:cs="Arial"/>
                <w:sz w:val="20"/>
                <w:szCs w:val="20"/>
              </w:rPr>
            </w:pPr>
            <w:proofErr w:type="spellStart"/>
            <w:r w:rsidRPr="00047B08">
              <w:rPr>
                <w:rFonts w:ascii="Arial" w:eastAsia="Arial" w:hAnsi="Arial" w:cs="Arial"/>
                <w:sz w:val="20"/>
                <w:szCs w:val="20"/>
              </w:rPr>
              <w:t>Glycopyrronium</w:t>
            </w:r>
            <w:proofErr w:type="spellEnd"/>
            <w:r>
              <w:rPr>
                <w:rFonts w:ascii="Arial" w:eastAsia="Arial" w:hAnsi="Arial" w:cs="Arial"/>
                <w:sz w:val="20"/>
                <w:szCs w:val="20"/>
              </w:rPr>
              <w:t>, scopolamine, h</w:t>
            </w:r>
            <w:r w:rsidRPr="00047B08">
              <w:rPr>
                <w:rFonts w:ascii="Arial" w:eastAsia="Arial" w:hAnsi="Arial" w:cs="Arial"/>
                <w:sz w:val="20"/>
                <w:szCs w:val="20"/>
              </w:rPr>
              <w:t>yoscyamine</w:t>
            </w:r>
          </w:p>
        </w:tc>
        <w:tc>
          <w:tcPr>
            <w:tcW w:w="3870" w:type="dxa"/>
          </w:tcPr>
          <w:p w14:paraId="1C15E8DA"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 xml:space="preserve">Scopolamine, pirenzepine, </w:t>
            </w:r>
            <w:proofErr w:type="spellStart"/>
            <w:r>
              <w:rPr>
                <w:rFonts w:ascii="Arial" w:eastAsia="Arial" w:hAnsi="Arial" w:cs="Arial"/>
                <w:sz w:val="20"/>
                <w:szCs w:val="20"/>
              </w:rPr>
              <w:t>g</w:t>
            </w:r>
            <w:r w:rsidRPr="00EC6756">
              <w:rPr>
                <w:rFonts w:ascii="Arial" w:eastAsia="Arial" w:hAnsi="Arial" w:cs="Arial"/>
                <w:sz w:val="20"/>
                <w:szCs w:val="20"/>
              </w:rPr>
              <w:t>lycopyrronium</w:t>
            </w:r>
            <w:proofErr w:type="spellEnd"/>
            <w:r>
              <w:rPr>
                <w:rFonts w:ascii="Arial" w:eastAsia="Arial" w:hAnsi="Arial" w:cs="Arial"/>
                <w:sz w:val="20"/>
                <w:szCs w:val="20"/>
              </w:rPr>
              <w:t xml:space="preserve">, </w:t>
            </w:r>
            <w:proofErr w:type="spellStart"/>
            <w:r>
              <w:rPr>
                <w:rFonts w:ascii="Arial" w:eastAsia="Arial" w:hAnsi="Arial" w:cs="Arial"/>
                <w:sz w:val="20"/>
                <w:szCs w:val="20"/>
              </w:rPr>
              <w:t>amisulpride</w:t>
            </w:r>
            <w:proofErr w:type="spellEnd"/>
            <w:r>
              <w:rPr>
                <w:rFonts w:ascii="Arial" w:eastAsia="Arial" w:hAnsi="Arial" w:cs="Arial"/>
                <w:sz w:val="20"/>
                <w:szCs w:val="20"/>
              </w:rPr>
              <w:t>, t</w:t>
            </w:r>
            <w:r w:rsidRPr="003F412B">
              <w:rPr>
                <w:rFonts w:ascii="Arial" w:eastAsia="Arial" w:hAnsi="Arial" w:cs="Arial"/>
                <w:sz w:val="20"/>
                <w:szCs w:val="20"/>
              </w:rPr>
              <w:t>rihexyphenidyl</w:t>
            </w:r>
          </w:p>
        </w:tc>
      </w:tr>
      <w:tr w:rsidR="00553C05" w:rsidRPr="00601313" w14:paraId="104FCF70" w14:textId="77777777" w:rsidTr="00E3345C">
        <w:trPr>
          <w:trHeight w:val="70"/>
        </w:trPr>
        <w:tc>
          <w:tcPr>
            <w:tcW w:w="1873" w:type="dxa"/>
          </w:tcPr>
          <w:p w14:paraId="0C273716" w14:textId="77777777" w:rsidR="00553C05" w:rsidRPr="00601313" w:rsidRDefault="00553C05" w:rsidP="00E3345C">
            <w:pPr>
              <w:rPr>
                <w:rFonts w:ascii="Arial" w:eastAsia="Arial" w:hAnsi="Arial" w:cs="Arial"/>
                <w:sz w:val="20"/>
                <w:szCs w:val="20"/>
              </w:rPr>
            </w:pPr>
            <w:r w:rsidRPr="00601313">
              <w:rPr>
                <w:rFonts w:ascii="Arial" w:eastAsia="Arial" w:hAnsi="Arial" w:cs="Arial"/>
                <w:sz w:val="20"/>
                <w:szCs w:val="20"/>
              </w:rPr>
              <w:t>Neurological and urinary bladder disorders</w:t>
            </w:r>
          </w:p>
        </w:tc>
        <w:tc>
          <w:tcPr>
            <w:tcW w:w="3342" w:type="dxa"/>
          </w:tcPr>
          <w:p w14:paraId="5778F61F" w14:textId="77777777" w:rsidR="00553C05" w:rsidRPr="00601313" w:rsidRDefault="00553C05" w:rsidP="00E3345C">
            <w:pPr>
              <w:rPr>
                <w:rFonts w:ascii="Arial" w:eastAsia="Arial" w:hAnsi="Arial" w:cs="Arial"/>
                <w:sz w:val="20"/>
                <w:szCs w:val="20"/>
              </w:rPr>
            </w:pPr>
            <w:r>
              <w:rPr>
                <w:rFonts w:ascii="Arial" w:eastAsia="Arial" w:hAnsi="Arial" w:cs="Arial"/>
                <w:sz w:val="20"/>
                <w:szCs w:val="20"/>
              </w:rPr>
              <w:t xml:space="preserve">Oxybutynin, </w:t>
            </w:r>
            <w:proofErr w:type="spellStart"/>
            <w:r>
              <w:rPr>
                <w:rFonts w:ascii="Arial" w:eastAsia="Arial" w:hAnsi="Arial" w:cs="Arial"/>
                <w:sz w:val="20"/>
                <w:szCs w:val="20"/>
              </w:rPr>
              <w:t>solifenacin</w:t>
            </w:r>
            <w:proofErr w:type="spellEnd"/>
            <w:r>
              <w:rPr>
                <w:rFonts w:ascii="Arial" w:eastAsia="Arial" w:hAnsi="Arial" w:cs="Arial"/>
                <w:sz w:val="20"/>
                <w:szCs w:val="20"/>
              </w:rPr>
              <w:t xml:space="preserve">, mirabegron, tolterodine, </w:t>
            </w:r>
            <w:proofErr w:type="spellStart"/>
            <w:r>
              <w:rPr>
                <w:rFonts w:ascii="Arial" w:eastAsia="Arial" w:hAnsi="Arial" w:cs="Arial"/>
                <w:sz w:val="20"/>
                <w:szCs w:val="20"/>
              </w:rPr>
              <w:t>trospium</w:t>
            </w:r>
            <w:proofErr w:type="spellEnd"/>
            <w:r>
              <w:rPr>
                <w:rFonts w:ascii="Arial" w:eastAsia="Arial" w:hAnsi="Arial" w:cs="Arial"/>
                <w:sz w:val="20"/>
                <w:szCs w:val="20"/>
              </w:rPr>
              <w:t xml:space="preserve">, tamsulosin, </w:t>
            </w:r>
            <w:proofErr w:type="spellStart"/>
            <w:r>
              <w:rPr>
                <w:rFonts w:ascii="Arial" w:eastAsia="Arial" w:hAnsi="Arial" w:cs="Arial"/>
                <w:sz w:val="20"/>
                <w:szCs w:val="20"/>
              </w:rPr>
              <w:t>fesoterodine</w:t>
            </w:r>
            <w:proofErr w:type="spellEnd"/>
            <w:r>
              <w:rPr>
                <w:rFonts w:ascii="Arial" w:eastAsia="Arial" w:hAnsi="Arial" w:cs="Arial"/>
                <w:sz w:val="20"/>
                <w:szCs w:val="20"/>
              </w:rPr>
              <w:t xml:space="preserve">  </w:t>
            </w:r>
          </w:p>
        </w:tc>
        <w:tc>
          <w:tcPr>
            <w:tcW w:w="3870" w:type="dxa"/>
          </w:tcPr>
          <w:p w14:paraId="5686E6C4" w14:textId="77777777" w:rsidR="00553C05" w:rsidRPr="00601313" w:rsidRDefault="00553C05" w:rsidP="00E3345C">
            <w:pPr>
              <w:rPr>
                <w:rFonts w:ascii="Arial" w:eastAsia="Arial" w:hAnsi="Arial" w:cs="Arial"/>
                <w:sz w:val="20"/>
                <w:szCs w:val="20"/>
              </w:rPr>
            </w:pPr>
            <w:proofErr w:type="spellStart"/>
            <w:r>
              <w:rPr>
                <w:rFonts w:ascii="Arial" w:eastAsia="Arial" w:hAnsi="Arial" w:cs="Arial"/>
                <w:sz w:val="20"/>
                <w:szCs w:val="20"/>
              </w:rPr>
              <w:t>Solifenacin</w:t>
            </w:r>
            <w:proofErr w:type="spellEnd"/>
            <w:r>
              <w:rPr>
                <w:rFonts w:ascii="Arial" w:eastAsia="Arial" w:hAnsi="Arial" w:cs="Arial"/>
                <w:sz w:val="20"/>
                <w:szCs w:val="20"/>
              </w:rPr>
              <w:t xml:space="preserve">, oxybutynin, mirabegron, tolterodine, </w:t>
            </w:r>
            <w:proofErr w:type="spellStart"/>
            <w:r>
              <w:rPr>
                <w:rFonts w:ascii="Arial" w:eastAsia="Arial" w:hAnsi="Arial" w:cs="Arial"/>
                <w:sz w:val="20"/>
                <w:szCs w:val="20"/>
              </w:rPr>
              <w:t>fesoterodine</w:t>
            </w:r>
            <w:proofErr w:type="spellEnd"/>
            <w:r>
              <w:rPr>
                <w:rFonts w:ascii="Arial" w:eastAsia="Arial" w:hAnsi="Arial" w:cs="Arial"/>
                <w:sz w:val="20"/>
                <w:szCs w:val="20"/>
              </w:rPr>
              <w:t xml:space="preserve">, tamsulosin, darifenacin, </w:t>
            </w:r>
            <w:proofErr w:type="spellStart"/>
            <w:r>
              <w:rPr>
                <w:rFonts w:ascii="Arial" w:eastAsia="Arial" w:hAnsi="Arial" w:cs="Arial"/>
                <w:sz w:val="20"/>
                <w:szCs w:val="20"/>
              </w:rPr>
              <w:t>trospium</w:t>
            </w:r>
            <w:proofErr w:type="spellEnd"/>
            <w:r>
              <w:rPr>
                <w:rFonts w:ascii="Arial" w:eastAsia="Arial" w:hAnsi="Arial" w:cs="Arial"/>
                <w:sz w:val="20"/>
                <w:szCs w:val="20"/>
              </w:rPr>
              <w:t>, doxazosin</w:t>
            </w:r>
          </w:p>
        </w:tc>
      </w:tr>
    </w:tbl>
    <w:p w14:paraId="5153808B" w14:textId="77777777" w:rsidR="00AB4493" w:rsidRDefault="007B5804"/>
    <w:sectPr w:rsidR="00AB4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C05"/>
    <w:rsid w:val="000A7251"/>
    <w:rsid w:val="00553C05"/>
    <w:rsid w:val="0073114E"/>
    <w:rsid w:val="007B5804"/>
    <w:rsid w:val="00AF5FC8"/>
    <w:rsid w:val="00E11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5732"/>
  <w15:chartTrackingRefBased/>
  <w15:docId w15:val="{75FB1861-FBB1-4C27-8F64-25DBB831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553C05"/>
    <w:rPr>
      <w:rFonts w:ascii="Calibri" w:eastAsia="Calibri" w:hAnsi="Calibri" w:cs="Calibri"/>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3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3C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C05"/>
    <w:rPr>
      <w:rFonts w:ascii="Segoe UI" w:eastAsia="Calibri" w:hAnsi="Segoe UI" w:cs="Segoe UI"/>
      <w:sz w:val="18"/>
      <w:szCs w:val="18"/>
      <w:lang w:eastAsia="de-DE"/>
    </w:rPr>
  </w:style>
  <w:style w:type="character" w:styleId="Hyperlink">
    <w:name w:val="Hyperlink"/>
    <w:basedOn w:val="DefaultParagraphFont"/>
    <w:uiPriority w:val="99"/>
    <w:semiHidden/>
    <w:unhideWhenUsed/>
    <w:rsid w:val="007B58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41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bagyan@health.ucs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Tigran Makunts</dc:creator>
  <cp:keywords/>
  <dc:description/>
  <cp:lastModifiedBy>User</cp:lastModifiedBy>
  <cp:revision>2</cp:revision>
  <dcterms:created xsi:type="dcterms:W3CDTF">2020-04-28T06:41:00Z</dcterms:created>
  <dcterms:modified xsi:type="dcterms:W3CDTF">2020-04-28T06:41:00Z</dcterms:modified>
</cp:coreProperties>
</file>