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BBA610" w14:textId="77777777" w:rsidR="000B2BDD" w:rsidRDefault="000B2BDD" w:rsidP="000B2BDD">
      <w:pPr>
        <w:spacing w:line="480" w:lineRule="auto"/>
        <w:rPr>
          <w:b/>
          <w:sz w:val="28"/>
          <w:szCs w:val="28"/>
        </w:rPr>
      </w:pPr>
      <w:r>
        <w:rPr>
          <w:b/>
          <w:sz w:val="28"/>
          <w:szCs w:val="28"/>
        </w:rPr>
        <w:t>Comprehensive retinal vascular measurements: a novel association with renal function in type 2 diabetic patients in China</w:t>
      </w:r>
    </w:p>
    <w:p w14:paraId="3DDEA0D5" w14:textId="77777777" w:rsidR="000B2BDD" w:rsidRDefault="000B2BDD" w:rsidP="000B2BDD">
      <w:pPr>
        <w:adjustRightInd w:val="0"/>
        <w:snapToGrid w:val="0"/>
        <w:spacing w:before="120" w:after="120" w:line="480" w:lineRule="auto"/>
        <w:rPr>
          <w:bCs/>
          <w:sz w:val="24"/>
          <w:szCs w:val="24"/>
        </w:rPr>
      </w:pPr>
      <w:r>
        <w:rPr>
          <w:bCs/>
          <w:sz w:val="24"/>
          <w:szCs w:val="24"/>
        </w:rPr>
        <w:t>Xiayu Xu</w:t>
      </w:r>
      <w:r>
        <w:rPr>
          <w:bCs/>
          <w:sz w:val="24"/>
          <w:szCs w:val="24"/>
          <w:vertAlign w:val="superscript"/>
        </w:rPr>
        <w:t>1,2*</w:t>
      </w:r>
      <w:r>
        <w:rPr>
          <w:bCs/>
          <w:sz w:val="24"/>
          <w:szCs w:val="24"/>
        </w:rPr>
        <w:t>, Fei Sun</w:t>
      </w:r>
      <w:r>
        <w:rPr>
          <w:bCs/>
          <w:sz w:val="24"/>
          <w:szCs w:val="24"/>
          <w:vertAlign w:val="superscript"/>
        </w:rPr>
        <w:t>3*</w:t>
      </w:r>
      <w:r>
        <w:rPr>
          <w:bCs/>
          <w:sz w:val="24"/>
          <w:szCs w:val="24"/>
        </w:rPr>
        <w:t>, Qiong Wang</w:t>
      </w:r>
      <w:r>
        <w:rPr>
          <w:bCs/>
          <w:sz w:val="24"/>
          <w:szCs w:val="24"/>
          <w:vertAlign w:val="superscript"/>
        </w:rPr>
        <w:t>3</w:t>
      </w:r>
      <w:r>
        <w:rPr>
          <w:bCs/>
          <w:sz w:val="24"/>
          <w:szCs w:val="24"/>
        </w:rPr>
        <w:t>, Maiye Zhang</w:t>
      </w:r>
      <w:r>
        <w:rPr>
          <w:bCs/>
          <w:sz w:val="24"/>
          <w:szCs w:val="24"/>
          <w:vertAlign w:val="superscript"/>
        </w:rPr>
        <w:t>3</w:t>
      </w:r>
      <w:r>
        <w:rPr>
          <w:bCs/>
          <w:sz w:val="24"/>
          <w:szCs w:val="24"/>
        </w:rPr>
        <w:t>, Wenxiang Ding</w:t>
      </w:r>
      <w:r>
        <w:rPr>
          <w:bCs/>
          <w:sz w:val="24"/>
          <w:szCs w:val="24"/>
          <w:vertAlign w:val="superscript"/>
        </w:rPr>
        <w:t>1,2</w:t>
      </w:r>
      <w:r>
        <w:rPr>
          <w:bCs/>
          <w:sz w:val="24"/>
          <w:szCs w:val="24"/>
        </w:rPr>
        <w:t>, Aili Yang</w:t>
      </w:r>
      <w:r>
        <w:rPr>
          <w:bCs/>
          <w:sz w:val="24"/>
          <w:szCs w:val="24"/>
          <w:vertAlign w:val="superscript"/>
        </w:rPr>
        <w:t>4</w:t>
      </w:r>
      <w:r>
        <w:rPr>
          <w:bCs/>
          <w:sz w:val="24"/>
          <w:szCs w:val="24"/>
        </w:rPr>
        <w:t>, Bin Gao</w:t>
      </w:r>
      <w:r>
        <w:rPr>
          <w:bCs/>
          <w:sz w:val="24"/>
          <w:szCs w:val="24"/>
          <w:vertAlign w:val="superscript"/>
        </w:rPr>
        <w:t>4#</w:t>
      </w:r>
    </w:p>
    <w:p w14:paraId="20CCF03C" w14:textId="77777777" w:rsidR="000B2BDD" w:rsidRDefault="000B2BDD" w:rsidP="000B2BDD">
      <w:pPr>
        <w:overflowPunct w:val="0"/>
        <w:autoSpaceDE w:val="0"/>
        <w:autoSpaceDN w:val="0"/>
        <w:adjustRightInd w:val="0"/>
        <w:snapToGrid w:val="0"/>
        <w:spacing w:line="480" w:lineRule="auto"/>
        <w:ind w:right="-57"/>
        <w:textAlignment w:val="baseline"/>
        <w:rPr>
          <w:i/>
          <w:iCs/>
          <w:sz w:val="24"/>
          <w:szCs w:val="24"/>
        </w:rPr>
      </w:pPr>
      <w:r>
        <w:rPr>
          <w:i/>
          <w:iCs/>
          <w:sz w:val="24"/>
          <w:szCs w:val="24"/>
          <w:vertAlign w:val="superscript"/>
        </w:rPr>
        <w:t xml:space="preserve">1 </w:t>
      </w:r>
      <w:r>
        <w:rPr>
          <w:i/>
          <w:iCs/>
          <w:sz w:val="24"/>
          <w:szCs w:val="24"/>
        </w:rPr>
        <w:t>The Key Laboratory of Biomedical Information Engineering of Ministry of Education, School of Life Science and Technology, Xi’an Jiaotong University, Xi’an 710049, P.R. China</w:t>
      </w:r>
    </w:p>
    <w:p w14:paraId="7128F401" w14:textId="77777777" w:rsidR="000B2BDD" w:rsidRDefault="000B2BDD" w:rsidP="000B2BDD">
      <w:pPr>
        <w:overflowPunct w:val="0"/>
        <w:autoSpaceDE w:val="0"/>
        <w:autoSpaceDN w:val="0"/>
        <w:adjustRightInd w:val="0"/>
        <w:snapToGrid w:val="0"/>
        <w:spacing w:line="480" w:lineRule="auto"/>
        <w:ind w:right="-57"/>
        <w:textAlignment w:val="baseline"/>
        <w:rPr>
          <w:i/>
          <w:iCs/>
          <w:sz w:val="24"/>
          <w:szCs w:val="24"/>
        </w:rPr>
      </w:pPr>
      <w:r>
        <w:rPr>
          <w:i/>
          <w:iCs/>
          <w:sz w:val="24"/>
          <w:szCs w:val="24"/>
          <w:vertAlign w:val="superscript"/>
        </w:rPr>
        <w:t xml:space="preserve">2 </w:t>
      </w:r>
      <w:r>
        <w:rPr>
          <w:i/>
          <w:iCs/>
          <w:sz w:val="24"/>
          <w:szCs w:val="24"/>
        </w:rPr>
        <w:t xml:space="preserve">Bioinspired Engineering and Biomechanics Center (BEBC), </w:t>
      </w:r>
      <w:r>
        <w:rPr>
          <w:bCs/>
          <w:i/>
          <w:iCs/>
          <w:sz w:val="24"/>
          <w:szCs w:val="24"/>
        </w:rPr>
        <w:t xml:space="preserve">Xi’an Jiaotong </w:t>
      </w:r>
      <w:r>
        <w:rPr>
          <w:i/>
          <w:iCs/>
          <w:sz w:val="24"/>
          <w:szCs w:val="24"/>
        </w:rPr>
        <w:t>University, Xi’an 710049, P.R. China</w:t>
      </w:r>
    </w:p>
    <w:p w14:paraId="4B25ABC5" w14:textId="77777777" w:rsidR="000B2BDD" w:rsidRDefault="000B2BDD" w:rsidP="000B2BDD">
      <w:pPr>
        <w:overflowPunct w:val="0"/>
        <w:autoSpaceDE w:val="0"/>
        <w:autoSpaceDN w:val="0"/>
        <w:adjustRightInd w:val="0"/>
        <w:snapToGrid w:val="0"/>
        <w:spacing w:line="480" w:lineRule="auto"/>
        <w:ind w:right="-57"/>
        <w:textAlignment w:val="baseline"/>
        <w:rPr>
          <w:i/>
          <w:iCs/>
          <w:sz w:val="24"/>
          <w:szCs w:val="24"/>
        </w:rPr>
      </w:pPr>
      <w:r>
        <w:rPr>
          <w:i/>
          <w:iCs/>
          <w:sz w:val="24"/>
          <w:szCs w:val="24"/>
          <w:vertAlign w:val="superscript"/>
        </w:rPr>
        <w:t xml:space="preserve">3 </w:t>
      </w:r>
      <w:r>
        <w:rPr>
          <w:i/>
          <w:iCs/>
          <w:sz w:val="24"/>
          <w:szCs w:val="24"/>
        </w:rPr>
        <w:t>Department of Endocrinology and Metabolism, Xijing Hospital, Fourth Military Medical University, Xi’an 710032, P.R. China</w:t>
      </w:r>
    </w:p>
    <w:p w14:paraId="7F3B837F" w14:textId="77777777" w:rsidR="000B2BDD" w:rsidRDefault="000B2BDD" w:rsidP="000B2BDD">
      <w:pPr>
        <w:overflowPunct w:val="0"/>
        <w:autoSpaceDE w:val="0"/>
        <w:autoSpaceDN w:val="0"/>
        <w:adjustRightInd w:val="0"/>
        <w:snapToGrid w:val="0"/>
        <w:spacing w:line="480" w:lineRule="auto"/>
        <w:ind w:right="-57"/>
        <w:textAlignment w:val="baseline"/>
        <w:rPr>
          <w:i/>
          <w:iCs/>
          <w:sz w:val="24"/>
          <w:szCs w:val="24"/>
        </w:rPr>
      </w:pPr>
      <w:r>
        <w:rPr>
          <w:i/>
          <w:iCs/>
          <w:sz w:val="24"/>
          <w:szCs w:val="24"/>
          <w:vertAlign w:val="superscript"/>
        </w:rPr>
        <w:t>4</w:t>
      </w:r>
      <w:r>
        <w:rPr>
          <w:i/>
          <w:iCs/>
          <w:sz w:val="24"/>
          <w:szCs w:val="24"/>
        </w:rPr>
        <w:t xml:space="preserve"> Department of Endocrinology, Tangdu Hospital</w:t>
      </w:r>
      <w:r>
        <w:rPr>
          <w:rFonts w:hint="eastAsia"/>
          <w:i/>
          <w:iCs/>
          <w:sz w:val="24"/>
          <w:szCs w:val="24"/>
        </w:rPr>
        <w:t>，</w:t>
      </w:r>
      <w:r>
        <w:rPr>
          <w:i/>
          <w:iCs/>
          <w:sz w:val="24"/>
          <w:szCs w:val="24"/>
        </w:rPr>
        <w:t>Fourth Military Medical University, Xi’an 710038, P.R. China</w:t>
      </w:r>
    </w:p>
    <w:p w14:paraId="2930A4A9" w14:textId="77777777" w:rsidR="000B2BDD" w:rsidRDefault="000B2BDD" w:rsidP="000B2BDD">
      <w:pPr>
        <w:overflowPunct w:val="0"/>
        <w:autoSpaceDE w:val="0"/>
        <w:autoSpaceDN w:val="0"/>
        <w:adjustRightInd w:val="0"/>
        <w:snapToGrid w:val="0"/>
        <w:spacing w:line="480" w:lineRule="auto"/>
        <w:ind w:right="-57"/>
        <w:textAlignment w:val="baseline"/>
        <w:rPr>
          <w:i/>
          <w:iCs/>
          <w:sz w:val="24"/>
          <w:szCs w:val="24"/>
        </w:rPr>
      </w:pPr>
      <w:r>
        <w:rPr>
          <w:i/>
          <w:iCs/>
          <w:sz w:val="24"/>
          <w:szCs w:val="24"/>
        </w:rPr>
        <w:t>* The authors contributed equally</w:t>
      </w:r>
    </w:p>
    <w:p w14:paraId="4A29B53F" w14:textId="77777777" w:rsidR="000B2BDD" w:rsidRDefault="000B2BDD" w:rsidP="000B2BDD">
      <w:pPr>
        <w:tabs>
          <w:tab w:val="right" w:pos="8363"/>
        </w:tabs>
        <w:overflowPunct w:val="0"/>
        <w:autoSpaceDE w:val="0"/>
        <w:autoSpaceDN w:val="0"/>
        <w:adjustRightInd w:val="0"/>
        <w:snapToGrid w:val="0"/>
        <w:spacing w:line="480" w:lineRule="auto"/>
        <w:ind w:right="-57"/>
        <w:textAlignment w:val="baseline"/>
        <w:rPr>
          <w:i/>
          <w:iCs/>
          <w:sz w:val="24"/>
          <w:szCs w:val="24"/>
        </w:rPr>
      </w:pPr>
      <w:r>
        <w:rPr>
          <w:i/>
          <w:iCs/>
          <w:sz w:val="24"/>
          <w:szCs w:val="24"/>
          <w:vertAlign w:val="superscript"/>
        </w:rPr>
        <w:t>#</w:t>
      </w:r>
      <w:r>
        <w:rPr>
          <w:i/>
          <w:iCs/>
          <w:sz w:val="24"/>
          <w:szCs w:val="24"/>
        </w:rPr>
        <w:t xml:space="preserve"> Corresponding author: bingao@fmmu.edu.cn</w:t>
      </w:r>
    </w:p>
    <w:p w14:paraId="3D1B0129" w14:textId="77777777" w:rsidR="000B2BDD" w:rsidRDefault="000B2BDD" w:rsidP="000B2BDD">
      <w:pPr>
        <w:tabs>
          <w:tab w:val="right" w:pos="8363"/>
        </w:tabs>
        <w:overflowPunct w:val="0"/>
        <w:autoSpaceDE w:val="0"/>
        <w:autoSpaceDN w:val="0"/>
        <w:adjustRightInd w:val="0"/>
        <w:snapToGrid w:val="0"/>
        <w:spacing w:line="480" w:lineRule="auto"/>
        <w:ind w:right="-57"/>
        <w:textAlignment w:val="baseline"/>
        <w:rPr>
          <w:i/>
          <w:iCs/>
          <w:sz w:val="24"/>
          <w:szCs w:val="24"/>
        </w:rPr>
      </w:pPr>
      <w:r>
        <w:rPr>
          <w:i/>
          <w:iCs/>
          <w:sz w:val="24"/>
          <w:szCs w:val="24"/>
        </w:rPr>
        <w:t xml:space="preserve"> </w:t>
      </w:r>
    </w:p>
    <w:p w14:paraId="67D21359" w14:textId="77777777" w:rsidR="000B2BDD" w:rsidRDefault="000B2BDD" w:rsidP="000B2BDD">
      <w:pPr>
        <w:spacing w:line="480" w:lineRule="auto"/>
        <w:rPr>
          <w:b/>
          <w:sz w:val="24"/>
          <w:szCs w:val="24"/>
        </w:rPr>
      </w:pPr>
    </w:p>
    <w:p w14:paraId="5008627A" w14:textId="77777777" w:rsidR="000B2BDD" w:rsidRDefault="000B2BDD" w:rsidP="000B2BDD">
      <w:pPr>
        <w:spacing w:line="480" w:lineRule="auto"/>
        <w:rPr>
          <w:b/>
          <w:sz w:val="24"/>
          <w:szCs w:val="24"/>
        </w:rPr>
      </w:pPr>
    </w:p>
    <w:p w14:paraId="6CB6C154" w14:textId="77777777" w:rsidR="000B2BDD" w:rsidRDefault="000B2BDD" w:rsidP="000B2BDD">
      <w:pPr>
        <w:spacing w:line="480" w:lineRule="auto"/>
        <w:rPr>
          <w:b/>
          <w:sz w:val="24"/>
          <w:szCs w:val="24"/>
        </w:rPr>
      </w:pPr>
    </w:p>
    <w:p w14:paraId="3A2399A5" w14:textId="77777777" w:rsidR="000B2BDD" w:rsidRDefault="000B2BDD" w:rsidP="000B2BDD">
      <w:pPr>
        <w:spacing w:line="480" w:lineRule="auto"/>
        <w:rPr>
          <w:b/>
          <w:sz w:val="24"/>
          <w:szCs w:val="24"/>
        </w:rPr>
      </w:pPr>
    </w:p>
    <w:p w14:paraId="02CA189A" w14:textId="77777777" w:rsidR="000B2BDD" w:rsidRDefault="000B2BDD" w:rsidP="000B2BDD">
      <w:pPr>
        <w:spacing w:line="480" w:lineRule="auto"/>
        <w:rPr>
          <w:b/>
          <w:sz w:val="24"/>
          <w:szCs w:val="24"/>
        </w:rPr>
      </w:pPr>
    </w:p>
    <w:p w14:paraId="1E1E6E44" w14:textId="77777777" w:rsidR="000B2BDD" w:rsidRDefault="000B2BDD" w:rsidP="000B2BDD">
      <w:pPr>
        <w:spacing w:line="480" w:lineRule="auto"/>
        <w:rPr>
          <w:b/>
          <w:sz w:val="24"/>
          <w:szCs w:val="24"/>
        </w:rPr>
      </w:pPr>
    </w:p>
    <w:p w14:paraId="1078E187" w14:textId="77777777" w:rsidR="000B2BDD" w:rsidRPr="000B2BDD" w:rsidRDefault="000B2BDD" w:rsidP="000B2BDD">
      <w:pPr>
        <w:spacing w:line="480" w:lineRule="auto"/>
        <w:rPr>
          <w:b/>
          <w:sz w:val="24"/>
          <w:szCs w:val="24"/>
        </w:rPr>
      </w:pPr>
      <w:bookmarkStart w:id="0" w:name="_GoBack"/>
      <w:bookmarkEnd w:id="0"/>
    </w:p>
    <w:p w14:paraId="2DEC8A7C" w14:textId="22B12200" w:rsidR="001F5DE7" w:rsidRPr="000B2BDD" w:rsidRDefault="001F5DE7" w:rsidP="000B2BDD">
      <w:pPr>
        <w:pStyle w:val="a5"/>
        <w:numPr>
          <w:ilvl w:val="0"/>
          <w:numId w:val="3"/>
        </w:numPr>
        <w:spacing w:line="480" w:lineRule="auto"/>
        <w:ind w:firstLineChars="0"/>
        <w:rPr>
          <w:b/>
          <w:sz w:val="24"/>
          <w:szCs w:val="24"/>
        </w:rPr>
      </w:pPr>
      <w:r w:rsidRPr="000B2BDD">
        <w:rPr>
          <w:b/>
          <w:sz w:val="24"/>
          <w:szCs w:val="24"/>
        </w:rPr>
        <w:lastRenderedPageBreak/>
        <w:t>Algorithm Details</w:t>
      </w:r>
    </w:p>
    <w:p w14:paraId="2F4C6239" w14:textId="4E002E26" w:rsidR="004E76B0" w:rsidRDefault="00E45162" w:rsidP="00E141DF">
      <w:pPr>
        <w:spacing w:line="480" w:lineRule="auto"/>
        <w:rPr>
          <w:sz w:val="24"/>
          <w:szCs w:val="24"/>
        </w:rPr>
      </w:pPr>
      <w:r>
        <w:rPr>
          <w:sz w:val="24"/>
          <w:szCs w:val="24"/>
        </w:rPr>
        <w:t>Retinal vascular</w:t>
      </w:r>
      <w:r w:rsidR="00E141DF" w:rsidRPr="00293741">
        <w:rPr>
          <w:sz w:val="24"/>
          <w:szCs w:val="24"/>
        </w:rPr>
        <w:t xml:space="preserve"> measure</w:t>
      </w:r>
      <w:r w:rsidR="00E141DF">
        <w:rPr>
          <w:sz w:val="24"/>
          <w:szCs w:val="24"/>
        </w:rPr>
        <w:t>ment</w:t>
      </w:r>
      <w:r w:rsidR="00E141DF" w:rsidRPr="00293741">
        <w:rPr>
          <w:sz w:val="24"/>
          <w:szCs w:val="24"/>
        </w:rPr>
        <w:t xml:space="preserve">s were </w:t>
      </w:r>
      <w:r w:rsidR="00E141DF">
        <w:rPr>
          <w:sz w:val="24"/>
          <w:szCs w:val="24"/>
        </w:rPr>
        <w:t>performed</w:t>
      </w:r>
      <w:r w:rsidR="00E141DF" w:rsidRPr="00293741">
        <w:rPr>
          <w:sz w:val="24"/>
          <w:szCs w:val="24"/>
        </w:rPr>
        <w:t xml:space="preserve"> using a fully</w:t>
      </w:r>
      <w:r w:rsidR="00E141DF">
        <w:rPr>
          <w:sz w:val="24"/>
          <w:szCs w:val="24"/>
        </w:rPr>
        <w:t>-</w:t>
      </w:r>
      <w:r w:rsidR="00E141DF" w:rsidRPr="00293741">
        <w:rPr>
          <w:sz w:val="24"/>
          <w:szCs w:val="24"/>
        </w:rPr>
        <w:t>automat</w:t>
      </w:r>
      <w:r w:rsidR="00E141DF">
        <w:rPr>
          <w:sz w:val="24"/>
          <w:szCs w:val="24"/>
        </w:rPr>
        <w:t>ed</w:t>
      </w:r>
      <w:r w:rsidR="00E141DF" w:rsidRPr="00293741">
        <w:rPr>
          <w:sz w:val="24"/>
          <w:szCs w:val="24"/>
        </w:rPr>
        <w:t xml:space="preserve"> computer program developed by our group. </w:t>
      </w:r>
      <w:r w:rsidR="008D0346" w:rsidRPr="00F93FF5">
        <w:rPr>
          <w:rFonts w:hint="eastAsia"/>
          <w:b/>
          <w:sz w:val="24"/>
          <w:szCs w:val="24"/>
        </w:rPr>
        <w:t>Su</w:t>
      </w:r>
      <w:r w:rsidR="008D0346" w:rsidRPr="00F93FF5">
        <w:rPr>
          <w:b/>
          <w:sz w:val="24"/>
          <w:szCs w:val="24"/>
        </w:rPr>
        <w:t xml:space="preserve">pplemental </w:t>
      </w:r>
      <w:r w:rsidR="00E141DF" w:rsidRPr="00F93FF5">
        <w:rPr>
          <w:b/>
          <w:sz w:val="24"/>
          <w:szCs w:val="24"/>
        </w:rPr>
        <w:t>Figure 1</w:t>
      </w:r>
      <w:r w:rsidR="00E141DF" w:rsidRPr="00062421">
        <w:rPr>
          <w:sz w:val="24"/>
          <w:szCs w:val="24"/>
        </w:rPr>
        <w:t xml:space="preserve"> illustrates the image processing and </w:t>
      </w:r>
      <w:r w:rsidR="00170B47">
        <w:rPr>
          <w:sz w:val="24"/>
          <w:szCs w:val="24"/>
        </w:rPr>
        <w:t>measurement</w:t>
      </w:r>
      <w:r w:rsidR="00E141DF" w:rsidRPr="00062421">
        <w:rPr>
          <w:sz w:val="24"/>
          <w:szCs w:val="24"/>
        </w:rPr>
        <w:t xml:space="preserve"> quantification processes.</w:t>
      </w:r>
      <w:r w:rsidR="00E141DF">
        <w:rPr>
          <w:sz w:val="24"/>
          <w:szCs w:val="24"/>
        </w:rPr>
        <w:t xml:space="preserve"> </w:t>
      </w:r>
      <w:r w:rsidR="007C6168">
        <w:rPr>
          <w:sz w:val="24"/>
          <w:szCs w:val="24"/>
        </w:rPr>
        <w:t>T</w:t>
      </w:r>
      <w:r w:rsidR="00E141DF" w:rsidRPr="00293741">
        <w:rPr>
          <w:sz w:val="24"/>
          <w:szCs w:val="24"/>
        </w:rPr>
        <w:t>he arteriol</w:t>
      </w:r>
      <w:r w:rsidR="00E141DF">
        <w:rPr>
          <w:sz w:val="24"/>
          <w:szCs w:val="24"/>
        </w:rPr>
        <w:t>ar</w:t>
      </w:r>
      <w:r w:rsidR="00E141DF" w:rsidRPr="00293741">
        <w:rPr>
          <w:sz w:val="24"/>
          <w:szCs w:val="24"/>
        </w:rPr>
        <w:t xml:space="preserve"> and venul</w:t>
      </w:r>
      <w:r w:rsidR="00E141DF">
        <w:rPr>
          <w:sz w:val="24"/>
          <w:szCs w:val="24"/>
        </w:rPr>
        <w:t>ar</w:t>
      </w:r>
      <w:r w:rsidR="00E141DF" w:rsidRPr="00293741">
        <w:rPr>
          <w:sz w:val="24"/>
          <w:szCs w:val="24"/>
        </w:rPr>
        <w:t xml:space="preserve"> trees were segmented using a </w:t>
      </w:r>
      <w:r w:rsidR="00E141DF">
        <w:rPr>
          <w:sz w:val="24"/>
          <w:szCs w:val="24"/>
        </w:rPr>
        <w:t xml:space="preserve">validated </w:t>
      </w:r>
      <w:r w:rsidR="00E141DF" w:rsidRPr="00293741">
        <w:rPr>
          <w:sz w:val="24"/>
          <w:szCs w:val="24"/>
        </w:rPr>
        <w:t>deep learning algorithm</w:t>
      </w:r>
      <w:r w:rsidR="00E141DF">
        <w:rPr>
          <w:sz w:val="24"/>
          <w:szCs w:val="24"/>
        </w:rPr>
        <w:t>, followed by an</w:t>
      </w:r>
      <w:r w:rsidR="00E141DF" w:rsidRPr="00293741">
        <w:rPr>
          <w:sz w:val="24"/>
          <w:szCs w:val="24"/>
        </w:rPr>
        <w:t xml:space="preserve"> accurate vessel </w:t>
      </w:r>
      <w:r w:rsidR="00E141DF">
        <w:rPr>
          <w:sz w:val="24"/>
          <w:szCs w:val="24"/>
        </w:rPr>
        <w:t>caliber</w:t>
      </w:r>
      <w:r w:rsidR="00E141DF" w:rsidRPr="00293741">
        <w:rPr>
          <w:sz w:val="24"/>
          <w:szCs w:val="24"/>
        </w:rPr>
        <w:t xml:space="preserve"> </w:t>
      </w:r>
      <w:r w:rsidR="00E141DF">
        <w:rPr>
          <w:sz w:val="24"/>
          <w:szCs w:val="24"/>
        </w:rPr>
        <w:t>measurement</w:t>
      </w:r>
      <w:r w:rsidR="00E141DF" w:rsidRPr="00293741">
        <w:rPr>
          <w:sz w:val="24"/>
          <w:szCs w:val="24"/>
        </w:rPr>
        <w:t xml:space="preserve"> </w:t>
      </w:r>
      <w:r w:rsidR="00E141DF">
        <w:rPr>
          <w:sz w:val="24"/>
          <w:szCs w:val="24"/>
        </w:rPr>
        <w:t xml:space="preserve">using </w:t>
      </w:r>
      <w:r w:rsidR="00E141DF" w:rsidRPr="00293741">
        <w:rPr>
          <w:sz w:val="24"/>
          <w:szCs w:val="24"/>
        </w:rPr>
        <w:t xml:space="preserve">a graph-theoretic method. </w:t>
      </w:r>
    </w:p>
    <w:p w14:paraId="3DE0D0F2" w14:textId="77777777" w:rsidR="007C6168" w:rsidRDefault="007C6168" w:rsidP="00787C3E">
      <w:pPr>
        <w:spacing w:line="480" w:lineRule="auto"/>
        <w:rPr>
          <w:b/>
          <w:sz w:val="24"/>
          <w:szCs w:val="24"/>
        </w:rPr>
      </w:pPr>
    </w:p>
    <w:p w14:paraId="2512E78B" w14:textId="6B1FCBF8" w:rsidR="00787C3E" w:rsidRPr="00787C3E" w:rsidRDefault="00787C3E" w:rsidP="00787C3E">
      <w:pPr>
        <w:spacing w:line="480" w:lineRule="auto"/>
        <w:rPr>
          <w:b/>
          <w:sz w:val="24"/>
          <w:szCs w:val="24"/>
        </w:rPr>
      </w:pPr>
      <w:r w:rsidRPr="00787C3E">
        <w:rPr>
          <w:rFonts w:hint="eastAsia"/>
          <w:b/>
          <w:sz w:val="24"/>
          <w:szCs w:val="24"/>
        </w:rPr>
        <w:t>1</w:t>
      </w:r>
      <w:r w:rsidRPr="00787C3E">
        <w:rPr>
          <w:b/>
          <w:sz w:val="24"/>
          <w:szCs w:val="24"/>
        </w:rPr>
        <w:t>.1 Arteriovenous segmentation</w:t>
      </w:r>
    </w:p>
    <w:p w14:paraId="29FA0F87" w14:textId="4A40C669" w:rsidR="00AC0276" w:rsidRDefault="00AC0276" w:rsidP="00E141DF">
      <w:pPr>
        <w:spacing w:line="480" w:lineRule="auto"/>
        <w:rPr>
          <w:sz w:val="24"/>
          <w:szCs w:val="24"/>
        </w:rPr>
      </w:pPr>
      <w:r w:rsidRPr="00AC0276">
        <w:rPr>
          <w:sz w:val="24"/>
          <w:szCs w:val="24"/>
        </w:rPr>
        <w:t xml:space="preserve">We employ the </w:t>
      </w:r>
      <w:r w:rsidR="007127B3" w:rsidRPr="007127B3">
        <w:rPr>
          <w:sz w:val="24"/>
          <w:szCs w:val="24"/>
        </w:rPr>
        <w:t xml:space="preserve">fully convolutional network </w:t>
      </w:r>
      <w:r w:rsidR="007127B3">
        <w:rPr>
          <w:sz w:val="24"/>
          <w:szCs w:val="24"/>
        </w:rPr>
        <w:t>(</w:t>
      </w:r>
      <w:r w:rsidRPr="00AC0276">
        <w:rPr>
          <w:sz w:val="24"/>
          <w:szCs w:val="24"/>
        </w:rPr>
        <w:t>FCN</w:t>
      </w:r>
      <w:r w:rsidR="007127B3">
        <w:rPr>
          <w:sz w:val="24"/>
          <w:szCs w:val="24"/>
        </w:rPr>
        <w:t>)</w:t>
      </w:r>
      <w:r w:rsidRPr="00AC0276">
        <w:rPr>
          <w:sz w:val="24"/>
          <w:szCs w:val="24"/>
        </w:rPr>
        <w:t xml:space="preserve"> architecture to simultaneously segment both arteriole trees and venule trees in the retinal image</w:t>
      </w:r>
      <w:r w:rsidR="009F3D83" w:rsidRPr="00293741">
        <w:rPr>
          <w:sz w:val="24"/>
          <w:szCs w:val="24"/>
        </w:rPr>
        <w:t xml:space="preserve"> </w:t>
      </w:r>
      <w:r w:rsidR="009F3D83" w:rsidRPr="00293741">
        <w:rPr>
          <w:sz w:val="24"/>
          <w:szCs w:val="24"/>
        </w:rPr>
        <w:fldChar w:fldCharType="begin"/>
      </w:r>
      <w:r w:rsidR="009F3D83">
        <w:rPr>
          <w:sz w:val="24"/>
          <w:szCs w:val="24"/>
        </w:rPr>
        <w:instrText xml:space="preserve"> ADDIN EN.CITE &lt;EndNote&gt;&lt;Cite&gt;&lt;Author&gt;Xu&lt;/Author&gt;&lt;Year&gt;2018&lt;/Year&gt;&lt;RecNum&gt;128&lt;/RecNum&gt;&lt;DisplayText&gt;[1]&lt;/DisplayText&gt;&lt;record&gt;&lt;rec-number&gt;128&lt;/rec-number&gt;&lt;foreign-keys&gt;&lt;key app="EN" db-id="5pesef5z99dfs7eedz6pzf9q920sv22dred5"&gt;128&lt;/key&gt;&lt;/foreign-keys&gt;&lt;ref-type name="Journal Article"&gt;17&lt;/ref-type&gt;&lt;contributors&gt;&lt;authors&gt;&lt;author&gt;Xu, Xiayu&lt;/author&gt;&lt;author&gt;Wang, Rendong&lt;/author&gt;&lt;author&gt;Lv, Peilin&lt;/author&gt;&lt;author&gt;Gao, Bin&lt;/author&gt;&lt;author&gt;Li, Chan&lt;/author&gt;&lt;author&gt;Tian, Zhiqiang&lt;/author&gt;&lt;author&gt;Tan, Tao&lt;/author&gt;&lt;author&gt;Xu, Feng&lt;/author&gt;&lt;/authors&gt;&lt;/contributors&gt;&lt;auth-address&gt;The Key Laboratory of Biomedical Information Engineering of Ministry of Education, School of Life Science and Technology, Xi&amp;apos;an Jiaotong University, Xi&amp;apos;an 710049, China.&lt;/auth-address&gt;&lt;titles&gt;&lt;title&gt;Simultaneous arteriole and venule segmentation with domain-specific loss function on a new public database&lt;/title&gt;&lt;secondary-title&gt;Biomedical optics express&lt;/secondary-title&gt;&lt;alt-title&gt;Biomed Opt Express&lt;/alt-title&gt;&lt;/titles&gt;&lt;periodical&gt;&lt;full-title&gt;Biomedical optics express&lt;/full-title&gt;&lt;abbr-1&gt;Biomed Opt Express&lt;/abbr-1&gt;&lt;/periodical&gt;&lt;alt-periodical&gt;&lt;full-title&gt;Biomedical optics express&lt;/full-title&gt;&lt;abbr-1&gt;Biomed Opt Express&lt;/abbr-1&gt;&lt;/alt-periodical&gt;&lt;pages&gt;3153-3166&lt;/pages&gt;&lt;volume&gt;9&lt;/volume&gt;&lt;number&gt;7&lt;/number&gt;&lt;dates&gt;&lt;year&gt;2018&lt;/year&gt;&lt;/dates&gt;&lt;isbn&gt;2156-7085&lt;/isbn&gt;&lt;urls&gt;&lt;/urls&gt;&lt;electronic-resource-num&gt;10.1364/BOE.9.003153&lt;/electronic-resource-num&gt;&lt;remote-database-name&gt;PubMed&lt;/remote-database-name&gt;&lt;language&gt;eng&lt;/language&gt;&lt;/record&gt;&lt;/Cite&gt;&lt;/EndNote&gt;</w:instrText>
      </w:r>
      <w:r w:rsidR="009F3D83" w:rsidRPr="00293741">
        <w:rPr>
          <w:sz w:val="24"/>
          <w:szCs w:val="24"/>
        </w:rPr>
        <w:fldChar w:fldCharType="separate"/>
      </w:r>
      <w:r w:rsidR="009F3D83">
        <w:rPr>
          <w:noProof/>
          <w:sz w:val="24"/>
          <w:szCs w:val="24"/>
        </w:rPr>
        <w:t>[</w:t>
      </w:r>
      <w:hyperlink w:anchor="_ENREF_1" w:tooltip="Xu, 2018 #128" w:history="1">
        <w:r w:rsidR="007C6168">
          <w:rPr>
            <w:noProof/>
            <w:sz w:val="24"/>
            <w:szCs w:val="24"/>
          </w:rPr>
          <w:t>1</w:t>
        </w:r>
      </w:hyperlink>
      <w:r w:rsidR="009F3D83">
        <w:rPr>
          <w:noProof/>
          <w:sz w:val="24"/>
          <w:szCs w:val="24"/>
        </w:rPr>
        <w:t>]</w:t>
      </w:r>
      <w:r w:rsidR="009F3D83" w:rsidRPr="00293741">
        <w:rPr>
          <w:sz w:val="24"/>
          <w:szCs w:val="24"/>
        </w:rPr>
        <w:fldChar w:fldCharType="end"/>
      </w:r>
      <w:r w:rsidRPr="00AC0276">
        <w:rPr>
          <w:sz w:val="24"/>
          <w:szCs w:val="24"/>
        </w:rPr>
        <w:t xml:space="preserve">. All color channels (i.e., red, green, and blue) are </w:t>
      </w:r>
      <w:bookmarkStart w:id="1" w:name="OLE_LINK3"/>
      <w:bookmarkStart w:id="2" w:name="OLE_LINK4"/>
      <w:bookmarkStart w:id="3" w:name="OLE_LINK5"/>
      <w:r w:rsidRPr="00AC0276">
        <w:rPr>
          <w:sz w:val="24"/>
          <w:szCs w:val="24"/>
        </w:rPr>
        <w:t>fused to</w:t>
      </w:r>
      <w:bookmarkEnd w:id="1"/>
      <w:bookmarkEnd w:id="2"/>
      <w:bookmarkEnd w:id="3"/>
      <w:r w:rsidRPr="00AC0276">
        <w:rPr>
          <w:sz w:val="24"/>
          <w:szCs w:val="24"/>
        </w:rPr>
        <w:t xml:space="preserve"> allow the usage of full color information. In a pilot study, it is noticed that fine vessels are easily missed and that arterioles are more easily to be misclassified as venules. We thus designed the loss function to enhance the detection ability of the network on fine vessels as well as arteriole vessels.</w:t>
      </w:r>
      <w:r>
        <w:rPr>
          <w:sz w:val="24"/>
          <w:szCs w:val="24"/>
        </w:rPr>
        <w:t xml:space="preserve"> </w:t>
      </w:r>
      <w:bookmarkStart w:id="4" w:name="OLE_LINK1"/>
      <w:bookmarkStart w:id="5" w:name="OLE_LINK2"/>
      <w:r w:rsidRPr="00AC0276">
        <w:rPr>
          <w:sz w:val="24"/>
          <w:szCs w:val="24"/>
        </w:rPr>
        <w:t xml:space="preserve">Image normalization by histogram matching is applied to </w:t>
      </w:r>
      <w:bookmarkStart w:id="6" w:name="OLE_LINK6"/>
      <w:bookmarkStart w:id="7" w:name="OLE_LINK7"/>
      <w:bookmarkStart w:id="8" w:name="OLE_LINK10"/>
      <w:bookmarkStart w:id="9" w:name="OLE_LINK11"/>
      <w:r w:rsidRPr="00AC0276">
        <w:rPr>
          <w:sz w:val="24"/>
          <w:szCs w:val="24"/>
        </w:rPr>
        <w:t>eliminate</w:t>
      </w:r>
      <w:bookmarkEnd w:id="6"/>
      <w:bookmarkEnd w:id="7"/>
      <w:r w:rsidRPr="00AC0276">
        <w:rPr>
          <w:sz w:val="24"/>
          <w:szCs w:val="24"/>
        </w:rPr>
        <w:t xml:space="preserve"> the background </w:t>
      </w:r>
      <w:bookmarkStart w:id="10" w:name="OLE_LINK8"/>
      <w:bookmarkStart w:id="11" w:name="OLE_LINK9"/>
      <w:r w:rsidRPr="00AC0276">
        <w:rPr>
          <w:sz w:val="24"/>
          <w:szCs w:val="24"/>
        </w:rPr>
        <w:t>differences</w:t>
      </w:r>
      <w:bookmarkEnd w:id="10"/>
      <w:bookmarkEnd w:id="11"/>
      <w:r w:rsidRPr="00AC0276">
        <w:rPr>
          <w:sz w:val="24"/>
          <w:szCs w:val="24"/>
        </w:rPr>
        <w:t>.</w:t>
      </w:r>
      <w:bookmarkEnd w:id="4"/>
      <w:bookmarkEnd w:id="5"/>
      <w:bookmarkEnd w:id="8"/>
      <w:bookmarkEnd w:id="9"/>
      <w:r w:rsidRPr="00AC0276">
        <w:rPr>
          <w:sz w:val="24"/>
          <w:szCs w:val="24"/>
        </w:rPr>
        <w:t xml:space="preserve"> The original FCN architecture can be recognized as two parts, the descending part and the ascending part, with a total number of 23 convolutional layers. However, in the original network,</w:t>
      </w:r>
      <w:r w:rsidRPr="00AC0276" w:rsidDel="00F63180">
        <w:rPr>
          <w:sz w:val="24"/>
          <w:szCs w:val="24"/>
        </w:rPr>
        <w:t xml:space="preserve"> </w:t>
      </w:r>
      <w:r w:rsidRPr="00AC0276">
        <w:rPr>
          <w:sz w:val="24"/>
          <w:szCs w:val="24"/>
        </w:rPr>
        <w:t xml:space="preserve">the feature map after each convolution loses its boundary pixels, resulting in different input and output image size. We apply same padding in convolution to avoid </w:t>
      </w:r>
      <w:bookmarkStart w:id="12" w:name="OLE_LINK18"/>
      <w:bookmarkStart w:id="13" w:name="OLE_LINK19"/>
      <w:r w:rsidRPr="00AC0276">
        <w:rPr>
          <w:sz w:val="24"/>
          <w:szCs w:val="24"/>
        </w:rPr>
        <w:t>inconsistent image sizes</w:t>
      </w:r>
      <w:bookmarkEnd w:id="12"/>
      <w:bookmarkEnd w:id="13"/>
      <w:r w:rsidRPr="00AC0276">
        <w:rPr>
          <w:sz w:val="24"/>
          <w:szCs w:val="24"/>
        </w:rPr>
        <w:t>. The activation function is rectified linear unit (ReLU).</w:t>
      </w:r>
    </w:p>
    <w:p w14:paraId="27A7CAE7" w14:textId="77777777" w:rsidR="007C6168" w:rsidRDefault="007C6168" w:rsidP="00E141DF">
      <w:pPr>
        <w:spacing w:line="480" w:lineRule="auto"/>
        <w:rPr>
          <w:b/>
          <w:sz w:val="24"/>
          <w:szCs w:val="24"/>
        </w:rPr>
      </w:pPr>
    </w:p>
    <w:p w14:paraId="5287DC96" w14:textId="1429EE4D" w:rsidR="00787C3E" w:rsidRPr="00A41615" w:rsidRDefault="00787C3E" w:rsidP="00E141DF">
      <w:pPr>
        <w:spacing w:line="480" w:lineRule="auto"/>
        <w:rPr>
          <w:b/>
          <w:sz w:val="24"/>
          <w:szCs w:val="24"/>
        </w:rPr>
      </w:pPr>
      <w:r w:rsidRPr="00A41615">
        <w:rPr>
          <w:rFonts w:hint="eastAsia"/>
          <w:b/>
          <w:sz w:val="24"/>
          <w:szCs w:val="24"/>
        </w:rPr>
        <w:lastRenderedPageBreak/>
        <w:t>1</w:t>
      </w:r>
      <w:r w:rsidRPr="00A41615">
        <w:rPr>
          <w:b/>
          <w:sz w:val="24"/>
          <w:szCs w:val="24"/>
        </w:rPr>
        <w:t xml:space="preserve">.2 Vessel </w:t>
      </w:r>
      <w:r w:rsidR="00621453" w:rsidRPr="00A41615">
        <w:rPr>
          <w:b/>
          <w:sz w:val="24"/>
          <w:szCs w:val="24"/>
        </w:rPr>
        <w:t>caliber determination</w:t>
      </w:r>
    </w:p>
    <w:p w14:paraId="7B90B7F8" w14:textId="3A0C845E" w:rsidR="00A9228F" w:rsidRDefault="00EB531B" w:rsidP="00AC3E49">
      <w:pPr>
        <w:spacing w:line="480" w:lineRule="auto"/>
        <w:rPr>
          <w:sz w:val="24"/>
          <w:szCs w:val="24"/>
        </w:rPr>
      </w:pPr>
      <w:r w:rsidRPr="00393EEC">
        <w:rPr>
          <w:sz w:val="24"/>
          <w:szCs w:val="24"/>
        </w:rPr>
        <w:t>In order to detect both boundaries simultaneously, we build the graph as a two-slice 3-D graph</w:t>
      </w:r>
      <w:r w:rsidR="009F3D83" w:rsidRPr="00293741">
        <w:rPr>
          <w:sz w:val="24"/>
          <w:szCs w:val="24"/>
        </w:rPr>
        <w:t xml:space="preserve"> </w:t>
      </w:r>
      <w:r w:rsidR="009F3D83" w:rsidRPr="00293741">
        <w:rPr>
          <w:sz w:val="24"/>
          <w:szCs w:val="24"/>
        </w:rPr>
        <w:fldChar w:fldCharType="begin"/>
      </w:r>
      <w:r w:rsidR="009F3D83">
        <w:rPr>
          <w:sz w:val="24"/>
          <w:szCs w:val="24"/>
        </w:rPr>
        <w:instrText xml:space="preserve"> ADDIN EN.CITE &lt;EndNote&gt;&lt;Cite&gt;&lt;Author&gt;Xu&lt;/Author&gt;&lt;Year&gt;2011&lt;/Year&gt;&lt;RecNum&gt;116&lt;/RecNum&gt;&lt;DisplayText&gt;[2]&lt;/DisplayText&gt;&lt;record&gt;&lt;rec-number&gt;116&lt;/rec-number&gt;&lt;foreign-keys&gt;&lt;key app="EN" db-id="5pesef5z99dfs7eedz6pzf9q920sv22dred5"&gt;116&lt;/key&gt;&lt;/foreign-keys&gt;&lt;ref-type name="Journal Article"&gt;17&lt;/ref-type&gt;&lt;contributors&gt;&lt;authors&gt;&lt;author&gt;Xu, Xiayu&lt;/author&gt;&lt;author&gt;Niemeijer, Meindert&lt;/author&gt;&lt;author&gt;Song, Qi&lt;/author&gt;&lt;author&gt;Sonka, Milan&lt;/author&gt;&lt;author&gt;Garvin, Mona K&lt;/author&gt;&lt;author&gt;Reinhardt, Joseph M&lt;/author&gt;&lt;author&gt;Abràmoff, Michael D&lt;/author&gt;&lt;/authors&gt;&lt;/contributors&gt;&lt;titles&gt;&lt;title&gt;Vessel Boundary Delineation On Fundus Images Using Graph-Based Approach&lt;/title&gt;&lt;secondary-title&gt;Medical Imaging, IEEE Transactions on&lt;/secondary-title&gt;&lt;/titles&gt;&lt;periodical&gt;&lt;full-title&gt;Medical Imaging, IEEE Transactions on&lt;/full-title&gt;&lt;/periodical&gt;&lt;pages&gt;1184-1191&lt;/pages&gt;&lt;volume&gt;30&lt;/volume&gt;&lt;number&gt;6&lt;/number&gt;&lt;keywords&gt;&lt;keyword&gt;Vessel Width&lt;/keyword&gt;&lt;/keywords&gt;&lt;dates&gt;&lt;year&gt;2011&lt;/year&gt;&lt;/dates&gt;&lt;isbn&gt;0278-0062&lt;/isbn&gt;&lt;label&gt;Xu2011a&lt;/label&gt;&lt;urls&gt;&lt;/urls&gt;&lt;/record&gt;&lt;/Cite&gt;&lt;/EndNote&gt;</w:instrText>
      </w:r>
      <w:r w:rsidR="009F3D83" w:rsidRPr="00293741">
        <w:rPr>
          <w:sz w:val="24"/>
          <w:szCs w:val="24"/>
        </w:rPr>
        <w:fldChar w:fldCharType="separate"/>
      </w:r>
      <w:r w:rsidR="009F3D83">
        <w:rPr>
          <w:noProof/>
          <w:sz w:val="24"/>
          <w:szCs w:val="24"/>
        </w:rPr>
        <w:t>[</w:t>
      </w:r>
      <w:hyperlink w:anchor="_ENREF_2" w:tooltip="Xu, 2011 #116" w:history="1">
        <w:r w:rsidR="007C6168">
          <w:rPr>
            <w:noProof/>
            <w:sz w:val="24"/>
            <w:szCs w:val="24"/>
          </w:rPr>
          <w:t>2</w:t>
        </w:r>
      </w:hyperlink>
      <w:r w:rsidR="009F3D83">
        <w:rPr>
          <w:noProof/>
          <w:sz w:val="24"/>
          <w:szCs w:val="24"/>
        </w:rPr>
        <w:t>]</w:t>
      </w:r>
      <w:r w:rsidR="009F3D83" w:rsidRPr="00293741">
        <w:rPr>
          <w:sz w:val="24"/>
          <w:szCs w:val="24"/>
        </w:rPr>
        <w:fldChar w:fldCharType="end"/>
      </w:r>
      <w:r w:rsidRPr="00393EEC">
        <w:rPr>
          <w:sz w:val="24"/>
          <w:szCs w:val="24"/>
        </w:rPr>
        <w:t>. A smoothness constraint</w:t>
      </w:r>
      <w:r w:rsidRPr="00393EEC">
        <w:rPr>
          <w:rFonts w:hint="eastAsia"/>
          <w:sz w:val="24"/>
          <w:szCs w:val="24"/>
        </w:rPr>
        <w:t xml:space="preserve"> </w:t>
      </w:r>
      <w:r w:rsidRPr="00393EEC">
        <w:rPr>
          <w:sz w:val="24"/>
          <w:szCs w:val="24"/>
        </w:rPr>
        <w:t>between the two slices is applied. Thus, a simultaneous two-D boundary segmentation is transformed into a two-slice 3-D surface segmentation problem. This problem is then further converted into the problem of computing a minimum closed set in a node-weighted graph.</w:t>
      </w:r>
      <w:r w:rsidR="0086196F">
        <w:rPr>
          <w:sz w:val="24"/>
          <w:szCs w:val="24"/>
        </w:rPr>
        <w:t xml:space="preserve"> </w:t>
      </w:r>
      <w:r w:rsidR="0086196F" w:rsidRPr="0086196F">
        <w:rPr>
          <w:sz w:val="24"/>
          <w:szCs w:val="24"/>
        </w:rPr>
        <w:t>A</w:t>
      </w:r>
      <w:r w:rsidR="0086196F">
        <w:rPr>
          <w:sz w:val="24"/>
          <w:szCs w:val="24"/>
        </w:rPr>
        <w:t xml:space="preserve"> </w:t>
      </w:r>
      <w:r w:rsidR="0086196F" w:rsidRPr="0086196F">
        <w:rPr>
          <w:sz w:val="24"/>
          <w:szCs w:val="24"/>
        </w:rPr>
        <w:t>sequential thinning approach is then applied to the binary vessel</w:t>
      </w:r>
      <w:r w:rsidR="0086196F">
        <w:rPr>
          <w:sz w:val="24"/>
          <w:szCs w:val="24"/>
        </w:rPr>
        <w:t xml:space="preserve"> </w:t>
      </w:r>
      <w:r w:rsidR="0086196F" w:rsidRPr="0086196F">
        <w:rPr>
          <w:sz w:val="24"/>
          <w:szCs w:val="24"/>
        </w:rPr>
        <w:t>segmentation to find the vessel centerlines</w:t>
      </w:r>
      <w:r w:rsidR="00F06B3C">
        <w:rPr>
          <w:sz w:val="24"/>
          <w:szCs w:val="24"/>
        </w:rPr>
        <w:t>.</w:t>
      </w:r>
      <w:r w:rsidR="004C02A1">
        <w:rPr>
          <w:sz w:val="24"/>
          <w:szCs w:val="24"/>
        </w:rPr>
        <w:t xml:space="preserve"> </w:t>
      </w:r>
      <w:r w:rsidR="004C02A1" w:rsidRPr="004C02A1">
        <w:rPr>
          <w:sz w:val="24"/>
          <w:szCs w:val="24"/>
        </w:rPr>
        <w:t>From this vessel centerline image, the bifurcation points and</w:t>
      </w:r>
      <w:r w:rsidR="004C02A1">
        <w:rPr>
          <w:sz w:val="24"/>
          <w:szCs w:val="24"/>
        </w:rPr>
        <w:t xml:space="preserve"> </w:t>
      </w:r>
      <w:r w:rsidR="004C02A1" w:rsidRPr="004C02A1">
        <w:rPr>
          <w:sz w:val="24"/>
          <w:szCs w:val="24"/>
        </w:rPr>
        <w:t>crossing points are excluded</w:t>
      </w:r>
      <w:r w:rsidR="004C02A1">
        <w:rPr>
          <w:sz w:val="24"/>
          <w:szCs w:val="24"/>
        </w:rPr>
        <w:t xml:space="preserve">. </w:t>
      </w:r>
      <w:r w:rsidR="004C02A1" w:rsidRPr="004C02A1">
        <w:rPr>
          <w:sz w:val="24"/>
          <w:szCs w:val="24"/>
        </w:rPr>
        <w:t>For each labeled vessel segment, the growing direction for</w:t>
      </w:r>
      <w:r w:rsidR="004C02A1">
        <w:rPr>
          <w:sz w:val="24"/>
          <w:szCs w:val="24"/>
        </w:rPr>
        <w:t xml:space="preserve"> </w:t>
      </w:r>
      <w:r w:rsidR="004C02A1" w:rsidRPr="004C02A1">
        <w:rPr>
          <w:sz w:val="24"/>
          <w:szCs w:val="24"/>
        </w:rPr>
        <w:t>every centerline pixel is calculated.</w:t>
      </w:r>
      <w:r w:rsidR="004C02A1">
        <w:rPr>
          <w:sz w:val="24"/>
          <w:szCs w:val="24"/>
        </w:rPr>
        <w:t xml:space="preserve"> </w:t>
      </w:r>
      <w:r w:rsidR="004C02A1" w:rsidRPr="004C02A1">
        <w:rPr>
          <w:sz w:val="24"/>
          <w:szCs w:val="24"/>
        </w:rPr>
        <w:t>Using the centerline</w:t>
      </w:r>
      <w:r w:rsidR="004C02A1">
        <w:rPr>
          <w:sz w:val="24"/>
          <w:szCs w:val="24"/>
        </w:rPr>
        <w:t xml:space="preserve"> </w:t>
      </w:r>
      <w:r w:rsidR="004C02A1" w:rsidRPr="004C02A1">
        <w:rPr>
          <w:sz w:val="24"/>
          <w:szCs w:val="24"/>
        </w:rPr>
        <w:t>pixels as the base nodes, profiles on the positive direction</w:t>
      </w:r>
      <w:r w:rsidR="006C45F2">
        <w:rPr>
          <w:sz w:val="24"/>
          <w:szCs w:val="24"/>
        </w:rPr>
        <w:t xml:space="preserve"> </w:t>
      </w:r>
      <w:r w:rsidR="004C02A1" w:rsidRPr="004C02A1">
        <w:rPr>
          <w:sz w:val="24"/>
          <w:szCs w:val="24"/>
        </w:rPr>
        <w:t>of the normals are built as one slice and profiles on the negative</w:t>
      </w:r>
      <w:r w:rsidR="004C02A1">
        <w:rPr>
          <w:sz w:val="24"/>
          <w:szCs w:val="24"/>
        </w:rPr>
        <w:t xml:space="preserve"> </w:t>
      </w:r>
      <w:r w:rsidR="004C02A1" w:rsidRPr="004C02A1">
        <w:rPr>
          <w:sz w:val="24"/>
          <w:szCs w:val="24"/>
        </w:rPr>
        <w:t>direction are built as another slice</w:t>
      </w:r>
      <w:r w:rsidR="004C02A1">
        <w:rPr>
          <w:sz w:val="24"/>
          <w:szCs w:val="24"/>
        </w:rPr>
        <w:t>.</w:t>
      </w:r>
      <w:r w:rsidR="00FF212C">
        <w:rPr>
          <w:sz w:val="24"/>
          <w:szCs w:val="24"/>
        </w:rPr>
        <w:t xml:space="preserve"> Along each normal profile Col(x,y), every node V(x,y,z)(z&gt;0) has a directed arc to the node V(x,y,z-1). Along the x-direction, a directed arc is constructed from V(x,y,z)</w:t>
      </w:r>
      <w:r w:rsidR="00FF212C">
        <w:rPr>
          <w:rFonts w:hint="eastAsia"/>
          <w:sz w:val="24"/>
          <w:szCs w:val="24"/>
        </w:rPr>
        <w:t>∈</w:t>
      </w:r>
      <w:r w:rsidR="00FF212C">
        <w:rPr>
          <w:rFonts w:hint="eastAsia"/>
          <w:sz w:val="24"/>
          <w:szCs w:val="24"/>
        </w:rPr>
        <w:t>C</w:t>
      </w:r>
      <w:r w:rsidR="00FF212C">
        <w:rPr>
          <w:sz w:val="24"/>
          <w:szCs w:val="24"/>
        </w:rPr>
        <w:t>ol(x,y) to V(x+1,y,max(0,z-</w:t>
      </w:r>
      <w:r w:rsidR="00FF212C" w:rsidRPr="006C45F2">
        <w:rPr>
          <w:sz w:val="24"/>
          <w:szCs w:val="24"/>
        </w:rPr>
        <w:t>∆</w:t>
      </w:r>
      <w:r w:rsidR="00FF212C">
        <w:rPr>
          <w:sz w:val="24"/>
          <w:szCs w:val="24"/>
        </w:rPr>
        <w:t>x))</w:t>
      </w:r>
      <w:r w:rsidR="00FF212C" w:rsidRPr="006C45F2">
        <w:rPr>
          <w:rFonts w:hint="eastAsia"/>
          <w:sz w:val="24"/>
          <w:szCs w:val="24"/>
        </w:rPr>
        <w:t>∈</w:t>
      </w:r>
      <w:r w:rsidR="00FF212C" w:rsidRPr="006C45F2">
        <w:rPr>
          <w:rFonts w:hint="eastAsia"/>
          <w:sz w:val="24"/>
          <w:szCs w:val="24"/>
        </w:rPr>
        <w:t>C</w:t>
      </w:r>
      <w:r w:rsidR="00FF212C" w:rsidRPr="006C45F2">
        <w:rPr>
          <w:sz w:val="24"/>
          <w:szCs w:val="24"/>
        </w:rPr>
        <w:t>ol(x+1,y). Similarly, arcs from V(x,y,z)</w:t>
      </w:r>
      <w:r w:rsidR="00FF212C" w:rsidRPr="006C45F2">
        <w:rPr>
          <w:rFonts w:ascii="宋体" w:eastAsia="宋体" w:hAnsi="宋体" w:cs="宋体" w:hint="eastAsia"/>
          <w:sz w:val="24"/>
          <w:szCs w:val="24"/>
        </w:rPr>
        <w:t>∈</w:t>
      </w:r>
      <w:r w:rsidR="00FF212C" w:rsidRPr="006C45F2">
        <w:rPr>
          <w:sz w:val="24"/>
          <w:szCs w:val="24"/>
        </w:rPr>
        <w:t>Col(x,y) to V(x-1,y,max(0,z-∆x))</w:t>
      </w:r>
      <w:r w:rsidR="00FF212C" w:rsidRPr="006C45F2">
        <w:rPr>
          <w:rFonts w:ascii="宋体" w:eastAsia="宋体" w:hAnsi="宋体" w:cs="宋体" w:hint="eastAsia"/>
          <w:sz w:val="24"/>
          <w:szCs w:val="24"/>
        </w:rPr>
        <w:t>∈</w:t>
      </w:r>
      <w:r w:rsidR="00FF212C" w:rsidRPr="006C45F2">
        <w:rPr>
          <w:sz w:val="24"/>
          <w:szCs w:val="24"/>
        </w:rPr>
        <w:t>Col(x-1,y,z) is constructed. ∆x is the maximum difference allowed between two adjacent normal profiles within one boundary. Along the y-direction, meaning between the two slices, arcs from V(x,y,z)</w:t>
      </w:r>
      <w:r w:rsidR="00FF212C" w:rsidRPr="006C45F2">
        <w:rPr>
          <w:rFonts w:ascii="宋体" w:eastAsia="宋体" w:hAnsi="宋体" w:cs="宋体" w:hint="eastAsia"/>
          <w:sz w:val="24"/>
          <w:szCs w:val="24"/>
        </w:rPr>
        <w:t>∈</w:t>
      </w:r>
      <w:r w:rsidR="00FF212C" w:rsidRPr="006C45F2">
        <w:rPr>
          <w:sz w:val="24"/>
          <w:szCs w:val="24"/>
        </w:rPr>
        <w:t>Col(x,y) to V(x,y+1,max(0,∆y))</w:t>
      </w:r>
      <w:r w:rsidR="00FF212C" w:rsidRPr="006C45F2">
        <w:rPr>
          <w:rFonts w:hint="eastAsia"/>
          <w:sz w:val="24"/>
          <w:szCs w:val="24"/>
        </w:rPr>
        <w:t>∈</w:t>
      </w:r>
      <w:r w:rsidR="00FF212C" w:rsidRPr="006C45F2">
        <w:rPr>
          <w:rFonts w:hint="eastAsia"/>
          <w:sz w:val="24"/>
          <w:szCs w:val="24"/>
        </w:rPr>
        <w:t>C</w:t>
      </w:r>
      <w:r w:rsidR="00FF212C" w:rsidRPr="006C45F2">
        <w:rPr>
          <w:sz w:val="24"/>
          <w:szCs w:val="24"/>
        </w:rPr>
        <w:t>ol(x,y+1,z) and arcs from V(x,y,z)</w:t>
      </w:r>
      <w:r w:rsidR="00FF212C" w:rsidRPr="006C45F2">
        <w:rPr>
          <w:rFonts w:hint="eastAsia"/>
          <w:sz w:val="24"/>
          <w:szCs w:val="24"/>
        </w:rPr>
        <w:t>∈</w:t>
      </w:r>
      <w:r w:rsidR="00FF212C" w:rsidRPr="006C45F2">
        <w:rPr>
          <w:rFonts w:hint="eastAsia"/>
          <w:sz w:val="24"/>
          <w:szCs w:val="24"/>
        </w:rPr>
        <w:t>C</w:t>
      </w:r>
      <w:r w:rsidR="00FF212C" w:rsidRPr="006C45F2">
        <w:rPr>
          <w:sz w:val="24"/>
          <w:szCs w:val="24"/>
        </w:rPr>
        <w:t>ol(x,y) to V(x,y-1, max(0,z-∆y))</w:t>
      </w:r>
      <w:r w:rsidR="00FF212C" w:rsidRPr="006C45F2">
        <w:rPr>
          <w:rFonts w:hint="eastAsia"/>
          <w:sz w:val="24"/>
          <w:szCs w:val="24"/>
        </w:rPr>
        <w:t>∈</w:t>
      </w:r>
      <w:r w:rsidR="00FF212C" w:rsidRPr="006C45F2">
        <w:rPr>
          <w:rFonts w:hint="eastAsia"/>
          <w:sz w:val="24"/>
          <w:szCs w:val="24"/>
        </w:rPr>
        <w:t>C</w:t>
      </w:r>
      <w:r w:rsidR="00FF212C" w:rsidRPr="006C45F2">
        <w:rPr>
          <w:sz w:val="24"/>
          <w:szCs w:val="24"/>
        </w:rPr>
        <w:t xml:space="preserve">ol(x,y-1,z) is constructed. ∆y is the maximum difference allowed between two corresponding normal profiles between the two boundaries. </w:t>
      </w:r>
    </w:p>
    <w:p w14:paraId="5402FDE0" w14:textId="77777777" w:rsidR="00A9228F" w:rsidRDefault="00A9228F" w:rsidP="00AC3E49">
      <w:pPr>
        <w:spacing w:line="480" w:lineRule="auto"/>
        <w:rPr>
          <w:sz w:val="24"/>
          <w:szCs w:val="24"/>
        </w:rPr>
      </w:pPr>
    </w:p>
    <w:p w14:paraId="7C6CD397" w14:textId="5A9B9008" w:rsidR="00EB531B" w:rsidRPr="00A9228F" w:rsidRDefault="00FF212C" w:rsidP="00AC3E49">
      <w:pPr>
        <w:spacing w:line="480" w:lineRule="auto"/>
        <w:rPr>
          <w:sz w:val="24"/>
          <w:szCs w:val="24"/>
        </w:rPr>
      </w:pPr>
      <w:r w:rsidRPr="006C45F2">
        <w:rPr>
          <w:sz w:val="24"/>
          <w:szCs w:val="24"/>
        </w:rPr>
        <w:t>An optimal surface is defined as the surface with</w:t>
      </w:r>
      <w:r w:rsidR="00A9228F">
        <w:rPr>
          <w:sz w:val="24"/>
          <w:szCs w:val="24"/>
        </w:rPr>
        <w:t xml:space="preserve"> </w:t>
      </w:r>
      <w:r w:rsidRPr="00A9228F">
        <w:rPr>
          <w:sz w:val="24"/>
          <w:szCs w:val="24"/>
        </w:rPr>
        <w:t xml:space="preserve">the minimum cost among all feasible </w:t>
      </w:r>
      <w:r w:rsidRPr="00A9228F">
        <w:rPr>
          <w:sz w:val="24"/>
          <w:szCs w:val="24"/>
        </w:rPr>
        <w:lastRenderedPageBreak/>
        <w:t>surfaces defined in the 3-D volume. The cost image is generated from the orientation sensitive</w:t>
      </w:r>
      <w:r w:rsidR="00A9228F" w:rsidRPr="00A9228F">
        <w:rPr>
          <w:sz w:val="24"/>
          <w:szCs w:val="24"/>
        </w:rPr>
        <w:t xml:space="preserve"> </w:t>
      </w:r>
      <w:r w:rsidRPr="00A9228F">
        <w:rPr>
          <w:sz w:val="24"/>
          <w:szCs w:val="24"/>
        </w:rPr>
        <w:t>1-D first-order derivative of Gaussian of the green channel.</w:t>
      </w:r>
      <w:r w:rsidR="005D6D55" w:rsidRPr="00A9228F">
        <w:rPr>
          <w:sz w:val="24"/>
          <w:szCs w:val="24"/>
        </w:rPr>
        <w:t xml:space="preserve"> After the node</w:t>
      </w:r>
      <w:r w:rsidR="007C6168">
        <w:rPr>
          <w:sz w:val="24"/>
          <w:szCs w:val="24"/>
        </w:rPr>
        <w:t>-</w:t>
      </w:r>
      <w:r w:rsidR="005D6D55" w:rsidRPr="00A9228F">
        <w:rPr>
          <w:sz w:val="24"/>
          <w:szCs w:val="24"/>
        </w:rPr>
        <w:t>weighted directed graph is constructed, the optimal surface is</w:t>
      </w:r>
      <w:r w:rsidR="00A9228F" w:rsidRPr="00A9228F">
        <w:rPr>
          <w:sz w:val="24"/>
          <w:szCs w:val="24"/>
        </w:rPr>
        <w:t xml:space="preserve"> </w:t>
      </w:r>
      <w:r w:rsidR="005D6D55" w:rsidRPr="00A9228F">
        <w:rPr>
          <w:sz w:val="24"/>
          <w:szCs w:val="24"/>
        </w:rPr>
        <w:t>determined.</w:t>
      </w:r>
      <w:r w:rsidR="00AC3E49" w:rsidRPr="00A9228F">
        <w:rPr>
          <w:sz w:val="24"/>
          <w:szCs w:val="24"/>
        </w:rPr>
        <w:t xml:space="preserve"> To determine the vessel width, the coordinate</w:t>
      </w:r>
      <w:r w:rsidR="00A9228F" w:rsidRPr="00A9228F">
        <w:rPr>
          <w:sz w:val="24"/>
          <w:szCs w:val="24"/>
        </w:rPr>
        <w:t xml:space="preserve"> </w:t>
      </w:r>
      <w:r w:rsidR="00AC3E49" w:rsidRPr="00A9228F">
        <w:rPr>
          <w:sz w:val="24"/>
          <w:szCs w:val="24"/>
        </w:rPr>
        <w:t>difference between the two corresponding nodes on the optimal</w:t>
      </w:r>
      <w:r w:rsidR="00A9228F" w:rsidRPr="00A9228F">
        <w:rPr>
          <w:sz w:val="24"/>
          <w:szCs w:val="24"/>
        </w:rPr>
        <w:t xml:space="preserve"> </w:t>
      </w:r>
      <w:r w:rsidR="00AC3E49" w:rsidRPr="00A9228F">
        <w:rPr>
          <w:sz w:val="24"/>
          <w:szCs w:val="24"/>
        </w:rPr>
        <w:t>surface from the two slices is calculated.</w:t>
      </w:r>
    </w:p>
    <w:p w14:paraId="42B3624F" w14:textId="18A1C1E2" w:rsidR="004E76B0" w:rsidRDefault="004E76B0" w:rsidP="00E141DF">
      <w:pPr>
        <w:spacing w:line="480" w:lineRule="auto"/>
        <w:rPr>
          <w:sz w:val="24"/>
          <w:szCs w:val="24"/>
        </w:rPr>
      </w:pPr>
    </w:p>
    <w:p w14:paraId="1097B01E" w14:textId="753A81F0" w:rsidR="004E76B0" w:rsidRPr="00D05DBA" w:rsidRDefault="004E76B0" w:rsidP="00D05DBA">
      <w:pPr>
        <w:pStyle w:val="a5"/>
        <w:numPr>
          <w:ilvl w:val="0"/>
          <w:numId w:val="1"/>
        </w:numPr>
        <w:spacing w:line="480" w:lineRule="auto"/>
        <w:ind w:firstLineChars="0"/>
        <w:rPr>
          <w:b/>
          <w:sz w:val="24"/>
          <w:szCs w:val="24"/>
        </w:rPr>
      </w:pPr>
      <w:r w:rsidRPr="00D05DBA">
        <w:rPr>
          <w:b/>
          <w:sz w:val="24"/>
          <w:szCs w:val="24"/>
        </w:rPr>
        <w:t>Vascular measurements</w:t>
      </w:r>
    </w:p>
    <w:p w14:paraId="19ADA8B8" w14:textId="43248B4B" w:rsidR="00D325FB" w:rsidRDefault="00E141DF" w:rsidP="00E141DF">
      <w:pPr>
        <w:spacing w:line="480" w:lineRule="auto"/>
        <w:rPr>
          <w:sz w:val="24"/>
          <w:szCs w:val="24"/>
        </w:rPr>
      </w:pPr>
      <w:r w:rsidRPr="00293741">
        <w:rPr>
          <w:sz w:val="24"/>
          <w:szCs w:val="24"/>
        </w:rPr>
        <w:t xml:space="preserve">From the established arteriolar and venular trees, </w:t>
      </w:r>
      <w:r w:rsidR="00D325FB">
        <w:rPr>
          <w:sz w:val="24"/>
          <w:szCs w:val="24"/>
        </w:rPr>
        <w:t>two</w:t>
      </w:r>
      <w:r w:rsidRPr="00293741">
        <w:rPr>
          <w:sz w:val="24"/>
          <w:szCs w:val="24"/>
        </w:rPr>
        <w:t xml:space="preserve"> </w:t>
      </w:r>
      <w:r>
        <w:rPr>
          <w:sz w:val="24"/>
          <w:szCs w:val="24"/>
        </w:rPr>
        <w:t>sets</w:t>
      </w:r>
      <w:r w:rsidRPr="00293741">
        <w:rPr>
          <w:sz w:val="24"/>
          <w:szCs w:val="24"/>
        </w:rPr>
        <w:t xml:space="preserve"> of</w:t>
      </w:r>
      <w:r w:rsidR="00D325FB">
        <w:rPr>
          <w:sz w:val="24"/>
          <w:szCs w:val="24"/>
        </w:rPr>
        <w:t xml:space="preserve"> measurements </w:t>
      </w:r>
      <w:r w:rsidRPr="00293741">
        <w:rPr>
          <w:sz w:val="24"/>
          <w:szCs w:val="24"/>
        </w:rPr>
        <w:t xml:space="preserve">were extracted, including </w:t>
      </w:r>
      <w:r>
        <w:rPr>
          <w:sz w:val="24"/>
          <w:szCs w:val="24"/>
        </w:rPr>
        <w:t>vascular</w:t>
      </w:r>
      <w:r w:rsidRPr="00293741">
        <w:rPr>
          <w:sz w:val="24"/>
          <w:szCs w:val="24"/>
        </w:rPr>
        <w:t xml:space="preserve"> caliber</w:t>
      </w:r>
      <w:r w:rsidR="00D325FB">
        <w:rPr>
          <w:sz w:val="24"/>
          <w:szCs w:val="24"/>
        </w:rPr>
        <w:t xml:space="preserve"> and</w:t>
      </w:r>
      <w:r w:rsidRPr="00293741">
        <w:rPr>
          <w:sz w:val="24"/>
          <w:szCs w:val="24"/>
        </w:rPr>
        <w:t xml:space="preserve"> </w:t>
      </w:r>
      <w:r>
        <w:rPr>
          <w:sz w:val="24"/>
          <w:szCs w:val="24"/>
        </w:rPr>
        <w:t>vascular</w:t>
      </w:r>
      <w:r w:rsidRPr="00293741">
        <w:rPr>
          <w:sz w:val="24"/>
          <w:szCs w:val="24"/>
        </w:rPr>
        <w:t xml:space="preserve"> geometry. </w:t>
      </w:r>
      <w:r>
        <w:rPr>
          <w:sz w:val="24"/>
          <w:szCs w:val="24"/>
        </w:rPr>
        <w:t>T</w:t>
      </w:r>
      <w:r w:rsidRPr="00293741">
        <w:rPr>
          <w:sz w:val="24"/>
          <w:szCs w:val="24"/>
        </w:rPr>
        <w:t xml:space="preserve">he </w:t>
      </w:r>
      <w:r>
        <w:rPr>
          <w:sz w:val="24"/>
          <w:szCs w:val="24"/>
        </w:rPr>
        <w:t>first</w:t>
      </w:r>
      <w:r w:rsidRPr="00293741">
        <w:rPr>
          <w:sz w:val="24"/>
          <w:szCs w:val="24"/>
        </w:rPr>
        <w:t xml:space="preserve"> </w:t>
      </w:r>
      <w:r>
        <w:rPr>
          <w:sz w:val="24"/>
          <w:szCs w:val="24"/>
        </w:rPr>
        <w:t>set</w:t>
      </w:r>
      <w:r w:rsidRPr="00293741">
        <w:rPr>
          <w:sz w:val="24"/>
          <w:szCs w:val="24"/>
        </w:rPr>
        <w:t xml:space="preserve"> </w:t>
      </w:r>
      <w:r>
        <w:rPr>
          <w:sz w:val="24"/>
          <w:szCs w:val="24"/>
        </w:rPr>
        <w:t>is</w:t>
      </w:r>
      <w:r w:rsidRPr="00293741">
        <w:rPr>
          <w:sz w:val="24"/>
          <w:szCs w:val="24"/>
        </w:rPr>
        <w:t xml:space="preserve"> </w:t>
      </w:r>
      <w:r>
        <w:rPr>
          <w:sz w:val="24"/>
          <w:szCs w:val="24"/>
        </w:rPr>
        <w:t>vascular</w:t>
      </w:r>
      <w:r w:rsidRPr="00293741">
        <w:rPr>
          <w:sz w:val="24"/>
          <w:szCs w:val="24"/>
        </w:rPr>
        <w:t xml:space="preserve"> calibers. Centered at the optic disc, blood vessels were categorized into three </w:t>
      </w:r>
      <w:r>
        <w:rPr>
          <w:sz w:val="24"/>
          <w:szCs w:val="24"/>
        </w:rPr>
        <w:t>concentric zones:</w:t>
      </w:r>
      <w:r w:rsidRPr="00293741">
        <w:rPr>
          <w:sz w:val="24"/>
          <w:szCs w:val="24"/>
        </w:rPr>
        <w:t xml:space="preserve"> center</w:t>
      </w:r>
      <w:r>
        <w:rPr>
          <w:sz w:val="24"/>
          <w:szCs w:val="24"/>
        </w:rPr>
        <w:t xml:space="preserve"> zone</w:t>
      </w:r>
      <w:r w:rsidRPr="00293741">
        <w:rPr>
          <w:sz w:val="24"/>
          <w:szCs w:val="24"/>
        </w:rPr>
        <w:t xml:space="preserve"> (0.5-1.5 disc diameter, DD), middle</w:t>
      </w:r>
      <w:r>
        <w:rPr>
          <w:sz w:val="24"/>
          <w:szCs w:val="24"/>
        </w:rPr>
        <w:t xml:space="preserve"> zone</w:t>
      </w:r>
      <w:r w:rsidRPr="00293741">
        <w:rPr>
          <w:sz w:val="24"/>
          <w:szCs w:val="24"/>
        </w:rPr>
        <w:t xml:space="preserve"> (1.5-2.5 DD), and peripheral </w:t>
      </w:r>
      <w:r>
        <w:rPr>
          <w:sz w:val="24"/>
          <w:szCs w:val="24"/>
        </w:rPr>
        <w:t xml:space="preserve">zone </w:t>
      </w:r>
      <w:r w:rsidRPr="00293741">
        <w:rPr>
          <w:sz w:val="24"/>
          <w:szCs w:val="24"/>
        </w:rPr>
        <w:t>(&gt;2.5 DD). The average</w:t>
      </w:r>
      <w:r>
        <w:rPr>
          <w:sz w:val="24"/>
          <w:szCs w:val="24"/>
        </w:rPr>
        <w:t>d</w:t>
      </w:r>
      <w:r w:rsidRPr="00293741">
        <w:rPr>
          <w:sz w:val="24"/>
          <w:szCs w:val="24"/>
        </w:rPr>
        <w:t xml:space="preserve"> arteriolar and venular </w:t>
      </w:r>
      <w:r>
        <w:rPr>
          <w:sz w:val="24"/>
          <w:szCs w:val="24"/>
        </w:rPr>
        <w:t>calibers</w:t>
      </w:r>
      <w:r w:rsidRPr="00293741">
        <w:rPr>
          <w:sz w:val="24"/>
          <w:szCs w:val="24"/>
        </w:rPr>
        <w:t xml:space="preserve"> were calculated in each </w:t>
      </w:r>
      <w:r>
        <w:rPr>
          <w:sz w:val="24"/>
          <w:szCs w:val="24"/>
        </w:rPr>
        <w:t>zone</w:t>
      </w:r>
      <w:r w:rsidRPr="00293741">
        <w:rPr>
          <w:sz w:val="24"/>
          <w:szCs w:val="24"/>
        </w:rPr>
        <w:t xml:space="preserve"> and denoted as </w:t>
      </w:r>
      <w:r w:rsidRPr="00293741">
        <w:rPr>
          <w:i/>
          <w:sz w:val="24"/>
          <w:szCs w:val="24"/>
        </w:rPr>
        <w:t>aCtr</w:t>
      </w:r>
      <w:r w:rsidRPr="00293741">
        <w:rPr>
          <w:sz w:val="24"/>
          <w:szCs w:val="24"/>
        </w:rPr>
        <w:t xml:space="preserve">, </w:t>
      </w:r>
      <w:r w:rsidRPr="00293741">
        <w:rPr>
          <w:i/>
          <w:sz w:val="24"/>
          <w:szCs w:val="24"/>
        </w:rPr>
        <w:t>aMdl</w:t>
      </w:r>
      <w:r w:rsidRPr="00293741">
        <w:rPr>
          <w:sz w:val="24"/>
          <w:szCs w:val="24"/>
        </w:rPr>
        <w:t xml:space="preserve">, </w:t>
      </w:r>
      <w:r w:rsidRPr="00293741">
        <w:rPr>
          <w:i/>
          <w:sz w:val="24"/>
          <w:szCs w:val="24"/>
        </w:rPr>
        <w:t>aPeri</w:t>
      </w:r>
      <w:r w:rsidRPr="00293741">
        <w:rPr>
          <w:sz w:val="24"/>
          <w:szCs w:val="24"/>
        </w:rPr>
        <w:t>,</w:t>
      </w:r>
      <w:r w:rsidRPr="00293741">
        <w:rPr>
          <w:i/>
          <w:sz w:val="24"/>
          <w:szCs w:val="24"/>
        </w:rPr>
        <w:t xml:space="preserve"> vCtr</w:t>
      </w:r>
      <w:r w:rsidRPr="00293741">
        <w:rPr>
          <w:sz w:val="24"/>
          <w:szCs w:val="24"/>
        </w:rPr>
        <w:t xml:space="preserve">, </w:t>
      </w:r>
      <w:r w:rsidRPr="00293741">
        <w:rPr>
          <w:i/>
          <w:sz w:val="24"/>
          <w:szCs w:val="24"/>
        </w:rPr>
        <w:t>vMdl</w:t>
      </w:r>
      <w:r w:rsidRPr="00293741">
        <w:rPr>
          <w:sz w:val="24"/>
          <w:szCs w:val="24"/>
        </w:rPr>
        <w:t xml:space="preserve">, and </w:t>
      </w:r>
      <w:r w:rsidRPr="00293741">
        <w:rPr>
          <w:i/>
          <w:sz w:val="24"/>
          <w:szCs w:val="24"/>
        </w:rPr>
        <w:t>vPeri</w:t>
      </w:r>
      <w:r w:rsidRPr="00293741">
        <w:rPr>
          <w:sz w:val="24"/>
          <w:szCs w:val="24"/>
        </w:rPr>
        <w:t xml:space="preserve">, respectively. </w:t>
      </w:r>
    </w:p>
    <w:p w14:paraId="2D56853C" w14:textId="77777777" w:rsidR="00D325FB" w:rsidRDefault="00D325FB" w:rsidP="00E141DF">
      <w:pPr>
        <w:spacing w:line="480" w:lineRule="auto"/>
        <w:rPr>
          <w:sz w:val="24"/>
          <w:szCs w:val="24"/>
        </w:rPr>
      </w:pPr>
    </w:p>
    <w:p w14:paraId="445FBD9C" w14:textId="498809FF" w:rsidR="00E141DF" w:rsidRDefault="00D325FB" w:rsidP="00E141DF">
      <w:pPr>
        <w:spacing w:line="480" w:lineRule="auto"/>
        <w:rPr>
          <w:sz w:val="24"/>
          <w:szCs w:val="24"/>
        </w:rPr>
      </w:pPr>
      <w:r w:rsidRPr="0036744C">
        <w:rPr>
          <w:sz w:val="24"/>
          <w:szCs w:val="24"/>
        </w:rPr>
        <w:t>The second</w:t>
      </w:r>
      <w:r w:rsidRPr="00BC7C89">
        <w:rPr>
          <w:sz w:val="24"/>
          <w:szCs w:val="24"/>
        </w:rPr>
        <w:t xml:space="preserve"> set is vascular geometrical measurements including separated arteriolar and venular fractal dimension and separated arteriolar and venular tortuosity. </w:t>
      </w:r>
      <w:r>
        <w:rPr>
          <w:sz w:val="24"/>
          <w:szCs w:val="24"/>
        </w:rPr>
        <w:t>F</w:t>
      </w:r>
      <w:r w:rsidR="00E141DF" w:rsidRPr="00293741">
        <w:rPr>
          <w:sz w:val="24"/>
          <w:szCs w:val="24"/>
        </w:rPr>
        <w:t xml:space="preserve">ractal dimension was implemented by applying a box-counting method </w:t>
      </w:r>
      <w:r w:rsidR="00E141DF" w:rsidRPr="00293741">
        <w:rPr>
          <w:sz w:val="24"/>
          <w:szCs w:val="24"/>
        </w:rPr>
        <w:fldChar w:fldCharType="begin"/>
      </w:r>
      <w:r w:rsidR="007C6168">
        <w:rPr>
          <w:sz w:val="24"/>
          <w:szCs w:val="24"/>
        </w:rPr>
        <w:instrText xml:space="preserve"> ADDIN EN.CITE &lt;EndNote&gt;&lt;Cite&gt;&lt;Author&gt;Stosic&lt;/Author&gt;&lt;Year&gt;2006&lt;/Year&gt;&lt;RecNum&gt;134&lt;/RecNum&gt;&lt;DisplayText&gt;[3]&lt;/DisplayText&gt;&lt;record&gt;&lt;rec-number&gt;134&lt;/rec-number&gt;&lt;foreign-keys&gt;&lt;key app="EN" db-id="5pesef5z99dfs7eedz6pzf9q920sv22dred5"&gt;134&lt;/key&gt;&lt;/foreign-keys&gt;&lt;ref-type name="Journal Article"&gt;17&lt;/ref-type&gt;&lt;contributors&gt;&lt;authors&gt;&lt;author&gt;T. Stosic&lt;/author&gt;&lt;author&gt;B. D. Stosic&lt;/author&gt;&lt;/authors&gt;&lt;/contributors&gt;&lt;titles&gt;&lt;title&gt;Multifractal analysis of human retinal vessels&lt;/title&gt;&lt;secondary-title&gt;IEEE Transactions on Medical Imaging&lt;/secondary-title&gt;&lt;/titles&gt;&lt;periodical&gt;&lt;full-title&gt;IEEE Transactions on Medical Imaging&lt;/full-title&gt;&lt;/periodical&gt;&lt;pages&gt;1101-1107&lt;/pages&gt;&lt;volume&gt;25&lt;/volume&gt;&lt;number&gt;8&lt;/number&gt;&lt;keywords&gt;&lt;keyword&gt;blood vessels&lt;/keyword&gt;&lt;keyword&gt;eye&lt;/keyword&gt;&lt;keyword&gt;fractals&lt;/keyword&gt;&lt;keyword&gt;medical image processing&lt;/keyword&gt;&lt;keyword&gt;multifractal analysis&lt;/keyword&gt;&lt;keyword&gt;human retinal vessels&lt;/keyword&gt;&lt;keyword&gt;vascular structures&lt;/keyword&gt;&lt;keyword&gt;STARE database&lt;/keyword&gt;&lt;keyword&gt;diffusion limited aggregation fractal dimension&lt;/keyword&gt;&lt;keyword&gt;Humans&lt;/keyword&gt;&lt;keyword&gt;Retinal vessels&lt;/keyword&gt;&lt;keyword&gt;Retina&lt;/keyword&gt;&lt;keyword&gt;Pathology&lt;/keyword&gt;&lt;keyword&gt;Image databases&lt;/keyword&gt;&lt;keyword&gt;Spatial databases&lt;/keyword&gt;&lt;keyword&gt;Image analysis&lt;/keyword&gt;&lt;keyword&gt;Data analysis&lt;/keyword&gt;&lt;keyword&gt;Object detection&lt;/keyword&gt;&lt;keyword&gt;multifractals&lt;/keyword&gt;&lt;keyword&gt;Algorithms&lt;/keyword&gt;&lt;keyword&gt;Artificial Intelligence&lt;/keyword&gt;&lt;keyword&gt;Image Enhancement&lt;/keyword&gt;&lt;keyword&gt;Image Interpretation, Computer-Assisted&lt;/keyword&gt;&lt;keyword&gt;Imaging, Three-Dimensional&lt;/keyword&gt;&lt;keyword&gt;Information Storage and Retrieval&lt;/keyword&gt;&lt;keyword&gt;Pattern Recognition, Automated&lt;/keyword&gt;&lt;keyword&gt;Reproducibility of Results&lt;/keyword&gt;&lt;keyword&gt;Retinal Diseases&lt;/keyword&gt;&lt;keyword&gt;Sensitivity and Specificity&lt;/keyword&gt;&lt;/keywords&gt;&lt;dates&gt;&lt;year&gt;2006&lt;/year&gt;&lt;/dates&gt;&lt;isbn&gt;0278-0062&lt;/isbn&gt;&lt;urls&gt;&lt;/urls&gt;&lt;electronic-resource-num&gt;10.1109/TMI.2006.879316&lt;/electronic-resource-num&gt;&lt;/record&gt;&lt;/Cite&gt;&lt;/EndNote&gt;</w:instrText>
      </w:r>
      <w:r w:rsidR="00E141DF" w:rsidRPr="00293741">
        <w:rPr>
          <w:sz w:val="24"/>
          <w:szCs w:val="24"/>
        </w:rPr>
        <w:fldChar w:fldCharType="separate"/>
      </w:r>
      <w:r w:rsidR="007C6168">
        <w:rPr>
          <w:noProof/>
          <w:sz w:val="24"/>
          <w:szCs w:val="24"/>
        </w:rPr>
        <w:t>[</w:t>
      </w:r>
      <w:hyperlink w:anchor="_ENREF_3" w:tooltip="Stosic, 2006 #134" w:history="1">
        <w:r w:rsidR="007C6168">
          <w:rPr>
            <w:noProof/>
            <w:sz w:val="24"/>
            <w:szCs w:val="24"/>
          </w:rPr>
          <w:t>3</w:t>
        </w:r>
      </w:hyperlink>
      <w:r w:rsidR="007C6168">
        <w:rPr>
          <w:noProof/>
          <w:sz w:val="24"/>
          <w:szCs w:val="24"/>
        </w:rPr>
        <w:t>]</w:t>
      </w:r>
      <w:r w:rsidR="00E141DF" w:rsidRPr="00293741">
        <w:rPr>
          <w:sz w:val="24"/>
          <w:szCs w:val="24"/>
        </w:rPr>
        <w:fldChar w:fldCharType="end"/>
      </w:r>
      <w:r w:rsidR="00E141DF" w:rsidRPr="00293741">
        <w:rPr>
          <w:sz w:val="24"/>
          <w:szCs w:val="24"/>
        </w:rPr>
        <w:t>. The arteriolar and venular fractal dimensions were calculated</w:t>
      </w:r>
      <w:r w:rsidR="00E141DF">
        <w:rPr>
          <w:sz w:val="24"/>
          <w:szCs w:val="24"/>
        </w:rPr>
        <w:t xml:space="preserve"> separately</w:t>
      </w:r>
      <w:r w:rsidR="00E141DF" w:rsidRPr="00293741">
        <w:rPr>
          <w:sz w:val="24"/>
          <w:szCs w:val="24"/>
        </w:rPr>
        <w:t xml:space="preserve"> as </w:t>
      </w:r>
      <w:r w:rsidR="00E141DF" w:rsidRPr="00293741">
        <w:rPr>
          <w:i/>
          <w:sz w:val="24"/>
          <w:szCs w:val="24"/>
        </w:rPr>
        <w:t>aD</w:t>
      </w:r>
      <w:r w:rsidR="00E141DF" w:rsidRPr="00293741">
        <w:rPr>
          <w:i/>
          <w:sz w:val="24"/>
          <w:szCs w:val="24"/>
          <w:vertAlign w:val="subscript"/>
        </w:rPr>
        <w:t>f</w:t>
      </w:r>
      <w:r w:rsidR="00E141DF" w:rsidRPr="00293741">
        <w:rPr>
          <w:sz w:val="24"/>
          <w:szCs w:val="24"/>
        </w:rPr>
        <w:t xml:space="preserve"> and </w:t>
      </w:r>
      <w:r w:rsidR="00E141DF" w:rsidRPr="00293741">
        <w:rPr>
          <w:i/>
          <w:sz w:val="24"/>
          <w:szCs w:val="24"/>
        </w:rPr>
        <w:t>vD</w:t>
      </w:r>
      <w:r w:rsidR="00E141DF" w:rsidRPr="00293741">
        <w:rPr>
          <w:i/>
          <w:sz w:val="24"/>
          <w:szCs w:val="24"/>
          <w:vertAlign w:val="subscript"/>
        </w:rPr>
        <w:t>f</w:t>
      </w:r>
      <w:r w:rsidR="00E141DF" w:rsidRPr="00293741">
        <w:rPr>
          <w:sz w:val="24"/>
          <w:szCs w:val="24"/>
        </w:rPr>
        <w:t xml:space="preserve">. </w:t>
      </w:r>
      <w:r w:rsidR="00E141DF">
        <w:rPr>
          <w:sz w:val="24"/>
          <w:szCs w:val="24"/>
        </w:rPr>
        <w:t>V</w:t>
      </w:r>
      <w:r w:rsidR="00E141DF" w:rsidRPr="00293741">
        <w:rPr>
          <w:sz w:val="24"/>
          <w:szCs w:val="24"/>
        </w:rPr>
        <w:t xml:space="preserve">essel tortuosity was calculated as the </w:t>
      </w:r>
      <w:r w:rsidR="00E141DF">
        <w:rPr>
          <w:sz w:val="24"/>
          <w:szCs w:val="24"/>
        </w:rPr>
        <w:t xml:space="preserve">averaged </w:t>
      </w:r>
      <w:r w:rsidR="00E141DF" w:rsidRPr="00293741">
        <w:rPr>
          <w:sz w:val="24"/>
          <w:szCs w:val="24"/>
        </w:rPr>
        <w:t xml:space="preserve">integrated curvature of all vessel segments </w:t>
      </w:r>
      <w:r w:rsidR="00E141DF" w:rsidRPr="00293741">
        <w:rPr>
          <w:sz w:val="24"/>
          <w:szCs w:val="24"/>
        </w:rPr>
        <w:fldChar w:fldCharType="begin"/>
      </w:r>
      <w:r w:rsidR="007C6168">
        <w:rPr>
          <w:sz w:val="24"/>
          <w:szCs w:val="24"/>
        </w:rPr>
        <w:instrText xml:space="preserve"> ADDIN EN.CITE &lt;EndNote&gt;&lt;Cite&gt;&lt;Author&gt;Hart&lt;/Author&gt;&lt;Year&gt;1999&lt;/Year&gt;&lt;RecNum&gt;136&lt;/RecNum&gt;&lt;DisplayText&gt;[4]&lt;/DisplayText&gt;&lt;record&gt;&lt;rec-number&gt;136&lt;/rec-number&gt;&lt;foreign-keys&gt;&lt;key app="EN" db-id="5pesef5z99dfs7eedz6pzf9q920sv22dred5"&gt;136&lt;/key&gt;&lt;/foreign-keys&gt;&lt;ref-type name="Journal Article"&gt;17&lt;/ref-type&gt;&lt;contributors&gt;&lt;authors&gt;&lt;author&gt;Hart, W. E.&lt;/author&gt;&lt;author&gt;Goldbaum, M&lt;/author&gt;&lt;author&gt;Côté, B&lt;/author&gt;&lt;author&gt;Kube, P&lt;/author&gt;&lt;author&gt;Nelson, M. R.&lt;/author&gt;&lt;/authors&gt;&lt;/contributors&gt;&lt;titles&gt;&lt;title&gt;Measurement and classification of retinal vascular tortuosity&lt;/title&gt;&lt;secondary-title&gt;International Journal of Medical Informatics&lt;/secondary-title&gt;&lt;/titles&gt;&lt;periodical&gt;&lt;full-title&gt;International Journal of Medical Informatics&lt;/full-title&gt;&lt;/periodical&gt;&lt;pages&gt;239-252&lt;/pages&gt;&lt;volume&gt;53&lt;/volume&gt;&lt;number&gt;2-3&lt;/number&gt;&lt;dates&gt;&lt;year&gt;1999&lt;/year&gt;&lt;/dates&gt;&lt;urls&gt;&lt;/urls&gt;&lt;/record&gt;&lt;/Cite&gt;&lt;/EndNote&gt;</w:instrText>
      </w:r>
      <w:r w:rsidR="00E141DF" w:rsidRPr="00293741">
        <w:rPr>
          <w:sz w:val="24"/>
          <w:szCs w:val="24"/>
        </w:rPr>
        <w:fldChar w:fldCharType="separate"/>
      </w:r>
      <w:r w:rsidR="007C6168">
        <w:rPr>
          <w:noProof/>
          <w:sz w:val="24"/>
          <w:szCs w:val="24"/>
        </w:rPr>
        <w:t>[</w:t>
      </w:r>
      <w:hyperlink w:anchor="_ENREF_4" w:tooltip="Hart, 1999 #136" w:history="1">
        <w:r w:rsidR="007C6168">
          <w:rPr>
            <w:noProof/>
            <w:sz w:val="24"/>
            <w:szCs w:val="24"/>
          </w:rPr>
          <w:t>4</w:t>
        </w:r>
      </w:hyperlink>
      <w:r w:rsidR="007C6168">
        <w:rPr>
          <w:noProof/>
          <w:sz w:val="24"/>
          <w:szCs w:val="24"/>
        </w:rPr>
        <w:t>]</w:t>
      </w:r>
      <w:r w:rsidR="00E141DF" w:rsidRPr="00293741">
        <w:rPr>
          <w:sz w:val="24"/>
          <w:szCs w:val="24"/>
        </w:rPr>
        <w:fldChar w:fldCharType="end"/>
      </w:r>
      <w:r w:rsidR="00E141DF">
        <w:rPr>
          <w:sz w:val="24"/>
          <w:szCs w:val="24"/>
        </w:rPr>
        <w:t xml:space="preserve"> and t</w:t>
      </w:r>
      <w:r w:rsidR="00E141DF" w:rsidRPr="00293741">
        <w:rPr>
          <w:sz w:val="24"/>
          <w:szCs w:val="24"/>
        </w:rPr>
        <w:t>he arteriolar and venular tortuosit</w:t>
      </w:r>
      <w:r w:rsidR="00E141DF">
        <w:rPr>
          <w:sz w:val="24"/>
          <w:szCs w:val="24"/>
        </w:rPr>
        <w:t>y</w:t>
      </w:r>
      <w:r w:rsidR="00E141DF" w:rsidRPr="00293741">
        <w:rPr>
          <w:sz w:val="24"/>
          <w:szCs w:val="24"/>
        </w:rPr>
        <w:t xml:space="preserve"> were calculated separately as </w:t>
      </w:r>
      <w:r w:rsidR="00E141DF" w:rsidRPr="00293741">
        <w:rPr>
          <w:i/>
          <w:sz w:val="24"/>
          <w:szCs w:val="24"/>
        </w:rPr>
        <w:t>aTor</w:t>
      </w:r>
      <w:r w:rsidR="00E141DF" w:rsidRPr="00293741">
        <w:rPr>
          <w:sz w:val="24"/>
          <w:szCs w:val="24"/>
        </w:rPr>
        <w:t xml:space="preserve"> and </w:t>
      </w:r>
      <w:r w:rsidR="00E141DF" w:rsidRPr="00293741">
        <w:rPr>
          <w:i/>
          <w:sz w:val="24"/>
          <w:szCs w:val="24"/>
        </w:rPr>
        <w:t>vTor</w:t>
      </w:r>
      <w:r w:rsidR="00E141DF" w:rsidRPr="00293741">
        <w:rPr>
          <w:sz w:val="24"/>
          <w:szCs w:val="24"/>
        </w:rPr>
        <w:t xml:space="preserve">. </w:t>
      </w:r>
    </w:p>
    <w:p w14:paraId="02F45D1F" w14:textId="77777777" w:rsidR="00E17806" w:rsidRDefault="00E17806" w:rsidP="00E141DF">
      <w:pPr>
        <w:spacing w:line="480" w:lineRule="auto"/>
        <w:rPr>
          <w:sz w:val="24"/>
          <w:szCs w:val="24"/>
        </w:rPr>
      </w:pPr>
    </w:p>
    <w:p w14:paraId="43AB4D11" w14:textId="3F8BF0B9" w:rsidR="00AB33EE" w:rsidRPr="00744E86" w:rsidRDefault="00AB33EE" w:rsidP="00744E86">
      <w:pPr>
        <w:pStyle w:val="a5"/>
        <w:numPr>
          <w:ilvl w:val="0"/>
          <w:numId w:val="1"/>
        </w:numPr>
        <w:spacing w:line="480" w:lineRule="auto"/>
        <w:ind w:firstLineChars="0"/>
        <w:rPr>
          <w:b/>
          <w:sz w:val="24"/>
          <w:szCs w:val="24"/>
        </w:rPr>
      </w:pPr>
      <w:r w:rsidRPr="00744E86">
        <w:rPr>
          <w:b/>
          <w:sz w:val="24"/>
          <w:szCs w:val="24"/>
        </w:rPr>
        <w:t>Study Description</w:t>
      </w:r>
    </w:p>
    <w:p w14:paraId="7633D1B4" w14:textId="6CD08EA6" w:rsidR="00AF5BF9" w:rsidRPr="00A136F2" w:rsidRDefault="00F827BD" w:rsidP="000A7889">
      <w:pPr>
        <w:spacing w:line="480" w:lineRule="auto"/>
        <w:rPr>
          <w:sz w:val="24"/>
          <w:szCs w:val="24"/>
        </w:rPr>
      </w:pPr>
      <w:r w:rsidRPr="00A136F2">
        <w:rPr>
          <w:sz w:val="24"/>
          <w:szCs w:val="24"/>
        </w:rPr>
        <w:lastRenderedPageBreak/>
        <w:t xml:space="preserve">The Northwest China Diabetes Study is a cross-sectional study </w:t>
      </w:r>
      <w:r w:rsidR="00AF5BF9" w:rsidRPr="00A136F2">
        <w:rPr>
          <w:sz w:val="24"/>
          <w:szCs w:val="24"/>
        </w:rPr>
        <w:t>between January 2011 and August 2016 with a total number of 2,397 diabetes patients, who attended the First Affiliated Hospital (Xijing Hospital) of Air Force Medical University of China. The ACR test was launched at the end of 2014. For this study, we included participants with type 2 diabetes, aged from 18 to 70 years old and further excluded those with prevalent cardiovascular diseases (defined as self-reported myocardial infarction, angina or stroke), diabetic ketoacidosis, diabetic hyperglycemic hyperosmolar stat</w:t>
      </w:r>
      <w:r w:rsidR="00AF5BF9" w:rsidRPr="00A136F2">
        <w:rPr>
          <w:rFonts w:hint="eastAsia"/>
          <w:sz w:val="24"/>
          <w:szCs w:val="24"/>
        </w:rPr>
        <w:t>e, septicemia and end-stage renal disease (estimated glomerular filtration rate</w:t>
      </w:r>
      <w:r w:rsidR="00AF5BF9" w:rsidRPr="00A136F2">
        <w:rPr>
          <w:rFonts w:hint="eastAsia"/>
          <w:sz w:val="24"/>
          <w:szCs w:val="24"/>
        </w:rPr>
        <w:t>≤</w:t>
      </w:r>
      <w:r w:rsidR="00AF5BF9" w:rsidRPr="00A136F2">
        <w:rPr>
          <w:rFonts w:hint="eastAsia"/>
          <w:sz w:val="24"/>
          <w:szCs w:val="24"/>
        </w:rPr>
        <w:t>30ml/ (min</w:t>
      </w:r>
      <w:r w:rsidR="00AF5BF9" w:rsidRPr="00A136F2">
        <w:rPr>
          <w:rFonts w:hint="eastAsia"/>
          <w:sz w:val="24"/>
          <w:szCs w:val="24"/>
        </w:rPr>
        <w:t>·</w:t>
      </w:r>
      <w:r w:rsidR="00AF5BF9" w:rsidRPr="00A136F2">
        <w:rPr>
          <w:rFonts w:hint="eastAsia"/>
          <w:sz w:val="24"/>
          <w:szCs w:val="24"/>
        </w:rPr>
        <w:t>173m2)) (n=934). Of the 934 participants, 911 (97.5%) had gradable retinal photographs and formed the base population of this study.</w:t>
      </w:r>
      <w:r w:rsidR="00AF5BF9" w:rsidRPr="00A136F2">
        <w:rPr>
          <w:sz w:val="24"/>
          <w:szCs w:val="24"/>
        </w:rPr>
        <w:t xml:space="preserve"> We tested the baseline values between the participants included and excluded in this study as given below. No differences were found between the basic factors, such as sex, age, BMI, and HbA1c and the 911 participants with ACR tests were analyzed in this study. </w:t>
      </w:r>
    </w:p>
    <w:p w14:paraId="17FD5C96" w14:textId="45CD8AE1" w:rsidR="00153A47" w:rsidRPr="00A136F2" w:rsidRDefault="00153A47" w:rsidP="00153A47">
      <w:pPr>
        <w:spacing w:line="480" w:lineRule="auto"/>
        <w:jc w:val="center"/>
        <w:rPr>
          <w:b/>
          <w:sz w:val="24"/>
          <w:szCs w:val="24"/>
        </w:rPr>
      </w:pPr>
      <w:r w:rsidRPr="00A136F2">
        <w:rPr>
          <w:rFonts w:hint="eastAsia"/>
          <w:b/>
          <w:sz w:val="24"/>
          <w:szCs w:val="24"/>
        </w:rPr>
        <w:t>T</w:t>
      </w:r>
      <w:r w:rsidRPr="00A136F2">
        <w:rPr>
          <w:b/>
          <w:sz w:val="24"/>
          <w:szCs w:val="24"/>
        </w:rPr>
        <w:t>able 1. Baseline characteristics of subjects with and without ACR tests.</w:t>
      </w:r>
    </w:p>
    <w:tbl>
      <w:tblPr>
        <w:tblStyle w:val="a7"/>
        <w:tblW w:w="65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2494"/>
        <w:gridCol w:w="76"/>
        <w:gridCol w:w="1655"/>
        <w:gridCol w:w="1519"/>
        <w:gridCol w:w="794"/>
      </w:tblGrid>
      <w:tr w:rsidR="00A136F2" w:rsidRPr="00A136F2" w14:paraId="2618DDF2" w14:textId="77777777" w:rsidTr="003D0A8D">
        <w:trPr>
          <w:trHeight w:val="20"/>
          <w:jc w:val="center"/>
        </w:trPr>
        <w:tc>
          <w:tcPr>
            <w:tcW w:w="2494" w:type="dxa"/>
            <w:tcBorders>
              <w:bottom w:val="single" w:sz="8" w:space="0" w:color="auto"/>
            </w:tcBorders>
            <w:shd w:val="clear" w:color="auto" w:fill="auto"/>
            <w:vAlign w:val="center"/>
          </w:tcPr>
          <w:p w14:paraId="3D00DBCE" w14:textId="77777777" w:rsidR="00AF5BF9" w:rsidRPr="00A136F2" w:rsidRDefault="00AF5BF9" w:rsidP="003D0A8D">
            <w:pPr>
              <w:adjustRightInd w:val="0"/>
              <w:snapToGrid w:val="0"/>
              <w:rPr>
                <w:rFonts w:ascii="Times New Roman" w:hAnsi="Times New Roman"/>
                <w:b/>
                <w:szCs w:val="21"/>
              </w:rPr>
            </w:pPr>
          </w:p>
        </w:tc>
        <w:tc>
          <w:tcPr>
            <w:tcW w:w="76" w:type="dxa"/>
            <w:tcBorders>
              <w:bottom w:val="single" w:sz="8" w:space="0" w:color="auto"/>
            </w:tcBorders>
          </w:tcPr>
          <w:p w14:paraId="64FD3996" w14:textId="77777777" w:rsidR="00AF5BF9" w:rsidRPr="00A136F2" w:rsidRDefault="00AF5BF9" w:rsidP="003D0A8D">
            <w:pPr>
              <w:snapToGrid w:val="0"/>
              <w:jc w:val="center"/>
              <w:rPr>
                <w:rFonts w:ascii="Times New Roman" w:hAnsi="Times New Roman"/>
                <w:b/>
                <w:szCs w:val="21"/>
              </w:rPr>
            </w:pPr>
          </w:p>
        </w:tc>
        <w:tc>
          <w:tcPr>
            <w:tcW w:w="1655" w:type="dxa"/>
            <w:tcBorders>
              <w:top w:val="single" w:sz="8" w:space="0" w:color="auto"/>
              <w:bottom w:val="single" w:sz="8" w:space="0" w:color="auto"/>
            </w:tcBorders>
            <w:shd w:val="clear" w:color="auto" w:fill="auto"/>
            <w:vAlign w:val="center"/>
          </w:tcPr>
          <w:p w14:paraId="619721D5" w14:textId="77777777" w:rsidR="00AF5BF9" w:rsidRPr="00A136F2" w:rsidRDefault="00AF5BF9" w:rsidP="003D0A8D">
            <w:pPr>
              <w:snapToGrid w:val="0"/>
              <w:jc w:val="center"/>
              <w:rPr>
                <w:rFonts w:ascii="Times New Roman" w:hAnsi="Times New Roman"/>
                <w:b/>
                <w:szCs w:val="21"/>
              </w:rPr>
            </w:pPr>
            <w:r w:rsidRPr="00A136F2">
              <w:rPr>
                <w:rFonts w:ascii="Times New Roman" w:hAnsi="Times New Roman"/>
                <w:b/>
                <w:szCs w:val="21"/>
              </w:rPr>
              <w:t xml:space="preserve">Study </w:t>
            </w:r>
          </w:p>
          <w:p w14:paraId="7DF9C942" w14:textId="77777777" w:rsidR="00AF5BF9" w:rsidRPr="00A136F2" w:rsidRDefault="00AF5BF9" w:rsidP="003D0A8D">
            <w:pPr>
              <w:snapToGrid w:val="0"/>
              <w:jc w:val="center"/>
              <w:rPr>
                <w:rFonts w:ascii="Times New Roman" w:hAnsi="Times New Roman"/>
                <w:b/>
                <w:szCs w:val="21"/>
              </w:rPr>
            </w:pPr>
            <w:r w:rsidRPr="00A136F2">
              <w:rPr>
                <w:rFonts w:ascii="Times New Roman" w:hAnsi="Times New Roman"/>
                <w:b/>
                <w:szCs w:val="21"/>
              </w:rPr>
              <w:t>Participants</w:t>
            </w:r>
          </w:p>
          <w:p w14:paraId="72AAE3DB" w14:textId="77777777" w:rsidR="00AF5BF9" w:rsidRPr="00A136F2" w:rsidRDefault="00AF5BF9" w:rsidP="003D0A8D">
            <w:pPr>
              <w:snapToGrid w:val="0"/>
              <w:jc w:val="center"/>
              <w:rPr>
                <w:rFonts w:ascii="Times New Roman" w:hAnsi="Times New Roman"/>
                <w:b/>
                <w:szCs w:val="21"/>
              </w:rPr>
            </w:pPr>
            <w:r w:rsidRPr="00A136F2">
              <w:rPr>
                <w:rFonts w:ascii="Times New Roman" w:hAnsi="Times New Roman" w:hint="eastAsia"/>
                <w:b/>
                <w:szCs w:val="21"/>
              </w:rPr>
              <w:t>(</w:t>
            </w:r>
            <w:r w:rsidRPr="00A136F2">
              <w:rPr>
                <w:rFonts w:ascii="Times New Roman" w:hAnsi="Times New Roman"/>
                <w:b/>
                <w:szCs w:val="21"/>
              </w:rPr>
              <w:t>911)</w:t>
            </w:r>
          </w:p>
        </w:tc>
        <w:tc>
          <w:tcPr>
            <w:tcW w:w="1519" w:type="dxa"/>
            <w:tcBorders>
              <w:top w:val="single" w:sz="8" w:space="0" w:color="auto"/>
              <w:bottom w:val="single" w:sz="8" w:space="0" w:color="auto"/>
            </w:tcBorders>
            <w:shd w:val="clear" w:color="auto" w:fill="auto"/>
            <w:vAlign w:val="center"/>
          </w:tcPr>
          <w:p w14:paraId="20F44491" w14:textId="77777777" w:rsidR="00AF5BF9" w:rsidRPr="00A136F2" w:rsidRDefault="00AF5BF9" w:rsidP="003D0A8D">
            <w:pPr>
              <w:snapToGrid w:val="0"/>
              <w:jc w:val="center"/>
              <w:rPr>
                <w:rFonts w:ascii="Times New Roman" w:hAnsi="Times New Roman"/>
                <w:b/>
                <w:szCs w:val="21"/>
              </w:rPr>
            </w:pPr>
            <w:r w:rsidRPr="00A136F2">
              <w:rPr>
                <w:rFonts w:ascii="Times New Roman" w:hAnsi="Times New Roman"/>
                <w:b/>
                <w:szCs w:val="21"/>
              </w:rPr>
              <w:t>Missing ACR</w:t>
            </w:r>
          </w:p>
          <w:p w14:paraId="55F739D4" w14:textId="77777777" w:rsidR="00AF5BF9" w:rsidRPr="00A136F2" w:rsidRDefault="00AF5BF9" w:rsidP="003D0A8D">
            <w:pPr>
              <w:adjustRightInd w:val="0"/>
              <w:snapToGrid w:val="0"/>
              <w:jc w:val="center"/>
              <w:rPr>
                <w:rFonts w:ascii="Times New Roman" w:hAnsi="Times New Roman"/>
                <w:b/>
                <w:szCs w:val="21"/>
              </w:rPr>
            </w:pPr>
            <w:r w:rsidRPr="00A136F2">
              <w:rPr>
                <w:rFonts w:ascii="Times New Roman" w:hAnsi="Times New Roman"/>
                <w:b/>
                <w:szCs w:val="21"/>
              </w:rPr>
              <w:t>(1428)</w:t>
            </w:r>
          </w:p>
        </w:tc>
        <w:tc>
          <w:tcPr>
            <w:tcW w:w="794" w:type="dxa"/>
            <w:tcBorders>
              <w:top w:val="single" w:sz="8" w:space="0" w:color="auto"/>
              <w:bottom w:val="single" w:sz="8" w:space="0" w:color="auto"/>
            </w:tcBorders>
            <w:shd w:val="clear" w:color="auto" w:fill="auto"/>
            <w:vAlign w:val="center"/>
          </w:tcPr>
          <w:p w14:paraId="08725AFA" w14:textId="77777777" w:rsidR="00AF5BF9" w:rsidRPr="00A136F2" w:rsidRDefault="00AF5BF9" w:rsidP="003D0A8D">
            <w:pPr>
              <w:wordWrap w:val="0"/>
              <w:adjustRightInd w:val="0"/>
              <w:snapToGrid w:val="0"/>
              <w:jc w:val="right"/>
              <w:rPr>
                <w:rFonts w:ascii="Times New Roman" w:hAnsi="Times New Roman"/>
                <w:b/>
                <w:i/>
                <w:szCs w:val="21"/>
              </w:rPr>
            </w:pPr>
            <w:r w:rsidRPr="00A136F2">
              <w:rPr>
                <w:rFonts w:ascii="Times New Roman" w:hAnsi="Times New Roman" w:hint="eastAsia"/>
                <w:b/>
                <w:i/>
                <w:szCs w:val="21"/>
              </w:rPr>
              <w:t>p</w:t>
            </w:r>
            <w:r w:rsidRPr="00A136F2">
              <w:rPr>
                <w:rFonts w:ascii="Times New Roman" w:hAnsi="Times New Roman"/>
                <w:b/>
                <w:i/>
                <w:szCs w:val="21"/>
              </w:rPr>
              <w:t xml:space="preserve"> </w:t>
            </w:r>
            <w:r w:rsidRPr="00A136F2">
              <w:rPr>
                <w:rFonts w:ascii="Times New Roman" w:hAnsi="Times New Roman"/>
                <w:b/>
                <w:szCs w:val="21"/>
              </w:rPr>
              <w:t>value</w:t>
            </w:r>
          </w:p>
        </w:tc>
      </w:tr>
      <w:tr w:rsidR="00A136F2" w:rsidRPr="00A136F2" w14:paraId="0B1282B9" w14:textId="77777777" w:rsidTr="003D0A8D">
        <w:trPr>
          <w:trHeight w:val="20"/>
          <w:jc w:val="center"/>
        </w:trPr>
        <w:tc>
          <w:tcPr>
            <w:tcW w:w="2494" w:type="dxa"/>
            <w:tcBorders>
              <w:top w:val="single" w:sz="8" w:space="0" w:color="auto"/>
            </w:tcBorders>
            <w:shd w:val="clear" w:color="auto" w:fill="auto"/>
            <w:vAlign w:val="center"/>
          </w:tcPr>
          <w:p w14:paraId="23075E70" w14:textId="77777777" w:rsidR="00AF5BF9" w:rsidRPr="00A136F2" w:rsidRDefault="00AF5BF9" w:rsidP="003D0A8D">
            <w:pPr>
              <w:adjustRightInd w:val="0"/>
              <w:snapToGrid w:val="0"/>
              <w:rPr>
                <w:rFonts w:ascii="Times New Roman" w:hAnsi="Times New Roman"/>
                <w:szCs w:val="21"/>
              </w:rPr>
            </w:pPr>
            <w:r w:rsidRPr="00A136F2">
              <w:rPr>
                <w:rFonts w:ascii="Times New Roman" w:hAnsi="Times New Roman"/>
                <w:szCs w:val="21"/>
              </w:rPr>
              <w:t>Men</w:t>
            </w:r>
            <w:r w:rsidRPr="00A136F2">
              <w:rPr>
                <w:rFonts w:ascii="Times New Roman" w:hAnsi="Times New Roman"/>
                <w:szCs w:val="21"/>
              </w:rPr>
              <w:t>（</w:t>
            </w:r>
            <w:r w:rsidRPr="00A136F2">
              <w:rPr>
                <w:rFonts w:ascii="Times New Roman" w:hAnsi="Times New Roman"/>
                <w:szCs w:val="21"/>
              </w:rPr>
              <w:t>%</w:t>
            </w:r>
            <w:r w:rsidRPr="00A136F2">
              <w:rPr>
                <w:rFonts w:ascii="Times New Roman" w:hAnsi="Times New Roman"/>
                <w:szCs w:val="21"/>
              </w:rPr>
              <w:t>）</w:t>
            </w:r>
          </w:p>
        </w:tc>
        <w:tc>
          <w:tcPr>
            <w:tcW w:w="76" w:type="dxa"/>
            <w:tcBorders>
              <w:top w:val="single" w:sz="8" w:space="0" w:color="auto"/>
            </w:tcBorders>
          </w:tcPr>
          <w:p w14:paraId="6CBEBA23" w14:textId="77777777" w:rsidR="00AF5BF9" w:rsidRPr="00A136F2" w:rsidRDefault="00AF5BF9" w:rsidP="003D0A8D">
            <w:pPr>
              <w:adjustRightInd w:val="0"/>
              <w:snapToGrid w:val="0"/>
              <w:jc w:val="center"/>
              <w:rPr>
                <w:rFonts w:ascii="Times New Roman" w:hAnsi="Times New Roman"/>
                <w:szCs w:val="21"/>
              </w:rPr>
            </w:pPr>
          </w:p>
        </w:tc>
        <w:tc>
          <w:tcPr>
            <w:tcW w:w="1655" w:type="dxa"/>
            <w:tcBorders>
              <w:top w:val="single" w:sz="8" w:space="0" w:color="auto"/>
            </w:tcBorders>
            <w:shd w:val="clear" w:color="auto" w:fill="auto"/>
            <w:vAlign w:val="center"/>
          </w:tcPr>
          <w:p w14:paraId="6BF7CD8B"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szCs w:val="21"/>
              </w:rPr>
              <w:t>70.7</w:t>
            </w:r>
          </w:p>
        </w:tc>
        <w:tc>
          <w:tcPr>
            <w:tcW w:w="1519" w:type="dxa"/>
            <w:tcBorders>
              <w:top w:val="single" w:sz="8" w:space="0" w:color="auto"/>
            </w:tcBorders>
            <w:shd w:val="clear" w:color="auto" w:fill="auto"/>
            <w:vAlign w:val="center"/>
          </w:tcPr>
          <w:p w14:paraId="1C953F04"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szCs w:val="21"/>
              </w:rPr>
              <w:t>73.1</w:t>
            </w:r>
          </w:p>
        </w:tc>
        <w:tc>
          <w:tcPr>
            <w:tcW w:w="794" w:type="dxa"/>
            <w:tcBorders>
              <w:top w:val="single" w:sz="8" w:space="0" w:color="auto"/>
            </w:tcBorders>
            <w:shd w:val="clear" w:color="auto" w:fill="auto"/>
            <w:vAlign w:val="center"/>
          </w:tcPr>
          <w:p w14:paraId="249F3720" w14:textId="77777777" w:rsidR="00AF5BF9" w:rsidRPr="00A136F2" w:rsidRDefault="00AF5BF9" w:rsidP="003D0A8D">
            <w:pPr>
              <w:adjustRightInd w:val="0"/>
              <w:snapToGrid w:val="0"/>
              <w:jc w:val="right"/>
              <w:rPr>
                <w:rFonts w:ascii="Times New Roman" w:hAnsi="Times New Roman"/>
                <w:szCs w:val="21"/>
              </w:rPr>
            </w:pPr>
            <w:r w:rsidRPr="00A136F2">
              <w:rPr>
                <w:rFonts w:ascii="Times New Roman" w:hAnsi="Times New Roman"/>
                <w:szCs w:val="21"/>
              </w:rPr>
              <w:t>0.485</w:t>
            </w:r>
          </w:p>
        </w:tc>
      </w:tr>
      <w:tr w:rsidR="00A136F2" w:rsidRPr="00A136F2" w14:paraId="35AA668C" w14:textId="77777777" w:rsidTr="003D0A8D">
        <w:trPr>
          <w:trHeight w:val="20"/>
          <w:jc w:val="center"/>
        </w:trPr>
        <w:tc>
          <w:tcPr>
            <w:tcW w:w="2494" w:type="dxa"/>
            <w:shd w:val="clear" w:color="auto" w:fill="auto"/>
            <w:vAlign w:val="center"/>
          </w:tcPr>
          <w:p w14:paraId="602D9A3E" w14:textId="77777777" w:rsidR="00AF5BF9" w:rsidRPr="00A136F2" w:rsidRDefault="00AF5BF9" w:rsidP="003D0A8D">
            <w:pPr>
              <w:adjustRightInd w:val="0"/>
              <w:snapToGrid w:val="0"/>
              <w:rPr>
                <w:rFonts w:ascii="Times New Roman" w:hAnsi="Times New Roman"/>
                <w:szCs w:val="21"/>
              </w:rPr>
            </w:pPr>
            <w:r w:rsidRPr="00A136F2">
              <w:rPr>
                <w:rFonts w:ascii="Times New Roman" w:hAnsi="Times New Roman"/>
                <w:szCs w:val="21"/>
              </w:rPr>
              <w:t>Age (years)</w:t>
            </w:r>
          </w:p>
        </w:tc>
        <w:tc>
          <w:tcPr>
            <w:tcW w:w="76" w:type="dxa"/>
          </w:tcPr>
          <w:p w14:paraId="50832EB7" w14:textId="77777777" w:rsidR="00AF5BF9" w:rsidRPr="00A136F2" w:rsidRDefault="00AF5BF9" w:rsidP="003D0A8D">
            <w:pPr>
              <w:adjustRightInd w:val="0"/>
              <w:snapToGrid w:val="0"/>
              <w:jc w:val="center"/>
              <w:rPr>
                <w:rFonts w:ascii="Times New Roman" w:hAnsi="Times New Roman"/>
                <w:szCs w:val="21"/>
              </w:rPr>
            </w:pPr>
          </w:p>
        </w:tc>
        <w:tc>
          <w:tcPr>
            <w:tcW w:w="1655" w:type="dxa"/>
            <w:shd w:val="clear" w:color="auto" w:fill="auto"/>
            <w:vAlign w:val="center"/>
          </w:tcPr>
          <w:p w14:paraId="53A3F56D"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szCs w:val="21"/>
              </w:rPr>
              <w:t>49.35±10.11</w:t>
            </w:r>
          </w:p>
        </w:tc>
        <w:tc>
          <w:tcPr>
            <w:tcW w:w="1519" w:type="dxa"/>
            <w:shd w:val="clear" w:color="auto" w:fill="auto"/>
            <w:vAlign w:val="center"/>
          </w:tcPr>
          <w:p w14:paraId="540B335C"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szCs w:val="21"/>
              </w:rPr>
              <w:t>50.15±10.98</w:t>
            </w:r>
          </w:p>
        </w:tc>
        <w:tc>
          <w:tcPr>
            <w:tcW w:w="794" w:type="dxa"/>
            <w:shd w:val="clear" w:color="auto" w:fill="auto"/>
            <w:vAlign w:val="center"/>
          </w:tcPr>
          <w:p w14:paraId="4CBE2551" w14:textId="77777777" w:rsidR="00AF5BF9" w:rsidRPr="00A136F2" w:rsidRDefault="00AF5BF9" w:rsidP="003D0A8D">
            <w:pPr>
              <w:adjustRightInd w:val="0"/>
              <w:snapToGrid w:val="0"/>
              <w:jc w:val="right"/>
              <w:rPr>
                <w:rFonts w:ascii="Times New Roman" w:hAnsi="Times New Roman"/>
                <w:szCs w:val="21"/>
              </w:rPr>
            </w:pPr>
            <w:r w:rsidRPr="00A136F2">
              <w:rPr>
                <w:rFonts w:ascii="Times New Roman" w:hAnsi="Times New Roman"/>
                <w:szCs w:val="21"/>
              </w:rPr>
              <w:t>0.129</w:t>
            </w:r>
          </w:p>
        </w:tc>
      </w:tr>
      <w:tr w:rsidR="00A136F2" w:rsidRPr="00A136F2" w14:paraId="5709BCFA" w14:textId="77777777" w:rsidTr="003D0A8D">
        <w:trPr>
          <w:trHeight w:val="20"/>
          <w:jc w:val="center"/>
        </w:trPr>
        <w:tc>
          <w:tcPr>
            <w:tcW w:w="2494" w:type="dxa"/>
            <w:shd w:val="clear" w:color="auto" w:fill="auto"/>
            <w:vAlign w:val="center"/>
          </w:tcPr>
          <w:p w14:paraId="652CE5B2" w14:textId="77777777" w:rsidR="00AF5BF9" w:rsidRPr="00A136F2" w:rsidRDefault="00AF5BF9" w:rsidP="003D0A8D">
            <w:pPr>
              <w:adjustRightInd w:val="0"/>
              <w:snapToGrid w:val="0"/>
              <w:rPr>
                <w:rFonts w:ascii="Times New Roman" w:hAnsi="Times New Roman"/>
                <w:szCs w:val="21"/>
              </w:rPr>
            </w:pPr>
            <w:r w:rsidRPr="00A136F2">
              <w:rPr>
                <w:rFonts w:ascii="Times New Roman" w:hAnsi="Times New Roman" w:hint="eastAsia"/>
                <w:szCs w:val="21"/>
              </w:rPr>
              <w:t>D</w:t>
            </w:r>
            <w:r w:rsidRPr="00A136F2">
              <w:rPr>
                <w:rFonts w:ascii="Times New Roman" w:hAnsi="Times New Roman"/>
                <w:szCs w:val="21"/>
              </w:rPr>
              <w:t>uration (years)</w:t>
            </w:r>
          </w:p>
        </w:tc>
        <w:tc>
          <w:tcPr>
            <w:tcW w:w="76" w:type="dxa"/>
          </w:tcPr>
          <w:p w14:paraId="0674B988" w14:textId="77777777" w:rsidR="00AF5BF9" w:rsidRPr="00A136F2" w:rsidRDefault="00AF5BF9" w:rsidP="003D0A8D">
            <w:pPr>
              <w:adjustRightInd w:val="0"/>
              <w:snapToGrid w:val="0"/>
              <w:jc w:val="center"/>
              <w:rPr>
                <w:rFonts w:ascii="Times New Roman" w:hAnsi="Times New Roman"/>
                <w:szCs w:val="21"/>
              </w:rPr>
            </w:pPr>
          </w:p>
        </w:tc>
        <w:tc>
          <w:tcPr>
            <w:tcW w:w="1655" w:type="dxa"/>
            <w:shd w:val="clear" w:color="auto" w:fill="auto"/>
            <w:vAlign w:val="center"/>
          </w:tcPr>
          <w:p w14:paraId="46FE3E0B" w14:textId="77777777" w:rsidR="00AF5BF9" w:rsidRPr="00A136F2" w:rsidRDefault="00AF5BF9" w:rsidP="003D0A8D">
            <w:pPr>
              <w:adjustRightInd w:val="0"/>
              <w:snapToGrid w:val="0"/>
              <w:jc w:val="center"/>
              <w:rPr>
                <w:rFonts w:ascii="Times New Roman" w:hAnsi="Times New Roman"/>
                <w:b/>
                <w:bCs/>
                <w:szCs w:val="21"/>
              </w:rPr>
            </w:pPr>
            <w:r w:rsidRPr="00A136F2">
              <w:rPr>
                <w:rFonts w:ascii="Times New Roman" w:hAnsi="Times New Roman" w:hint="eastAsia"/>
                <w:b/>
                <w:bCs/>
                <w:szCs w:val="21"/>
              </w:rPr>
              <w:t>6</w:t>
            </w:r>
            <w:r w:rsidRPr="00A136F2">
              <w:rPr>
                <w:rFonts w:ascii="Times New Roman" w:hAnsi="Times New Roman"/>
                <w:b/>
                <w:bCs/>
                <w:szCs w:val="21"/>
              </w:rPr>
              <w:t>.62±5.78</w:t>
            </w:r>
          </w:p>
        </w:tc>
        <w:tc>
          <w:tcPr>
            <w:tcW w:w="1519" w:type="dxa"/>
            <w:shd w:val="clear" w:color="auto" w:fill="auto"/>
            <w:vAlign w:val="center"/>
          </w:tcPr>
          <w:p w14:paraId="229F0936" w14:textId="77777777" w:rsidR="00AF5BF9" w:rsidRPr="00A136F2" w:rsidRDefault="00AF5BF9" w:rsidP="003D0A8D">
            <w:pPr>
              <w:adjustRightInd w:val="0"/>
              <w:snapToGrid w:val="0"/>
              <w:jc w:val="center"/>
              <w:rPr>
                <w:rFonts w:ascii="Times New Roman" w:hAnsi="Times New Roman"/>
                <w:b/>
                <w:bCs/>
                <w:szCs w:val="21"/>
              </w:rPr>
            </w:pPr>
            <w:r w:rsidRPr="00A136F2">
              <w:rPr>
                <w:rFonts w:ascii="Times New Roman" w:hAnsi="Times New Roman" w:hint="eastAsia"/>
                <w:b/>
                <w:bCs/>
                <w:szCs w:val="21"/>
              </w:rPr>
              <w:t>5</w:t>
            </w:r>
            <w:r w:rsidRPr="00A136F2">
              <w:rPr>
                <w:rFonts w:ascii="Times New Roman" w:hAnsi="Times New Roman"/>
                <w:b/>
                <w:bCs/>
                <w:szCs w:val="21"/>
              </w:rPr>
              <w:t>.65±5.23</w:t>
            </w:r>
          </w:p>
        </w:tc>
        <w:tc>
          <w:tcPr>
            <w:tcW w:w="794" w:type="dxa"/>
            <w:shd w:val="clear" w:color="auto" w:fill="auto"/>
            <w:vAlign w:val="center"/>
          </w:tcPr>
          <w:p w14:paraId="4A310E98" w14:textId="77777777" w:rsidR="00AF5BF9" w:rsidRPr="00A136F2" w:rsidRDefault="00AF5BF9" w:rsidP="003D0A8D">
            <w:pPr>
              <w:adjustRightInd w:val="0"/>
              <w:snapToGrid w:val="0"/>
              <w:jc w:val="right"/>
              <w:rPr>
                <w:rFonts w:ascii="Times New Roman" w:hAnsi="Times New Roman"/>
                <w:b/>
                <w:bCs/>
                <w:szCs w:val="21"/>
              </w:rPr>
            </w:pPr>
            <w:r w:rsidRPr="00A136F2">
              <w:rPr>
                <w:rFonts w:ascii="Times New Roman" w:hAnsi="Times New Roman"/>
                <w:b/>
                <w:bCs/>
                <w:szCs w:val="21"/>
              </w:rPr>
              <w:t>&lt;0.001</w:t>
            </w:r>
          </w:p>
        </w:tc>
      </w:tr>
      <w:tr w:rsidR="00A136F2" w:rsidRPr="00A136F2" w14:paraId="1AB464FD" w14:textId="77777777" w:rsidTr="003D0A8D">
        <w:trPr>
          <w:trHeight w:val="20"/>
          <w:jc w:val="center"/>
        </w:trPr>
        <w:tc>
          <w:tcPr>
            <w:tcW w:w="2494" w:type="dxa"/>
            <w:shd w:val="clear" w:color="auto" w:fill="auto"/>
            <w:vAlign w:val="center"/>
          </w:tcPr>
          <w:p w14:paraId="2BA3A1E8" w14:textId="77777777" w:rsidR="00AF5BF9" w:rsidRPr="00A136F2" w:rsidRDefault="00AF5BF9" w:rsidP="003D0A8D">
            <w:pPr>
              <w:adjustRightInd w:val="0"/>
              <w:snapToGrid w:val="0"/>
              <w:rPr>
                <w:rFonts w:ascii="Times New Roman" w:hAnsi="Times New Roman"/>
                <w:szCs w:val="21"/>
              </w:rPr>
            </w:pPr>
            <w:r w:rsidRPr="00A136F2">
              <w:rPr>
                <w:rFonts w:ascii="Times New Roman" w:hAnsi="Times New Roman"/>
                <w:szCs w:val="21"/>
              </w:rPr>
              <w:t>Body mass index (kg/m</w:t>
            </w:r>
            <w:r w:rsidRPr="00A136F2">
              <w:rPr>
                <w:rFonts w:ascii="Times New Roman" w:hAnsi="Times New Roman"/>
                <w:szCs w:val="21"/>
                <w:vertAlign w:val="superscript"/>
              </w:rPr>
              <w:t>2</w:t>
            </w:r>
            <w:r w:rsidRPr="00A136F2">
              <w:rPr>
                <w:rFonts w:ascii="Times New Roman" w:hAnsi="Times New Roman"/>
                <w:szCs w:val="21"/>
              </w:rPr>
              <w:t>)</w:t>
            </w:r>
          </w:p>
        </w:tc>
        <w:tc>
          <w:tcPr>
            <w:tcW w:w="76" w:type="dxa"/>
          </w:tcPr>
          <w:p w14:paraId="3F870804" w14:textId="77777777" w:rsidR="00AF5BF9" w:rsidRPr="00A136F2" w:rsidRDefault="00AF5BF9" w:rsidP="003D0A8D">
            <w:pPr>
              <w:adjustRightInd w:val="0"/>
              <w:snapToGrid w:val="0"/>
              <w:jc w:val="center"/>
              <w:rPr>
                <w:rFonts w:ascii="Times New Roman" w:hAnsi="Times New Roman"/>
                <w:szCs w:val="21"/>
              </w:rPr>
            </w:pPr>
          </w:p>
        </w:tc>
        <w:tc>
          <w:tcPr>
            <w:tcW w:w="1655" w:type="dxa"/>
            <w:shd w:val="clear" w:color="auto" w:fill="auto"/>
            <w:vAlign w:val="center"/>
          </w:tcPr>
          <w:p w14:paraId="3A4B46EA"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szCs w:val="21"/>
              </w:rPr>
              <w:t>25.81±3.44</w:t>
            </w:r>
          </w:p>
        </w:tc>
        <w:tc>
          <w:tcPr>
            <w:tcW w:w="1519" w:type="dxa"/>
            <w:shd w:val="clear" w:color="auto" w:fill="auto"/>
            <w:vAlign w:val="center"/>
          </w:tcPr>
          <w:p w14:paraId="74EC4117"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hint="eastAsia"/>
                <w:szCs w:val="21"/>
              </w:rPr>
              <w:t>2</w:t>
            </w:r>
            <w:r w:rsidRPr="00A136F2">
              <w:rPr>
                <w:rFonts w:ascii="Times New Roman" w:hAnsi="Times New Roman"/>
                <w:szCs w:val="21"/>
              </w:rPr>
              <w:t>4.90±3.52</w:t>
            </w:r>
          </w:p>
        </w:tc>
        <w:tc>
          <w:tcPr>
            <w:tcW w:w="794" w:type="dxa"/>
            <w:shd w:val="clear" w:color="auto" w:fill="auto"/>
            <w:vAlign w:val="center"/>
          </w:tcPr>
          <w:p w14:paraId="268A1781" w14:textId="77777777" w:rsidR="00AF5BF9" w:rsidRPr="00A136F2" w:rsidRDefault="00AF5BF9" w:rsidP="003D0A8D">
            <w:pPr>
              <w:adjustRightInd w:val="0"/>
              <w:snapToGrid w:val="0"/>
              <w:jc w:val="right"/>
              <w:rPr>
                <w:rFonts w:ascii="Times New Roman" w:hAnsi="Times New Roman"/>
                <w:szCs w:val="21"/>
              </w:rPr>
            </w:pPr>
            <w:r w:rsidRPr="00A136F2">
              <w:rPr>
                <w:rFonts w:ascii="Times New Roman" w:hAnsi="Times New Roman"/>
                <w:szCs w:val="21"/>
              </w:rPr>
              <w:t>0.310</w:t>
            </w:r>
          </w:p>
        </w:tc>
      </w:tr>
      <w:tr w:rsidR="00A136F2" w:rsidRPr="00A136F2" w14:paraId="5C22EF23" w14:textId="77777777" w:rsidTr="003D0A8D">
        <w:trPr>
          <w:trHeight w:val="20"/>
          <w:jc w:val="center"/>
        </w:trPr>
        <w:tc>
          <w:tcPr>
            <w:tcW w:w="2494" w:type="dxa"/>
            <w:shd w:val="clear" w:color="auto" w:fill="auto"/>
            <w:vAlign w:val="center"/>
          </w:tcPr>
          <w:p w14:paraId="15930F6F" w14:textId="77777777" w:rsidR="00AF5BF9" w:rsidRPr="00A136F2" w:rsidRDefault="00AF5BF9" w:rsidP="003D0A8D">
            <w:pPr>
              <w:adjustRightInd w:val="0"/>
              <w:snapToGrid w:val="0"/>
              <w:rPr>
                <w:rFonts w:ascii="Times New Roman" w:hAnsi="Times New Roman"/>
                <w:szCs w:val="21"/>
              </w:rPr>
            </w:pPr>
            <w:r w:rsidRPr="00A136F2">
              <w:rPr>
                <w:rFonts w:ascii="Times New Roman" w:hAnsi="Times New Roman"/>
                <w:szCs w:val="21"/>
              </w:rPr>
              <w:t>SBP (mmHg)</w:t>
            </w:r>
          </w:p>
        </w:tc>
        <w:tc>
          <w:tcPr>
            <w:tcW w:w="76" w:type="dxa"/>
          </w:tcPr>
          <w:p w14:paraId="45C3E0C7" w14:textId="77777777" w:rsidR="00AF5BF9" w:rsidRPr="00A136F2" w:rsidRDefault="00AF5BF9" w:rsidP="003D0A8D">
            <w:pPr>
              <w:adjustRightInd w:val="0"/>
              <w:snapToGrid w:val="0"/>
              <w:jc w:val="center"/>
              <w:rPr>
                <w:rFonts w:ascii="Times New Roman" w:hAnsi="Times New Roman"/>
                <w:szCs w:val="21"/>
              </w:rPr>
            </w:pPr>
          </w:p>
        </w:tc>
        <w:tc>
          <w:tcPr>
            <w:tcW w:w="1655" w:type="dxa"/>
            <w:shd w:val="clear" w:color="auto" w:fill="auto"/>
            <w:vAlign w:val="center"/>
          </w:tcPr>
          <w:p w14:paraId="069308C4"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szCs w:val="21"/>
              </w:rPr>
              <w:t>126.44±15.84</w:t>
            </w:r>
          </w:p>
        </w:tc>
        <w:tc>
          <w:tcPr>
            <w:tcW w:w="1519" w:type="dxa"/>
            <w:shd w:val="clear" w:color="auto" w:fill="auto"/>
            <w:vAlign w:val="center"/>
          </w:tcPr>
          <w:p w14:paraId="51C3EBD8"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hint="eastAsia"/>
                <w:szCs w:val="21"/>
              </w:rPr>
              <w:t>1</w:t>
            </w:r>
            <w:r w:rsidRPr="00A136F2">
              <w:rPr>
                <w:rFonts w:ascii="Times New Roman" w:hAnsi="Times New Roman"/>
                <w:szCs w:val="21"/>
              </w:rPr>
              <w:t>27.01±16.09</w:t>
            </w:r>
          </w:p>
        </w:tc>
        <w:tc>
          <w:tcPr>
            <w:tcW w:w="794" w:type="dxa"/>
            <w:shd w:val="clear" w:color="auto" w:fill="auto"/>
            <w:vAlign w:val="center"/>
          </w:tcPr>
          <w:p w14:paraId="643B907D" w14:textId="77777777" w:rsidR="00AF5BF9" w:rsidRPr="00A136F2" w:rsidRDefault="00AF5BF9" w:rsidP="003D0A8D">
            <w:pPr>
              <w:adjustRightInd w:val="0"/>
              <w:snapToGrid w:val="0"/>
              <w:jc w:val="right"/>
              <w:rPr>
                <w:rFonts w:ascii="Times New Roman" w:hAnsi="Times New Roman"/>
                <w:szCs w:val="21"/>
              </w:rPr>
            </w:pPr>
            <w:r w:rsidRPr="00A136F2">
              <w:rPr>
                <w:rFonts w:ascii="Times New Roman" w:hAnsi="Times New Roman"/>
                <w:szCs w:val="21"/>
              </w:rPr>
              <w:t>0.056</w:t>
            </w:r>
          </w:p>
        </w:tc>
      </w:tr>
      <w:tr w:rsidR="00A136F2" w:rsidRPr="00A136F2" w14:paraId="16727FE3" w14:textId="77777777" w:rsidTr="003D0A8D">
        <w:trPr>
          <w:trHeight w:val="20"/>
          <w:jc w:val="center"/>
        </w:trPr>
        <w:tc>
          <w:tcPr>
            <w:tcW w:w="2494" w:type="dxa"/>
            <w:shd w:val="clear" w:color="auto" w:fill="auto"/>
            <w:vAlign w:val="center"/>
          </w:tcPr>
          <w:p w14:paraId="433D08DA" w14:textId="77777777" w:rsidR="00AF5BF9" w:rsidRPr="00A136F2" w:rsidRDefault="00AF5BF9" w:rsidP="003D0A8D">
            <w:pPr>
              <w:adjustRightInd w:val="0"/>
              <w:snapToGrid w:val="0"/>
              <w:rPr>
                <w:rFonts w:ascii="Times New Roman" w:hAnsi="Times New Roman"/>
                <w:szCs w:val="21"/>
              </w:rPr>
            </w:pPr>
            <w:r w:rsidRPr="00A136F2">
              <w:rPr>
                <w:rFonts w:ascii="Times New Roman" w:hAnsi="Times New Roman"/>
                <w:szCs w:val="21"/>
              </w:rPr>
              <w:t>DBP (mmHg)</w:t>
            </w:r>
          </w:p>
        </w:tc>
        <w:tc>
          <w:tcPr>
            <w:tcW w:w="76" w:type="dxa"/>
          </w:tcPr>
          <w:p w14:paraId="178965B2" w14:textId="77777777" w:rsidR="00AF5BF9" w:rsidRPr="00A136F2" w:rsidRDefault="00AF5BF9" w:rsidP="003D0A8D">
            <w:pPr>
              <w:adjustRightInd w:val="0"/>
              <w:snapToGrid w:val="0"/>
              <w:jc w:val="center"/>
              <w:rPr>
                <w:rFonts w:ascii="Times New Roman" w:hAnsi="Times New Roman"/>
                <w:szCs w:val="21"/>
              </w:rPr>
            </w:pPr>
          </w:p>
        </w:tc>
        <w:tc>
          <w:tcPr>
            <w:tcW w:w="1655" w:type="dxa"/>
            <w:shd w:val="clear" w:color="auto" w:fill="auto"/>
            <w:vAlign w:val="center"/>
          </w:tcPr>
          <w:p w14:paraId="0D0F109E" w14:textId="77777777" w:rsidR="00AF5BF9" w:rsidRPr="00A136F2" w:rsidRDefault="00AF5BF9" w:rsidP="003D0A8D">
            <w:pPr>
              <w:adjustRightInd w:val="0"/>
              <w:snapToGrid w:val="0"/>
              <w:jc w:val="center"/>
              <w:rPr>
                <w:rFonts w:ascii="Times New Roman" w:hAnsi="Times New Roman"/>
                <w:b/>
                <w:bCs/>
                <w:szCs w:val="21"/>
              </w:rPr>
            </w:pPr>
            <w:r w:rsidRPr="00A136F2">
              <w:rPr>
                <w:rFonts w:ascii="Times New Roman" w:hAnsi="Times New Roman"/>
                <w:b/>
                <w:bCs/>
                <w:szCs w:val="21"/>
              </w:rPr>
              <w:t>79.53±10.20</w:t>
            </w:r>
          </w:p>
        </w:tc>
        <w:tc>
          <w:tcPr>
            <w:tcW w:w="1519" w:type="dxa"/>
            <w:shd w:val="clear" w:color="auto" w:fill="auto"/>
            <w:vAlign w:val="center"/>
          </w:tcPr>
          <w:p w14:paraId="15FD44A8" w14:textId="77777777" w:rsidR="00AF5BF9" w:rsidRPr="00A136F2" w:rsidRDefault="00AF5BF9" w:rsidP="003D0A8D">
            <w:pPr>
              <w:adjustRightInd w:val="0"/>
              <w:snapToGrid w:val="0"/>
              <w:jc w:val="center"/>
              <w:rPr>
                <w:rFonts w:ascii="Times New Roman" w:hAnsi="Times New Roman"/>
                <w:b/>
                <w:bCs/>
                <w:szCs w:val="21"/>
              </w:rPr>
            </w:pPr>
            <w:r w:rsidRPr="00A136F2">
              <w:rPr>
                <w:rFonts w:ascii="Times New Roman" w:hAnsi="Times New Roman"/>
                <w:b/>
                <w:bCs/>
                <w:szCs w:val="21"/>
              </w:rPr>
              <w:t>82.99±11.37</w:t>
            </w:r>
          </w:p>
        </w:tc>
        <w:tc>
          <w:tcPr>
            <w:tcW w:w="794" w:type="dxa"/>
            <w:shd w:val="clear" w:color="auto" w:fill="auto"/>
            <w:vAlign w:val="center"/>
          </w:tcPr>
          <w:p w14:paraId="303FB0E8" w14:textId="77777777" w:rsidR="00AF5BF9" w:rsidRPr="00A136F2" w:rsidRDefault="00AF5BF9" w:rsidP="003D0A8D">
            <w:pPr>
              <w:adjustRightInd w:val="0"/>
              <w:snapToGrid w:val="0"/>
              <w:jc w:val="right"/>
              <w:rPr>
                <w:rFonts w:ascii="Times New Roman" w:hAnsi="Times New Roman"/>
                <w:b/>
                <w:bCs/>
                <w:szCs w:val="21"/>
              </w:rPr>
            </w:pPr>
            <w:r w:rsidRPr="00A136F2">
              <w:rPr>
                <w:rFonts w:ascii="Times New Roman" w:hAnsi="Times New Roman"/>
                <w:b/>
                <w:bCs/>
                <w:szCs w:val="21"/>
              </w:rPr>
              <w:t>0.009</w:t>
            </w:r>
          </w:p>
        </w:tc>
      </w:tr>
      <w:tr w:rsidR="00A136F2" w:rsidRPr="00A136F2" w14:paraId="21307BEE" w14:textId="77777777" w:rsidTr="003D0A8D">
        <w:trPr>
          <w:trHeight w:val="20"/>
          <w:jc w:val="center"/>
        </w:trPr>
        <w:tc>
          <w:tcPr>
            <w:tcW w:w="2494" w:type="dxa"/>
            <w:tcBorders>
              <w:bottom w:val="single" w:sz="12" w:space="0" w:color="auto"/>
            </w:tcBorders>
            <w:shd w:val="clear" w:color="auto" w:fill="auto"/>
            <w:vAlign w:val="center"/>
          </w:tcPr>
          <w:p w14:paraId="41A0E581" w14:textId="77777777" w:rsidR="00AF5BF9" w:rsidRPr="00A136F2" w:rsidRDefault="00AF5BF9" w:rsidP="003D0A8D">
            <w:pPr>
              <w:adjustRightInd w:val="0"/>
              <w:snapToGrid w:val="0"/>
              <w:rPr>
                <w:rFonts w:ascii="Times New Roman" w:hAnsi="Times New Roman"/>
                <w:szCs w:val="21"/>
              </w:rPr>
            </w:pPr>
            <w:r w:rsidRPr="00A136F2">
              <w:rPr>
                <w:rFonts w:ascii="Times New Roman" w:hAnsi="Times New Roman"/>
                <w:szCs w:val="21"/>
              </w:rPr>
              <w:t>HbA1c (%)</w:t>
            </w:r>
          </w:p>
        </w:tc>
        <w:tc>
          <w:tcPr>
            <w:tcW w:w="76" w:type="dxa"/>
            <w:tcBorders>
              <w:bottom w:val="single" w:sz="12" w:space="0" w:color="auto"/>
            </w:tcBorders>
          </w:tcPr>
          <w:p w14:paraId="54916EFD" w14:textId="77777777" w:rsidR="00AF5BF9" w:rsidRPr="00A136F2" w:rsidRDefault="00AF5BF9" w:rsidP="003D0A8D">
            <w:pPr>
              <w:adjustRightInd w:val="0"/>
              <w:snapToGrid w:val="0"/>
              <w:jc w:val="center"/>
              <w:rPr>
                <w:rFonts w:ascii="Times New Roman" w:hAnsi="Times New Roman"/>
                <w:szCs w:val="21"/>
              </w:rPr>
            </w:pPr>
          </w:p>
        </w:tc>
        <w:tc>
          <w:tcPr>
            <w:tcW w:w="1655" w:type="dxa"/>
            <w:tcBorders>
              <w:bottom w:val="single" w:sz="12" w:space="0" w:color="auto"/>
            </w:tcBorders>
            <w:shd w:val="clear" w:color="auto" w:fill="auto"/>
            <w:vAlign w:val="center"/>
          </w:tcPr>
          <w:p w14:paraId="6A5BB3AD"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hint="eastAsia"/>
                <w:szCs w:val="21"/>
              </w:rPr>
              <w:t>8</w:t>
            </w:r>
            <w:r w:rsidRPr="00A136F2">
              <w:rPr>
                <w:rFonts w:ascii="Times New Roman" w:hAnsi="Times New Roman"/>
                <w:szCs w:val="21"/>
              </w:rPr>
              <w:t>.90</w:t>
            </w:r>
            <w:r w:rsidRPr="00A136F2">
              <w:rPr>
                <w:rFonts w:ascii="Times New Roman" w:hAnsi="Times New Roman" w:hint="eastAsia"/>
                <w:szCs w:val="21"/>
              </w:rPr>
              <w:t>±</w:t>
            </w:r>
            <w:r w:rsidRPr="00A136F2">
              <w:rPr>
                <w:rFonts w:ascii="Times New Roman" w:hAnsi="Times New Roman" w:hint="eastAsia"/>
                <w:szCs w:val="21"/>
              </w:rPr>
              <w:t>2</w:t>
            </w:r>
            <w:r w:rsidRPr="00A136F2">
              <w:rPr>
                <w:rFonts w:ascii="Times New Roman" w:hAnsi="Times New Roman"/>
                <w:szCs w:val="21"/>
              </w:rPr>
              <w:t>.25</w:t>
            </w:r>
          </w:p>
        </w:tc>
        <w:tc>
          <w:tcPr>
            <w:tcW w:w="1519" w:type="dxa"/>
            <w:tcBorders>
              <w:bottom w:val="single" w:sz="12" w:space="0" w:color="auto"/>
            </w:tcBorders>
            <w:shd w:val="clear" w:color="auto" w:fill="auto"/>
            <w:vAlign w:val="center"/>
          </w:tcPr>
          <w:p w14:paraId="5B08F6E5" w14:textId="77777777" w:rsidR="00AF5BF9" w:rsidRPr="00A136F2" w:rsidRDefault="00AF5BF9" w:rsidP="003D0A8D">
            <w:pPr>
              <w:adjustRightInd w:val="0"/>
              <w:snapToGrid w:val="0"/>
              <w:jc w:val="center"/>
              <w:rPr>
                <w:rFonts w:ascii="Times New Roman" w:hAnsi="Times New Roman"/>
                <w:szCs w:val="21"/>
              </w:rPr>
            </w:pPr>
            <w:r w:rsidRPr="00A136F2">
              <w:rPr>
                <w:rFonts w:ascii="Times New Roman" w:hAnsi="Times New Roman"/>
                <w:szCs w:val="21"/>
              </w:rPr>
              <w:t>9.09±2.20</w:t>
            </w:r>
          </w:p>
        </w:tc>
        <w:tc>
          <w:tcPr>
            <w:tcW w:w="794" w:type="dxa"/>
            <w:tcBorders>
              <w:bottom w:val="single" w:sz="12" w:space="0" w:color="auto"/>
            </w:tcBorders>
            <w:shd w:val="clear" w:color="auto" w:fill="auto"/>
            <w:vAlign w:val="center"/>
          </w:tcPr>
          <w:p w14:paraId="01F4A37C" w14:textId="77777777" w:rsidR="00AF5BF9" w:rsidRPr="00A136F2" w:rsidRDefault="00AF5BF9" w:rsidP="003D0A8D">
            <w:pPr>
              <w:adjustRightInd w:val="0"/>
              <w:snapToGrid w:val="0"/>
              <w:jc w:val="right"/>
              <w:rPr>
                <w:rFonts w:ascii="Times New Roman" w:hAnsi="Times New Roman"/>
                <w:szCs w:val="21"/>
              </w:rPr>
            </w:pPr>
            <w:r w:rsidRPr="00A136F2">
              <w:rPr>
                <w:rFonts w:ascii="Times New Roman" w:hAnsi="Times New Roman"/>
                <w:szCs w:val="21"/>
              </w:rPr>
              <w:t>0.079</w:t>
            </w:r>
          </w:p>
        </w:tc>
      </w:tr>
    </w:tbl>
    <w:p w14:paraId="1F344F8B" w14:textId="60C1E81E" w:rsidR="005E77E3" w:rsidRPr="00A136F2" w:rsidRDefault="005E77E3" w:rsidP="00744E86">
      <w:pPr>
        <w:spacing w:line="480" w:lineRule="auto"/>
        <w:rPr>
          <w:sz w:val="24"/>
          <w:szCs w:val="24"/>
        </w:rPr>
      </w:pPr>
      <w:r w:rsidRPr="00A136F2">
        <w:rPr>
          <w:sz w:val="24"/>
          <w:szCs w:val="24"/>
        </w:rPr>
        <w:br w:type="page"/>
      </w:r>
    </w:p>
    <w:p w14:paraId="59DE4D6F" w14:textId="106A6667" w:rsidR="00AF4EEC" w:rsidRPr="008B6D57" w:rsidRDefault="008B6D57" w:rsidP="00E141DF">
      <w:pPr>
        <w:spacing w:line="480" w:lineRule="auto"/>
        <w:rPr>
          <w:sz w:val="24"/>
          <w:szCs w:val="24"/>
        </w:rPr>
      </w:pPr>
      <w:r>
        <w:rPr>
          <w:sz w:val="24"/>
          <w:szCs w:val="24"/>
        </w:rPr>
        <w:lastRenderedPageBreak/>
        <w:t xml:space="preserve">Supplemental </w:t>
      </w:r>
      <w:r w:rsidR="00AF4EEC" w:rsidRPr="008B6D57">
        <w:rPr>
          <w:rFonts w:hint="eastAsia"/>
          <w:sz w:val="24"/>
          <w:szCs w:val="24"/>
        </w:rPr>
        <w:t>F</w:t>
      </w:r>
      <w:r w:rsidR="00AF4EEC" w:rsidRPr="008B6D57">
        <w:rPr>
          <w:sz w:val="24"/>
          <w:szCs w:val="24"/>
        </w:rPr>
        <w:t>igure 1</w:t>
      </w:r>
      <w:r w:rsidR="001D6759">
        <w:rPr>
          <w:sz w:val="24"/>
          <w:szCs w:val="24"/>
        </w:rPr>
        <w:t>.</w:t>
      </w:r>
      <w:r w:rsidR="00FD7205" w:rsidRPr="008B6D57">
        <w:rPr>
          <w:sz w:val="24"/>
          <w:szCs w:val="24"/>
        </w:rPr>
        <w:t xml:space="preserve"> Flowchart of the image processing and RIMs measurement processes.</w:t>
      </w:r>
    </w:p>
    <w:p w14:paraId="00730CC3" w14:textId="63BE79D5" w:rsidR="005F7F99" w:rsidRDefault="007C6168" w:rsidP="00E141DF">
      <w:pPr>
        <w:spacing w:line="480" w:lineRule="auto"/>
        <w:rPr>
          <w:sz w:val="24"/>
          <w:szCs w:val="24"/>
        </w:rPr>
      </w:pPr>
      <w:r w:rsidRPr="007C6168">
        <w:rPr>
          <w:noProof/>
          <w:sz w:val="24"/>
          <w:szCs w:val="24"/>
        </w:rPr>
        <w:drawing>
          <wp:inline distT="0" distB="0" distL="0" distR="0" wp14:anchorId="2885C441" wp14:editId="2FDFFE4A">
            <wp:extent cx="5274310" cy="2314772"/>
            <wp:effectExtent l="0" t="0" r="2540" b="9525"/>
            <wp:docPr id="3" name="图片 3" descr="D:\1Writing\2019a-ACR\2019a-AVRvsNephropathyACR-v14\1Manuscript\FiguresAndTables\Figure1-flowchart\Figure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Writing\2019a-ACR\2019a-AVRvsNephropathyACR-v14\1Manuscript\FiguresAndTables\Figure1-flowchart\Figure1-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314772"/>
                    </a:xfrm>
                    <a:prstGeom prst="rect">
                      <a:avLst/>
                    </a:prstGeom>
                    <a:noFill/>
                    <a:ln>
                      <a:noFill/>
                    </a:ln>
                  </pic:spPr>
                </pic:pic>
              </a:graphicData>
            </a:graphic>
          </wp:inline>
        </w:drawing>
      </w:r>
    </w:p>
    <w:p w14:paraId="19740CDA" w14:textId="77777777" w:rsidR="005F7F99" w:rsidRDefault="005F7F99">
      <w:pPr>
        <w:widowControl/>
        <w:jc w:val="left"/>
        <w:rPr>
          <w:sz w:val="24"/>
          <w:szCs w:val="24"/>
        </w:rPr>
      </w:pPr>
      <w:r>
        <w:rPr>
          <w:sz w:val="24"/>
          <w:szCs w:val="24"/>
        </w:rPr>
        <w:br w:type="page"/>
      </w:r>
    </w:p>
    <w:p w14:paraId="638169BA" w14:textId="77777777" w:rsidR="007C6168" w:rsidRPr="007C6168" w:rsidRDefault="004E76B0" w:rsidP="007C6168">
      <w:pPr>
        <w:pStyle w:val="EndNoteBibliography"/>
        <w:ind w:left="720" w:hanging="720"/>
      </w:pPr>
      <w:r>
        <w:rPr>
          <w:sz w:val="24"/>
          <w:szCs w:val="24"/>
        </w:rPr>
        <w:lastRenderedPageBreak/>
        <w:fldChar w:fldCharType="begin"/>
      </w:r>
      <w:r>
        <w:rPr>
          <w:sz w:val="24"/>
          <w:szCs w:val="24"/>
        </w:rPr>
        <w:instrText xml:space="preserve"> ADDIN EN.REFLIST </w:instrText>
      </w:r>
      <w:r>
        <w:rPr>
          <w:sz w:val="24"/>
          <w:szCs w:val="24"/>
        </w:rPr>
        <w:fldChar w:fldCharType="separate"/>
      </w:r>
      <w:bookmarkStart w:id="14" w:name="_ENREF_1"/>
      <w:r w:rsidR="007C6168" w:rsidRPr="007C6168">
        <w:t>1.</w:t>
      </w:r>
      <w:r w:rsidR="007C6168" w:rsidRPr="007C6168">
        <w:tab/>
        <w:t xml:space="preserve">Xu, X., et al., </w:t>
      </w:r>
      <w:r w:rsidR="007C6168" w:rsidRPr="007C6168">
        <w:rPr>
          <w:i/>
        </w:rPr>
        <w:t>Simultaneous arteriole and venule segmentation with domain-specific loss function on a new public database.</w:t>
      </w:r>
      <w:r w:rsidR="007C6168" w:rsidRPr="007C6168">
        <w:t xml:space="preserve"> Biomedical optics express, 2018. </w:t>
      </w:r>
      <w:r w:rsidR="007C6168" w:rsidRPr="007C6168">
        <w:rPr>
          <w:b/>
        </w:rPr>
        <w:t>9</w:t>
      </w:r>
      <w:r w:rsidR="007C6168" w:rsidRPr="007C6168">
        <w:t>(7): p. 3153-3166.</w:t>
      </w:r>
      <w:bookmarkEnd w:id="14"/>
    </w:p>
    <w:p w14:paraId="2A215663" w14:textId="77777777" w:rsidR="007C6168" w:rsidRPr="007C6168" w:rsidRDefault="007C6168" w:rsidP="007C6168">
      <w:pPr>
        <w:pStyle w:val="EndNoteBibliography"/>
        <w:ind w:left="720" w:hanging="720"/>
      </w:pPr>
      <w:bookmarkStart w:id="15" w:name="_ENREF_2"/>
      <w:r w:rsidRPr="007C6168">
        <w:t>2.</w:t>
      </w:r>
      <w:r w:rsidRPr="007C6168">
        <w:tab/>
        <w:t xml:space="preserve">Xu, X., et al., </w:t>
      </w:r>
      <w:r w:rsidRPr="007C6168">
        <w:rPr>
          <w:i/>
        </w:rPr>
        <w:t>Vessel Boundary Delineation On Fundus Images Using Graph-Based Approach.</w:t>
      </w:r>
      <w:r w:rsidRPr="007C6168">
        <w:t xml:space="preserve"> Medical Imaging, IEEE Transactions on, 2011. </w:t>
      </w:r>
      <w:r w:rsidRPr="007C6168">
        <w:rPr>
          <w:b/>
        </w:rPr>
        <w:t>30</w:t>
      </w:r>
      <w:r w:rsidRPr="007C6168">
        <w:t>(6): p. 1184-1191.</w:t>
      </w:r>
      <w:bookmarkEnd w:id="15"/>
    </w:p>
    <w:p w14:paraId="6A632F11" w14:textId="77777777" w:rsidR="007C6168" w:rsidRPr="007C6168" w:rsidRDefault="007C6168" w:rsidP="007C6168">
      <w:pPr>
        <w:pStyle w:val="EndNoteBibliography"/>
        <w:ind w:left="720" w:hanging="720"/>
      </w:pPr>
      <w:bookmarkStart w:id="16" w:name="_ENREF_3"/>
      <w:r w:rsidRPr="007C6168">
        <w:t>3.</w:t>
      </w:r>
      <w:r w:rsidRPr="007C6168">
        <w:tab/>
        <w:t xml:space="preserve">Stosic, T. and B.D. Stosic, </w:t>
      </w:r>
      <w:r w:rsidRPr="007C6168">
        <w:rPr>
          <w:i/>
        </w:rPr>
        <w:t>Multifractal analysis of human retinal vessels.</w:t>
      </w:r>
      <w:r w:rsidRPr="007C6168">
        <w:t xml:space="preserve"> IEEE Transactions on Medical Imaging, 2006. </w:t>
      </w:r>
      <w:r w:rsidRPr="007C6168">
        <w:rPr>
          <w:b/>
        </w:rPr>
        <w:t>25</w:t>
      </w:r>
      <w:r w:rsidRPr="007C6168">
        <w:t>(8): p. 1101-1107.</w:t>
      </w:r>
      <w:bookmarkEnd w:id="16"/>
    </w:p>
    <w:p w14:paraId="696B2915" w14:textId="77777777" w:rsidR="007C6168" w:rsidRPr="007C6168" w:rsidRDefault="007C6168" w:rsidP="007C6168">
      <w:pPr>
        <w:pStyle w:val="EndNoteBibliography"/>
        <w:ind w:left="720" w:hanging="720"/>
      </w:pPr>
      <w:bookmarkStart w:id="17" w:name="_ENREF_4"/>
      <w:r w:rsidRPr="007C6168">
        <w:t>4.</w:t>
      </w:r>
      <w:r w:rsidRPr="007C6168">
        <w:tab/>
        <w:t xml:space="preserve">Hart, W.E., et al., </w:t>
      </w:r>
      <w:r w:rsidRPr="007C6168">
        <w:rPr>
          <w:i/>
        </w:rPr>
        <w:t>Measurement and classification of retinal vascular tortuosity.</w:t>
      </w:r>
      <w:r w:rsidRPr="007C6168">
        <w:t xml:space="preserve"> International Journal of Medical Informatics, 1999. </w:t>
      </w:r>
      <w:r w:rsidRPr="007C6168">
        <w:rPr>
          <w:b/>
        </w:rPr>
        <w:t>53</w:t>
      </w:r>
      <w:r w:rsidRPr="007C6168">
        <w:t>(2-3): p. 239-252.</w:t>
      </w:r>
      <w:bookmarkEnd w:id="17"/>
    </w:p>
    <w:p w14:paraId="7A17614E" w14:textId="2E9CAD6B" w:rsidR="005E77E3" w:rsidRPr="005E77E3" w:rsidRDefault="004E76B0" w:rsidP="00E141DF">
      <w:pPr>
        <w:spacing w:line="480" w:lineRule="auto"/>
        <w:rPr>
          <w:sz w:val="24"/>
          <w:szCs w:val="24"/>
        </w:rPr>
      </w:pPr>
      <w:r>
        <w:rPr>
          <w:sz w:val="24"/>
          <w:szCs w:val="24"/>
        </w:rPr>
        <w:fldChar w:fldCharType="end"/>
      </w:r>
    </w:p>
    <w:sectPr w:rsidR="005E77E3" w:rsidRPr="005E77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6D367" w14:textId="77777777" w:rsidR="00C36B5E" w:rsidRDefault="00C36B5E" w:rsidP="00454E43">
      <w:r>
        <w:separator/>
      </w:r>
    </w:p>
  </w:endnote>
  <w:endnote w:type="continuationSeparator" w:id="0">
    <w:p w14:paraId="76D6ACBE" w14:textId="77777777" w:rsidR="00C36B5E" w:rsidRDefault="00C36B5E" w:rsidP="00454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0E710" w14:textId="77777777" w:rsidR="00C36B5E" w:rsidRDefault="00C36B5E" w:rsidP="00454E43">
      <w:r>
        <w:separator/>
      </w:r>
    </w:p>
  </w:footnote>
  <w:footnote w:type="continuationSeparator" w:id="0">
    <w:p w14:paraId="2E6F939E" w14:textId="77777777" w:rsidR="00C36B5E" w:rsidRDefault="00C36B5E" w:rsidP="00454E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233A0"/>
    <w:multiLevelType w:val="hybridMultilevel"/>
    <w:tmpl w:val="9044162A"/>
    <w:lvl w:ilvl="0" w:tplc="3A5C3A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9EE1A8A"/>
    <w:multiLevelType w:val="hybridMultilevel"/>
    <w:tmpl w:val="AD4CCE1E"/>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51B36A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A25CC8"/>
    <w:rsid w:val="00042EC0"/>
    <w:rsid w:val="000A7889"/>
    <w:rsid w:val="000B2BDD"/>
    <w:rsid w:val="000E605E"/>
    <w:rsid w:val="00153A47"/>
    <w:rsid w:val="00170B47"/>
    <w:rsid w:val="001721D7"/>
    <w:rsid w:val="001A7D70"/>
    <w:rsid w:val="001D6759"/>
    <w:rsid w:val="001F5DE7"/>
    <w:rsid w:val="00393EEC"/>
    <w:rsid w:val="00454E43"/>
    <w:rsid w:val="004C02A1"/>
    <w:rsid w:val="004E76B0"/>
    <w:rsid w:val="00550043"/>
    <w:rsid w:val="005D6D55"/>
    <w:rsid w:val="005E77E3"/>
    <w:rsid w:val="005F7F99"/>
    <w:rsid w:val="006153F7"/>
    <w:rsid w:val="00615CA6"/>
    <w:rsid w:val="00621453"/>
    <w:rsid w:val="006B4A64"/>
    <w:rsid w:val="006C45F2"/>
    <w:rsid w:val="007127B3"/>
    <w:rsid w:val="00744E86"/>
    <w:rsid w:val="00787C3E"/>
    <w:rsid w:val="007B0509"/>
    <w:rsid w:val="007C30B5"/>
    <w:rsid w:val="007C6168"/>
    <w:rsid w:val="0086196F"/>
    <w:rsid w:val="008733B7"/>
    <w:rsid w:val="008B6D57"/>
    <w:rsid w:val="008D0346"/>
    <w:rsid w:val="008D2249"/>
    <w:rsid w:val="009B2EE3"/>
    <w:rsid w:val="009F3D83"/>
    <w:rsid w:val="00A136F2"/>
    <w:rsid w:val="00A232A3"/>
    <w:rsid w:val="00A25CC8"/>
    <w:rsid w:val="00A41615"/>
    <w:rsid w:val="00A9228F"/>
    <w:rsid w:val="00AB33EE"/>
    <w:rsid w:val="00AC0276"/>
    <w:rsid w:val="00AC3E49"/>
    <w:rsid w:val="00AF4EEC"/>
    <w:rsid w:val="00AF5BF9"/>
    <w:rsid w:val="00B33463"/>
    <w:rsid w:val="00B42736"/>
    <w:rsid w:val="00C36B5E"/>
    <w:rsid w:val="00CD10A3"/>
    <w:rsid w:val="00D05DBA"/>
    <w:rsid w:val="00D1566A"/>
    <w:rsid w:val="00D325FB"/>
    <w:rsid w:val="00E141DF"/>
    <w:rsid w:val="00E17806"/>
    <w:rsid w:val="00E45162"/>
    <w:rsid w:val="00E94AAA"/>
    <w:rsid w:val="00EB0679"/>
    <w:rsid w:val="00EB319A"/>
    <w:rsid w:val="00EB531B"/>
    <w:rsid w:val="00F06B3C"/>
    <w:rsid w:val="00F65358"/>
    <w:rsid w:val="00F827BD"/>
    <w:rsid w:val="00F93FF5"/>
    <w:rsid w:val="00FD37FF"/>
    <w:rsid w:val="00FD7205"/>
    <w:rsid w:val="00FF2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3EE63"/>
  <w15:chartTrackingRefBased/>
  <w15:docId w15:val="{C58C4F2E-2B50-4D1D-8A4C-AAD53D78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54E4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54E43"/>
    <w:rPr>
      <w:sz w:val="18"/>
      <w:szCs w:val="18"/>
    </w:rPr>
  </w:style>
  <w:style w:type="paragraph" w:styleId="a4">
    <w:name w:val="footer"/>
    <w:basedOn w:val="a"/>
    <w:link w:val="Char0"/>
    <w:uiPriority w:val="99"/>
    <w:unhideWhenUsed/>
    <w:rsid w:val="00454E43"/>
    <w:pPr>
      <w:tabs>
        <w:tab w:val="center" w:pos="4153"/>
        <w:tab w:val="right" w:pos="8306"/>
      </w:tabs>
      <w:snapToGrid w:val="0"/>
      <w:jc w:val="left"/>
    </w:pPr>
    <w:rPr>
      <w:sz w:val="18"/>
      <w:szCs w:val="18"/>
    </w:rPr>
  </w:style>
  <w:style w:type="character" w:customStyle="1" w:styleId="Char0">
    <w:name w:val="页脚 Char"/>
    <w:basedOn w:val="a0"/>
    <w:link w:val="a4"/>
    <w:uiPriority w:val="99"/>
    <w:rsid w:val="00454E43"/>
    <w:rPr>
      <w:sz w:val="18"/>
      <w:szCs w:val="18"/>
    </w:rPr>
  </w:style>
  <w:style w:type="paragraph" w:styleId="a5">
    <w:name w:val="List Paragraph"/>
    <w:basedOn w:val="a"/>
    <w:uiPriority w:val="34"/>
    <w:qFormat/>
    <w:rsid w:val="001F5DE7"/>
    <w:pPr>
      <w:ind w:firstLineChars="200" w:firstLine="420"/>
    </w:pPr>
  </w:style>
  <w:style w:type="paragraph" w:customStyle="1" w:styleId="EndNoteBibliographyTitle">
    <w:name w:val="EndNote Bibliography Title"/>
    <w:basedOn w:val="a"/>
    <w:link w:val="EndNoteBibliographyTitle0"/>
    <w:rsid w:val="004E76B0"/>
    <w:pPr>
      <w:jc w:val="center"/>
    </w:pPr>
    <w:rPr>
      <w:rFonts w:ascii="Times New Roman" w:hAnsi="Times New Roman" w:cs="Times New Roman"/>
      <w:noProof/>
      <w:sz w:val="20"/>
    </w:rPr>
  </w:style>
  <w:style w:type="character" w:customStyle="1" w:styleId="EndNoteBibliographyTitle0">
    <w:name w:val="EndNote Bibliography Title 字符"/>
    <w:basedOn w:val="a0"/>
    <w:link w:val="EndNoteBibliographyTitle"/>
    <w:rsid w:val="004E76B0"/>
    <w:rPr>
      <w:rFonts w:ascii="Times New Roman" w:hAnsi="Times New Roman" w:cs="Times New Roman"/>
      <w:noProof/>
      <w:sz w:val="20"/>
    </w:rPr>
  </w:style>
  <w:style w:type="paragraph" w:customStyle="1" w:styleId="EndNoteBibliography">
    <w:name w:val="EndNote Bibliography"/>
    <w:basedOn w:val="a"/>
    <w:link w:val="EndNoteBibliography0"/>
    <w:rsid w:val="004E76B0"/>
    <w:rPr>
      <w:rFonts w:ascii="Times New Roman" w:hAnsi="Times New Roman" w:cs="Times New Roman"/>
      <w:noProof/>
      <w:sz w:val="20"/>
    </w:rPr>
  </w:style>
  <w:style w:type="character" w:customStyle="1" w:styleId="EndNoteBibliography0">
    <w:name w:val="EndNote Bibliography 字符"/>
    <w:basedOn w:val="a0"/>
    <w:link w:val="EndNoteBibliography"/>
    <w:rsid w:val="004E76B0"/>
    <w:rPr>
      <w:rFonts w:ascii="Times New Roman" w:hAnsi="Times New Roman" w:cs="Times New Roman"/>
      <w:noProof/>
      <w:sz w:val="20"/>
    </w:rPr>
  </w:style>
  <w:style w:type="character" w:styleId="a6">
    <w:name w:val="Hyperlink"/>
    <w:basedOn w:val="a0"/>
    <w:uiPriority w:val="99"/>
    <w:unhideWhenUsed/>
    <w:rsid w:val="004E76B0"/>
    <w:rPr>
      <w:color w:val="0563C1" w:themeColor="hyperlink"/>
      <w:u w:val="single"/>
    </w:rPr>
  </w:style>
  <w:style w:type="character" w:customStyle="1" w:styleId="UnresolvedMention">
    <w:name w:val="Unresolved Mention"/>
    <w:basedOn w:val="a0"/>
    <w:uiPriority w:val="99"/>
    <w:semiHidden/>
    <w:unhideWhenUsed/>
    <w:rsid w:val="004E76B0"/>
    <w:rPr>
      <w:color w:val="605E5C"/>
      <w:shd w:val="clear" w:color="auto" w:fill="E1DFDD"/>
    </w:rPr>
  </w:style>
  <w:style w:type="paragraph" w:customStyle="1" w:styleId="ExpressBodyFirstParagraph">
    <w:name w:val="Express Body First Paragraph"/>
    <w:basedOn w:val="a"/>
    <w:qFormat/>
    <w:rsid w:val="00AC0276"/>
    <w:pPr>
      <w:widowControl/>
      <w:spacing w:before="120"/>
    </w:pPr>
    <w:rPr>
      <w:rFonts w:ascii="Times New Roman" w:hAnsi="Times New Roman"/>
      <w:color w:val="000000" w:themeColor="text1"/>
      <w:kern w:val="0"/>
      <w:sz w:val="20"/>
      <w:lang w:eastAsia="en-US"/>
    </w:rPr>
  </w:style>
  <w:style w:type="table" w:styleId="a7">
    <w:name w:val="Table Grid"/>
    <w:basedOn w:val="a1"/>
    <w:uiPriority w:val="39"/>
    <w:rsid w:val="000E605E"/>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07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定义 3">
      <a:majorFont>
        <a:latin typeface="Times New Roman"/>
        <a:ea typeface="等线 Light"/>
        <a:cs typeface=""/>
      </a:majorFont>
      <a:minorFont>
        <a:latin typeface="Times New Roman"/>
        <a:ea typeface="等线"/>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1995</Words>
  <Characters>11377</Characters>
  <Application>Microsoft Office Word</Application>
  <DocSecurity>0</DocSecurity>
  <Lines>94</Lines>
  <Paragraphs>26</Paragraphs>
  <ScaleCrop>false</ScaleCrop>
  <Company/>
  <LinksUpToDate>false</LinksUpToDate>
  <CharactersWithSpaces>13346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XiayuXu</dc:creator>
  <cp:keywords/>
  <dc:description/>
  <cp:lastModifiedBy>Sun Fei</cp:lastModifiedBy>
  <cp:revision>3</cp:revision>
  <dcterms:created xsi:type="dcterms:W3CDTF">2020-05-28T01:33:00Z</dcterms:created>
  <dcterms:modified xsi:type="dcterms:W3CDTF">2020-05-28T02:03:00Z</dcterms:modified>
</cp:coreProperties>
</file>