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3A" w:rsidRDefault="00421F3A" w:rsidP="00421F3A">
      <w:pPr>
        <w:pStyle w:val="Body"/>
        <w:rPr>
          <w:color w:val="0075B9"/>
        </w:rPr>
      </w:pPr>
    </w:p>
    <w:p w:rsidR="00421F3A" w:rsidRDefault="00421F3A" w:rsidP="00421F3A">
      <w:pPr>
        <w:pStyle w:val="Body"/>
        <w:spacing w:line="240" w:lineRule="auto"/>
      </w:pPr>
      <w:proofErr w:type="gramStart"/>
      <w:r>
        <w:rPr>
          <w:b/>
          <w:bCs/>
          <w:sz w:val="20"/>
          <w:szCs w:val="20"/>
          <w:lang w:val="en-US"/>
        </w:rPr>
        <w:t>Supplemental Table 1.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CITE-</w:t>
      </w:r>
      <w:proofErr w:type="spellStart"/>
      <w:r>
        <w:rPr>
          <w:sz w:val="20"/>
          <w:szCs w:val="20"/>
          <w:lang w:val="en-US"/>
        </w:rPr>
        <w:t>Seq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utilises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oligonucleotide</w:t>
      </w:r>
      <w:proofErr w:type="spellEnd"/>
      <w:r>
        <w:rPr>
          <w:sz w:val="20"/>
          <w:szCs w:val="20"/>
          <w:lang w:val="en-US"/>
        </w:rPr>
        <w:t xml:space="preserve"> barcodes conjugated to monoclonal antibodies against cell surface proteins. Fifteen candidate cell surface proteins were targeted. A further eight hashing antibodies, that </w:t>
      </w:r>
      <w:proofErr w:type="spellStart"/>
      <w:r>
        <w:rPr>
          <w:sz w:val="20"/>
          <w:szCs w:val="20"/>
          <w:lang w:val="en-US"/>
        </w:rPr>
        <w:t>recognise</w:t>
      </w:r>
      <w:proofErr w:type="spellEnd"/>
      <w:r>
        <w:rPr>
          <w:sz w:val="20"/>
          <w:szCs w:val="20"/>
          <w:lang w:val="en-US"/>
        </w:rPr>
        <w:t xml:space="preserve"> ubiquitous surface proteins, were exploited to identify cells from one of eight different tendon samples run on a single lane of sequencing.</w:t>
      </w:r>
    </w:p>
    <w:p w:rsidR="00B22E7C" w:rsidRDefault="00B22E7C" w:rsidP="00421F3A">
      <w:pPr>
        <w:pStyle w:val="Body"/>
        <w:spacing w:line="240" w:lineRule="auto"/>
        <w:rPr>
          <w:color w:val="0075B9"/>
        </w:rPr>
      </w:pPr>
    </w:p>
    <w:p w:rsidR="00421F3A" w:rsidRDefault="00421F3A" w:rsidP="00421F3A">
      <w:pPr>
        <w:pStyle w:val="Body"/>
        <w:spacing w:line="240" w:lineRule="auto"/>
      </w:pPr>
      <w:proofErr w:type="gramStart"/>
      <w:r>
        <w:rPr>
          <w:b/>
          <w:bCs/>
          <w:sz w:val="20"/>
          <w:szCs w:val="20"/>
          <w:lang w:val="en-US"/>
        </w:rPr>
        <w:t>Supplemental Table 2.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Cells were obtained from three main sources; ex vivo healthy human tendon, ex vivo diseased tendon and cells cultures to passage 1 (two healthy and one diseased tendon). A total of 11,970 cells were </w:t>
      </w:r>
      <w:proofErr w:type="spellStart"/>
      <w:r>
        <w:rPr>
          <w:sz w:val="20"/>
          <w:szCs w:val="20"/>
          <w:lang w:val="en-US"/>
        </w:rPr>
        <w:t>analysed</w:t>
      </w:r>
      <w:proofErr w:type="spellEnd"/>
      <w:r>
        <w:rPr>
          <w:sz w:val="20"/>
          <w:szCs w:val="20"/>
          <w:lang w:val="en-US"/>
        </w:rPr>
        <w:t xml:space="preserve"> using Seurat V3 post quality control. The right hand table quantifies the distribution of the integrated ex vivo data set across the clusters. </w:t>
      </w:r>
    </w:p>
    <w:p w:rsidR="00B22E7C" w:rsidRDefault="00B22E7C" w:rsidP="00421F3A">
      <w:pPr>
        <w:pStyle w:val="Body"/>
        <w:spacing w:line="240" w:lineRule="auto"/>
        <w:rPr>
          <w:b/>
          <w:bCs/>
          <w:sz w:val="20"/>
          <w:szCs w:val="20"/>
          <w:lang w:val="en-US"/>
        </w:rPr>
      </w:pPr>
    </w:p>
    <w:p w:rsidR="00421F3A" w:rsidRDefault="00421F3A" w:rsidP="00421F3A">
      <w:pPr>
        <w:pStyle w:val="Body"/>
        <w:spacing w:line="240" w:lineRule="auto"/>
      </w:pPr>
      <w:proofErr w:type="gramStart"/>
      <w:r>
        <w:rPr>
          <w:b/>
          <w:bCs/>
          <w:sz w:val="20"/>
          <w:szCs w:val="20"/>
          <w:lang w:val="en-US"/>
        </w:rPr>
        <w:t>Supplemental Table 3.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Table listing the t</w:t>
      </w:r>
      <w:r>
        <w:rPr>
          <w:sz w:val="20"/>
          <w:szCs w:val="20"/>
          <w:lang w:val="nl-NL"/>
        </w:rPr>
        <w:t xml:space="preserve">op </w:t>
      </w:r>
      <w:r>
        <w:rPr>
          <w:sz w:val="20"/>
          <w:szCs w:val="20"/>
          <w:lang w:val="en-US"/>
        </w:rPr>
        <w:t>1</w:t>
      </w:r>
      <w:r>
        <w:rPr>
          <w:sz w:val="20"/>
          <w:szCs w:val="20"/>
        </w:rPr>
        <w:t xml:space="preserve">0 </w:t>
      </w:r>
      <w:r>
        <w:rPr>
          <w:sz w:val="20"/>
          <w:szCs w:val="20"/>
          <w:lang w:val="en-US"/>
        </w:rPr>
        <w:t>most discriminating g</w:t>
      </w:r>
      <w:proofErr w:type="spellStart"/>
      <w:r>
        <w:rPr>
          <w:sz w:val="20"/>
          <w:szCs w:val="20"/>
        </w:rPr>
        <w:t>enes</w:t>
      </w:r>
      <w:proofErr w:type="spellEnd"/>
      <w:r>
        <w:rPr>
          <w:sz w:val="20"/>
          <w:szCs w:val="20"/>
        </w:rPr>
        <w:t xml:space="preserve"> per </w:t>
      </w:r>
      <w:r>
        <w:rPr>
          <w:sz w:val="20"/>
          <w:szCs w:val="20"/>
          <w:lang w:val="en-US"/>
        </w:rPr>
        <w:t>c</w:t>
      </w:r>
      <w:proofErr w:type="spellStart"/>
      <w:r>
        <w:rPr>
          <w:sz w:val="20"/>
          <w:szCs w:val="20"/>
        </w:rPr>
        <w:t>luster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identified by </w:t>
      </w:r>
      <w:proofErr w:type="spellStart"/>
      <w:r>
        <w:rPr>
          <w:sz w:val="20"/>
          <w:szCs w:val="20"/>
          <w:lang w:val="en-US"/>
        </w:rPr>
        <w:t>scRNA-</w:t>
      </w:r>
      <w:proofErr w:type="gramStart"/>
      <w:r>
        <w:rPr>
          <w:sz w:val="20"/>
          <w:szCs w:val="20"/>
          <w:lang w:val="en-US"/>
        </w:rPr>
        <w:t>seq</w:t>
      </w:r>
      <w:proofErr w:type="spellEnd"/>
      <w:r>
        <w:rPr>
          <w:sz w:val="20"/>
          <w:szCs w:val="20"/>
          <w:lang w:val="en-US"/>
        </w:rPr>
        <w:t xml:space="preserve">  for</w:t>
      </w:r>
      <w:proofErr w:type="gramEnd"/>
      <w:r>
        <w:rPr>
          <w:sz w:val="20"/>
          <w:szCs w:val="20"/>
          <w:lang w:val="en-US"/>
        </w:rPr>
        <w:t xml:space="preserve"> clusters </w:t>
      </w:r>
      <w:proofErr w:type="spellStart"/>
      <w:r>
        <w:rPr>
          <w:sz w:val="20"/>
          <w:szCs w:val="20"/>
          <w:lang w:val="en-US"/>
        </w:rPr>
        <w:t>Tenocyte</w:t>
      </w:r>
      <w:proofErr w:type="spellEnd"/>
      <w:r>
        <w:rPr>
          <w:sz w:val="20"/>
          <w:szCs w:val="20"/>
          <w:lang w:val="en-US"/>
        </w:rPr>
        <w:t xml:space="preserve"> A-E. </w:t>
      </w:r>
    </w:p>
    <w:p w:rsidR="00421F3A" w:rsidRDefault="00421F3A" w:rsidP="00421F3A">
      <w:pPr>
        <w:pStyle w:val="Body"/>
        <w:rPr>
          <w:color w:val="0075B9"/>
        </w:rPr>
      </w:pPr>
    </w:p>
    <w:p w:rsidR="00421F3A" w:rsidRDefault="00421F3A" w:rsidP="00421F3A">
      <w:pPr>
        <w:pStyle w:val="Body"/>
        <w:spacing w:line="240" w:lineRule="auto"/>
      </w:pPr>
      <w:proofErr w:type="gramStart"/>
      <w:r>
        <w:rPr>
          <w:b/>
          <w:bCs/>
          <w:sz w:val="20"/>
          <w:szCs w:val="20"/>
          <w:lang w:val="en-US"/>
        </w:rPr>
        <w:t>Supplemental Table 4.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The average gene expression was compared for diseased and healthy cells for each cluster. The 20 genes with the greatest fold change in expression level for diseased compared </w:t>
      </w:r>
      <w:proofErr w:type="gramStart"/>
      <w:r>
        <w:rPr>
          <w:sz w:val="20"/>
          <w:szCs w:val="20"/>
          <w:lang w:val="en-US"/>
        </w:rPr>
        <w:t>to  healthy</w:t>
      </w:r>
      <w:proofErr w:type="gramEnd"/>
      <w:r>
        <w:rPr>
          <w:sz w:val="20"/>
          <w:szCs w:val="20"/>
          <w:lang w:val="en-US"/>
        </w:rPr>
        <w:t xml:space="preserve"> cells (black) and healthy versus diseased cells (blue) are listed in summary.</w:t>
      </w:r>
    </w:p>
    <w:p w:rsidR="00421F3A" w:rsidRDefault="00421F3A" w:rsidP="00421F3A">
      <w:pPr>
        <w:pStyle w:val="Body"/>
        <w:rPr>
          <w:color w:val="0075B9"/>
        </w:rPr>
      </w:pPr>
    </w:p>
    <w:p w:rsidR="00421F3A" w:rsidRDefault="00421F3A" w:rsidP="00421F3A">
      <w:pPr>
        <w:pStyle w:val="Body"/>
      </w:pPr>
    </w:p>
    <w:p w:rsidR="00C756B6" w:rsidRPr="00421F3A" w:rsidRDefault="00C756B6" w:rsidP="00421F3A"/>
    <w:sectPr w:rsidR="00C756B6" w:rsidRPr="00421F3A" w:rsidSect="00C756B6">
      <w:footerReference w:type="default" r:id="rId4"/>
      <w:pgSz w:w="11906" w:h="16838"/>
      <w:pgMar w:top="1134" w:right="1134" w:bottom="1134" w:left="1134" w:header="709" w:footer="85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6B6" w:rsidRDefault="007E51A1">
    <w:pPr>
      <w:pStyle w:val="HeaderFooter"/>
      <w:tabs>
        <w:tab w:val="clear" w:pos="9020"/>
        <w:tab w:val="center" w:pos="4819"/>
        <w:tab w:val="right" w:pos="9638"/>
      </w:tabs>
    </w:pPr>
    <w:r>
      <w:tab/>
    </w:r>
    <w:r>
      <w:tab/>
    </w:r>
    <w:r w:rsidR="00D53E1B">
      <w:fldChar w:fldCharType="begin"/>
    </w:r>
    <w:r>
      <w:instrText xml:space="preserve"> PAGE </w:instrText>
    </w:r>
    <w:r w:rsidR="00D53E1B">
      <w:fldChar w:fldCharType="separate"/>
    </w:r>
    <w:r w:rsidR="00B22E7C">
      <w:rPr>
        <w:noProof/>
      </w:rPr>
      <w:t>1</w:t>
    </w:r>
    <w:r w:rsidR="00D53E1B"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formatting="0"/>
  <w:doNotTrackMoves/>
  <w:defaultTabStop w:val="720"/>
  <w:characterSpacingControl w:val="doNotCompress"/>
  <w:hdrShapeDefaults>
    <o:shapedefaults v:ext="edit" spidmax="2050"/>
  </w:hdrShapeDefaults>
  <w:compat/>
  <w:rsids>
    <w:rsidRoot w:val="00C756B6"/>
    <w:rsid w:val="00011775"/>
    <w:rsid w:val="001D4D3C"/>
    <w:rsid w:val="00391A74"/>
    <w:rsid w:val="003C77C0"/>
    <w:rsid w:val="00421F3A"/>
    <w:rsid w:val="006B2EBC"/>
    <w:rsid w:val="007E0519"/>
    <w:rsid w:val="007E51A1"/>
    <w:rsid w:val="00B22E7C"/>
    <w:rsid w:val="00C756B6"/>
    <w:rsid w:val="00D53E1B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56B6"/>
    <w:rPr>
      <w:sz w:val="24"/>
      <w:szCs w:val="24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C756B6"/>
    <w:rPr>
      <w:u w:val="single"/>
    </w:rPr>
  </w:style>
  <w:style w:type="paragraph" w:customStyle="1" w:styleId="Body">
    <w:name w:val="Body"/>
    <w:rsid w:val="00C756B6"/>
    <w:pPr>
      <w:spacing w:line="360" w:lineRule="auto"/>
      <w:jc w:val="both"/>
    </w:pPr>
    <w:rPr>
      <w:rFonts w:ascii="Helvetica" w:hAnsi="Helvetica" w:cs="Arial Unicode MS"/>
      <w:color w:val="000000"/>
      <w:sz w:val="24"/>
      <w:szCs w:val="24"/>
    </w:rPr>
  </w:style>
  <w:style w:type="paragraph" w:customStyle="1" w:styleId="HeaderFooter">
    <w:name w:val="Header &amp; Footer"/>
    <w:rsid w:val="00C756B6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E51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51A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7E51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51A1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Macintosh Word</Application>
  <DocSecurity>0</DocSecurity>
  <Lines>8</Lines>
  <Paragraphs>1</Paragraphs>
  <ScaleCrop>false</ScaleCrop>
  <Company>SWDSOP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Kendal</dc:creator>
  <cp:lastModifiedBy>Adrian Kendal</cp:lastModifiedBy>
  <cp:revision>3</cp:revision>
  <dcterms:created xsi:type="dcterms:W3CDTF">2020-05-15T22:31:00Z</dcterms:created>
  <dcterms:modified xsi:type="dcterms:W3CDTF">2020-05-15T22:32:00Z</dcterms:modified>
</cp:coreProperties>
</file>