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A33F3E" w14:textId="30BE32EE" w:rsidR="004840E7" w:rsidRPr="00DE2860" w:rsidRDefault="00AA7BA7" w:rsidP="004840E7">
      <w:pPr>
        <w:jc w:val="center"/>
        <w:rPr>
          <w:rFonts w:ascii="Arial" w:eastAsia="Times New Roman" w:hAnsi="Arial" w:cs="Arial"/>
        </w:rPr>
      </w:pPr>
      <w:r>
        <w:rPr>
          <w:rFonts w:ascii="Arial" w:eastAsia="Times New Roman" w:hAnsi="Arial" w:cs="Arial"/>
        </w:rPr>
        <w:t>Supplementary Material</w:t>
      </w:r>
    </w:p>
    <w:p w14:paraId="76BDED36" w14:textId="77777777" w:rsidR="004840E7" w:rsidRPr="00DE2860" w:rsidRDefault="004840E7" w:rsidP="004840E7">
      <w:pPr>
        <w:jc w:val="center"/>
        <w:rPr>
          <w:rFonts w:ascii="Arial" w:eastAsia="Times New Roman" w:hAnsi="Arial" w:cs="Arial"/>
        </w:rPr>
      </w:pPr>
      <w:r w:rsidRPr="00DE2860">
        <w:rPr>
          <w:rFonts w:ascii="Arial" w:eastAsia="Times New Roman" w:hAnsi="Arial" w:cs="Arial"/>
        </w:rPr>
        <w:t>For</w:t>
      </w:r>
    </w:p>
    <w:p w14:paraId="6F421997" w14:textId="77777777" w:rsidR="004840E7" w:rsidRPr="00DE2860" w:rsidRDefault="004840E7" w:rsidP="004840E7">
      <w:pPr>
        <w:jc w:val="center"/>
        <w:rPr>
          <w:rFonts w:ascii="Arial" w:eastAsia="Times New Roman" w:hAnsi="Arial" w:cs="Arial"/>
        </w:rPr>
      </w:pPr>
    </w:p>
    <w:p w14:paraId="55DCA220" w14:textId="77777777" w:rsidR="004840E7" w:rsidRPr="00DE2860" w:rsidRDefault="004840E7" w:rsidP="004840E7">
      <w:pPr>
        <w:jc w:val="center"/>
        <w:rPr>
          <w:rFonts w:ascii="Arial" w:eastAsia="Times New Roman" w:hAnsi="Arial" w:cs="Arial"/>
        </w:rPr>
      </w:pPr>
    </w:p>
    <w:p w14:paraId="4C8D947A" w14:textId="5617C3E2" w:rsidR="00FA75E6" w:rsidRPr="00FA75E6" w:rsidRDefault="00D77A4B" w:rsidP="00FA75E6">
      <w:pPr>
        <w:spacing w:beforeAutospacing="1" w:afterAutospacing="1" w:line="480" w:lineRule="auto"/>
        <w:outlineLvl w:val="0"/>
        <w:rPr>
          <w:rFonts w:ascii="Arial" w:eastAsia="Times New Roman" w:hAnsi="Arial" w:cs="Arial"/>
          <w:b/>
          <w:color w:val="000000"/>
          <w:kern w:val="36"/>
          <w:sz w:val="28"/>
          <w:szCs w:val="28"/>
          <w:lang w:eastAsia="es-ES"/>
        </w:rPr>
      </w:pPr>
      <w:r>
        <w:rPr>
          <w:rFonts w:ascii="Arial" w:eastAsia="Times New Roman" w:hAnsi="Arial" w:cs="Arial"/>
          <w:b/>
          <w:color w:val="000000"/>
          <w:kern w:val="36"/>
          <w:sz w:val="28"/>
          <w:szCs w:val="28"/>
          <w:lang w:eastAsia="es-ES"/>
        </w:rPr>
        <w:t>S</w:t>
      </w:r>
      <w:r w:rsidR="00FA75E6" w:rsidRPr="00FA75E6">
        <w:rPr>
          <w:rFonts w:ascii="Arial" w:eastAsia="Times New Roman" w:hAnsi="Arial" w:cs="Arial"/>
          <w:b/>
          <w:color w:val="000000"/>
          <w:kern w:val="36"/>
          <w:sz w:val="28"/>
          <w:szCs w:val="28"/>
          <w:lang w:eastAsia="es-ES"/>
        </w:rPr>
        <w:t xml:space="preserve">ignatures of local adaptation in the spatial genetic structure of the ascidian </w:t>
      </w:r>
      <w:proofErr w:type="spellStart"/>
      <w:r w:rsidR="00FA75E6" w:rsidRPr="00FA75E6">
        <w:rPr>
          <w:rFonts w:ascii="Arial" w:eastAsia="Times New Roman" w:hAnsi="Arial" w:cs="Arial"/>
          <w:b/>
          <w:i/>
          <w:color w:val="000000"/>
          <w:kern w:val="36"/>
          <w:sz w:val="28"/>
          <w:szCs w:val="28"/>
          <w:lang w:eastAsia="es-ES"/>
        </w:rPr>
        <w:t>Pyura</w:t>
      </w:r>
      <w:proofErr w:type="spellEnd"/>
      <w:r w:rsidR="00FA75E6" w:rsidRPr="00FA75E6">
        <w:rPr>
          <w:rFonts w:ascii="Arial" w:eastAsia="Times New Roman" w:hAnsi="Arial" w:cs="Arial"/>
          <w:b/>
          <w:i/>
          <w:color w:val="000000"/>
          <w:kern w:val="36"/>
          <w:sz w:val="28"/>
          <w:szCs w:val="28"/>
          <w:lang w:eastAsia="es-ES"/>
        </w:rPr>
        <w:t xml:space="preserve"> </w:t>
      </w:r>
      <w:proofErr w:type="spellStart"/>
      <w:r w:rsidR="00FA75E6" w:rsidRPr="00FA75E6">
        <w:rPr>
          <w:rFonts w:ascii="Arial" w:eastAsia="Times New Roman" w:hAnsi="Arial" w:cs="Arial"/>
          <w:b/>
          <w:i/>
          <w:color w:val="000000"/>
          <w:kern w:val="36"/>
          <w:sz w:val="28"/>
          <w:szCs w:val="28"/>
          <w:lang w:eastAsia="es-ES"/>
        </w:rPr>
        <w:t>chilensis</w:t>
      </w:r>
      <w:proofErr w:type="spellEnd"/>
      <w:r w:rsidR="00FA75E6" w:rsidRPr="00FA75E6">
        <w:rPr>
          <w:rFonts w:ascii="Arial" w:eastAsia="Times New Roman" w:hAnsi="Arial" w:cs="Arial"/>
          <w:b/>
          <w:color w:val="000000"/>
          <w:kern w:val="36"/>
          <w:sz w:val="28"/>
          <w:szCs w:val="28"/>
          <w:lang w:eastAsia="es-ES"/>
        </w:rPr>
        <w:t xml:space="preserve"> along the southeast Pacific coast</w:t>
      </w:r>
    </w:p>
    <w:p w14:paraId="6E85E362" w14:textId="77777777" w:rsidR="00FA75E6" w:rsidRPr="00FA75E6" w:rsidRDefault="00FA75E6" w:rsidP="00FA75E6">
      <w:pPr>
        <w:spacing w:line="480" w:lineRule="auto"/>
        <w:outlineLvl w:val="0"/>
        <w:rPr>
          <w:rFonts w:ascii="Arial" w:eastAsia="Times New Roman" w:hAnsi="Arial" w:cs="Arial"/>
          <w:b/>
          <w:color w:val="000000"/>
          <w:kern w:val="36"/>
          <w:lang w:eastAsia="es-ES"/>
        </w:rPr>
      </w:pPr>
    </w:p>
    <w:p w14:paraId="2171295B" w14:textId="77777777" w:rsidR="00FA75E6" w:rsidRPr="00FA75E6" w:rsidRDefault="00FA75E6" w:rsidP="00FA75E6">
      <w:pPr>
        <w:spacing w:line="360" w:lineRule="auto"/>
        <w:outlineLvl w:val="0"/>
        <w:rPr>
          <w:rFonts w:ascii="Arial" w:eastAsia="Times New Roman" w:hAnsi="Arial" w:cs="Arial"/>
          <w:b/>
          <w:color w:val="000000"/>
          <w:kern w:val="36"/>
          <w:lang w:val="es-ES" w:eastAsia="es-ES"/>
        </w:rPr>
      </w:pPr>
      <w:r w:rsidRPr="00FA75E6">
        <w:rPr>
          <w:rFonts w:ascii="Arial" w:eastAsia="Times New Roman" w:hAnsi="Arial" w:cs="Arial"/>
          <w:b/>
          <w:color w:val="000000"/>
          <w:kern w:val="36"/>
          <w:lang w:val="es-ES" w:eastAsia="es-ES"/>
        </w:rPr>
        <w:t>NICOLÁS I. SEGOVIA</w:t>
      </w:r>
      <w:r w:rsidRPr="00FA75E6">
        <w:rPr>
          <w:rFonts w:ascii="Arial" w:eastAsia="Times New Roman" w:hAnsi="Arial" w:cs="Arial"/>
          <w:b/>
          <w:color w:val="000000"/>
          <w:kern w:val="36"/>
          <w:vertAlign w:val="superscript"/>
          <w:lang w:val="es-ES" w:eastAsia="es-ES"/>
        </w:rPr>
        <w:t>1</w:t>
      </w:r>
      <w:proofErr w:type="gramStart"/>
      <w:r w:rsidRPr="00FA75E6">
        <w:rPr>
          <w:rFonts w:ascii="Arial" w:eastAsia="Times New Roman" w:hAnsi="Arial" w:cs="Arial"/>
          <w:b/>
          <w:color w:val="000000"/>
          <w:kern w:val="36"/>
          <w:vertAlign w:val="superscript"/>
          <w:lang w:val="es-ES" w:eastAsia="es-ES"/>
        </w:rPr>
        <w:t>,2</w:t>
      </w:r>
      <w:proofErr w:type="gramEnd"/>
      <w:r w:rsidRPr="00FA75E6">
        <w:rPr>
          <w:rFonts w:ascii="Arial" w:eastAsia="Times New Roman" w:hAnsi="Arial" w:cs="Arial"/>
          <w:b/>
          <w:color w:val="000000"/>
          <w:kern w:val="36"/>
          <w:lang w:val="es-ES" w:eastAsia="es-ES"/>
        </w:rPr>
        <w:t>, CLAUDIO A. GONZÁLEZ-WEVAR</w:t>
      </w:r>
      <w:r w:rsidRPr="00FA75E6">
        <w:rPr>
          <w:rFonts w:ascii="Arial" w:eastAsia="Times New Roman" w:hAnsi="Arial" w:cs="Arial"/>
          <w:b/>
          <w:color w:val="000000"/>
          <w:kern w:val="36"/>
          <w:vertAlign w:val="superscript"/>
          <w:lang w:val="es-ES" w:eastAsia="es-ES"/>
        </w:rPr>
        <w:t>2,3,4</w:t>
      </w:r>
      <w:r w:rsidRPr="00FA75E6">
        <w:rPr>
          <w:rFonts w:ascii="Arial" w:eastAsia="Times New Roman" w:hAnsi="Arial" w:cs="Arial"/>
          <w:b/>
          <w:color w:val="000000"/>
          <w:kern w:val="36"/>
          <w:lang w:val="es-ES" w:eastAsia="es-ES"/>
        </w:rPr>
        <w:t>, PILAR A. HAYE</w:t>
      </w:r>
      <w:r w:rsidRPr="00FA75E6">
        <w:rPr>
          <w:rFonts w:ascii="Arial" w:eastAsia="Times New Roman" w:hAnsi="Arial" w:cs="Arial"/>
          <w:b/>
          <w:color w:val="000000"/>
          <w:kern w:val="36"/>
          <w:vertAlign w:val="superscript"/>
          <w:lang w:val="es-ES" w:eastAsia="es-ES"/>
        </w:rPr>
        <w:t>1</w:t>
      </w:r>
      <w:r w:rsidRPr="00FA75E6">
        <w:rPr>
          <w:rFonts w:ascii="Arial" w:eastAsia="Times New Roman" w:hAnsi="Arial" w:cs="Arial"/>
          <w:b/>
          <w:color w:val="000000"/>
          <w:kern w:val="36"/>
          <w:lang w:val="es-ES" w:eastAsia="es-ES"/>
        </w:rPr>
        <w:t>*</w:t>
      </w:r>
    </w:p>
    <w:p w14:paraId="0D4C3A30" w14:textId="77777777" w:rsidR="00FA75E6" w:rsidRPr="00FA75E6" w:rsidRDefault="00FA75E6" w:rsidP="00FA75E6">
      <w:pPr>
        <w:spacing w:line="360" w:lineRule="auto"/>
        <w:outlineLvl w:val="0"/>
        <w:rPr>
          <w:rFonts w:ascii="Arial" w:eastAsia="Times New Roman" w:hAnsi="Arial" w:cs="Arial"/>
          <w:b/>
          <w:color w:val="000000"/>
          <w:kern w:val="36"/>
          <w:lang w:val="es-ES" w:eastAsia="es-ES"/>
        </w:rPr>
      </w:pPr>
    </w:p>
    <w:p w14:paraId="40610AC5" w14:textId="77777777" w:rsidR="00FA75E6" w:rsidRPr="00FA75E6" w:rsidRDefault="00FA75E6" w:rsidP="00FA75E6">
      <w:pPr>
        <w:numPr>
          <w:ilvl w:val="0"/>
          <w:numId w:val="1"/>
        </w:numPr>
        <w:spacing w:line="360" w:lineRule="auto"/>
        <w:outlineLvl w:val="0"/>
        <w:rPr>
          <w:rFonts w:ascii="Arial" w:eastAsia="Times New Roman" w:hAnsi="Arial" w:cs="Arial"/>
          <w:color w:val="000000"/>
          <w:kern w:val="36"/>
          <w:lang w:val="es-CL" w:eastAsia="es-ES"/>
        </w:rPr>
      </w:pPr>
      <w:r w:rsidRPr="00FA75E6">
        <w:rPr>
          <w:rFonts w:ascii="Arial" w:eastAsia="Times New Roman" w:hAnsi="Arial" w:cs="Arial"/>
          <w:color w:val="000000"/>
          <w:kern w:val="36"/>
          <w:lang w:val="es-CL" w:eastAsia="es-ES"/>
        </w:rPr>
        <w:t>Laboratorio de Diversidad Molecular, Departamento de Biología Marina, Facultad de Ciencias del Mar, Universidad Católica del Norte, Coquimbo, Chile.</w:t>
      </w:r>
    </w:p>
    <w:p w14:paraId="65E6FE68" w14:textId="77777777" w:rsidR="00FA75E6" w:rsidRPr="00FA75E6" w:rsidRDefault="00FA75E6" w:rsidP="00FA75E6">
      <w:pPr>
        <w:numPr>
          <w:ilvl w:val="0"/>
          <w:numId w:val="1"/>
        </w:numPr>
        <w:spacing w:line="360" w:lineRule="auto"/>
        <w:outlineLvl w:val="0"/>
        <w:rPr>
          <w:rFonts w:ascii="Arial" w:eastAsia="Times New Roman" w:hAnsi="Arial" w:cs="Arial"/>
          <w:color w:val="000000"/>
          <w:kern w:val="36"/>
          <w:lang w:val="es-CL" w:eastAsia="es-ES"/>
        </w:rPr>
      </w:pPr>
      <w:r w:rsidRPr="00FA75E6">
        <w:rPr>
          <w:rFonts w:ascii="Arial" w:eastAsia="Times New Roman" w:hAnsi="Arial" w:cs="Arial"/>
          <w:color w:val="000000"/>
          <w:kern w:val="36"/>
          <w:lang w:val="es-CL" w:eastAsia="es-ES"/>
        </w:rPr>
        <w:t>Instituto de Ecología y Biodiversidad IEB, Departamento de Ciencias Ecológicas, Facultad de Ciencias, Universidad de Chile. Las Palmeras 3425, Ñuñoa, Santiago, Chile.</w:t>
      </w:r>
    </w:p>
    <w:p w14:paraId="69BAC9A0" w14:textId="77777777" w:rsidR="00FA75E6" w:rsidRPr="00FA75E6" w:rsidRDefault="00FA75E6" w:rsidP="00FA75E6">
      <w:pPr>
        <w:numPr>
          <w:ilvl w:val="0"/>
          <w:numId w:val="1"/>
        </w:numPr>
        <w:spacing w:line="360" w:lineRule="auto"/>
        <w:outlineLvl w:val="0"/>
        <w:rPr>
          <w:rFonts w:ascii="Arial" w:eastAsia="Times New Roman" w:hAnsi="Arial" w:cs="Arial"/>
          <w:color w:val="000000"/>
          <w:kern w:val="36"/>
          <w:lang w:val="es-CL" w:eastAsia="es-ES"/>
        </w:rPr>
      </w:pPr>
      <w:r w:rsidRPr="00FA75E6">
        <w:rPr>
          <w:rFonts w:ascii="Arial" w:eastAsia="Times New Roman" w:hAnsi="Arial" w:cs="Arial"/>
          <w:color w:val="000000"/>
          <w:kern w:val="36"/>
          <w:lang w:val="es-CL" w:eastAsia="es-ES"/>
        </w:rPr>
        <w:t>Instituto de Ciencias Marinas y Limnológicas (ICML), Facultad de Ciencias, Universidad Austral de Chile, Casilla 567, Valdivia, Chile.</w:t>
      </w:r>
    </w:p>
    <w:p w14:paraId="3DD5E3E7" w14:textId="77777777" w:rsidR="00FA75E6" w:rsidRPr="00FA75E6" w:rsidRDefault="00FA75E6" w:rsidP="00FA75E6">
      <w:pPr>
        <w:numPr>
          <w:ilvl w:val="0"/>
          <w:numId w:val="1"/>
        </w:numPr>
        <w:spacing w:line="360" w:lineRule="auto"/>
        <w:outlineLvl w:val="0"/>
        <w:rPr>
          <w:rFonts w:ascii="Arial" w:eastAsia="Times New Roman" w:hAnsi="Arial" w:cs="Arial"/>
          <w:color w:val="000000"/>
          <w:kern w:val="36"/>
          <w:lang w:val="es-CL" w:eastAsia="es-ES"/>
        </w:rPr>
      </w:pPr>
      <w:r w:rsidRPr="00FA75E6">
        <w:rPr>
          <w:rFonts w:ascii="Arial" w:eastAsia="Times New Roman" w:hAnsi="Arial" w:cs="Arial"/>
          <w:color w:val="000000"/>
          <w:kern w:val="36"/>
          <w:lang w:val="es-CL" w:eastAsia="es-ES"/>
        </w:rPr>
        <w:t>Centro FONDAP de Investigaciones en Dinámica de Ecosistemas de Altas Latitudes (IDEAL). Universidad Austral de Chile, Casilla 567, Valdivia, Chile.</w:t>
      </w:r>
    </w:p>
    <w:p w14:paraId="5194FA85" w14:textId="77777777" w:rsidR="00FA75E6" w:rsidRPr="00FA75E6" w:rsidRDefault="00FA75E6" w:rsidP="00FA75E6">
      <w:pPr>
        <w:spacing w:line="360" w:lineRule="auto"/>
        <w:outlineLvl w:val="0"/>
        <w:rPr>
          <w:rFonts w:ascii="Arial" w:eastAsia="Times New Roman" w:hAnsi="Arial" w:cs="Arial"/>
          <w:b/>
          <w:color w:val="000000"/>
          <w:kern w:val="36"/>
          <w:lang w:val="es-CL" w:eastAsia="es-ES"/>
        </w:rPr>
      </w:pPr>
    </w:p>
    <w:p w14:paraId="5B5BA5D8" w14:textId="77777777" w:rsidR="00FA75E6" w:rsidRPr="00FA75E6" w:rsidRDefault="00FA75E6" w:rsidP="00FA75E6">
      <w:pPr>
        <w:spacing w:line="360" w:lineRule="auto"/>
        <w:outlineLvl w:val="0"/>
        <w:rPr>
          <w:rFonts w:ascii="Calibri Light" w:eastAsia="Times New Roman" w:hAnsi="Calibri Light" w:cs="Times New Roman"/>
          <w:b/>
          <w:color w:val="0563C1"/>
          <w:kern w:val="36"/>
          <w:sz w:val="28"/>
          <w:szCs w:val="28"/>
          <w:u w:val="single"/>
          <w:lang w:eastAsia="es-ES"/>
        </w:rPr>
      </w:pPr>
      <w:r w:rsidRPr="00FA75E6">
        <w:rPr>
          <w:rFonts w:ascii="Arial" w:eastAsia="Times New Roman" w:hAnsi="Arial" w:cs="Arial"/>
          <w:b/>
          <w:color w:val="000000"/>
          <w:kern w:val="36"/>
          <w:lang w:val="es-CL" w:eastAsia="es-ES"/>
        </w:rPr>
        <w:t xml:space="preserve">*Corresponding author: </w:t>
      </w:r>
      <w:r w:rsidRPr="00FA75E6">
        <w:rPr>
          <w:rFonts w:ascii="Arial" w:eastAsia="Times New Roman" w:hAnsi="Arial" w:cs="Arial"/>
          <w:color w:val="000000"/>
          <w:kern w:val="36"/>
          <w:lang w:val="es-CL" w:eastAsia="es-ES"/>
        </w:rPr>
        <w:t>Pilar A. Haye, E-mail:</w:t>
      </w:r>
      <w:r w:rsidRPr="00FA75E6">
        <w:rPr>
          <w:rFonts w:ascii="Arial" w:eastAsia="Times New Roman" w:hAnsi="Arial" w:cs="Arial"/>
          <w:color w:val="000000"/>
          <w:kern w:val="36"/>
          <w:lang w:val="es-ES" w:eastAsia="es-ES"/>
        </w:rPr>
        <w:t xml:space="preserve"> </w:t>
      </w:r>
      <w:hyperlink r:id="rId5" w:history="1">
        <w:r w:rsidRPr="00FA75E6">
          <w:rPr>
            <w:rFonts w:ascii="Arial" w:eastAsia="Times New Roman" w:hAnsi="Arial" w:cs="Arial"/>
            <w:b/>
            <w:color w:val="000000"/>
            <w:kern w:val="36"/>
            <w:u w:val="single"/>
            <w:lang w:eastAsia="es-ES"/>
          </w:rPr>
          <w:t>phaye@ucn.cl</w:t>
        </w:r>
      </w:hyperlink>
    </w:p>
    <w:p w14:paraId="56EB0F3E" w14:textId="7A19940C" w:rsidR="00716972" w:rsidRPr="00C1380D" w:rsidRDefault="00716972" w:rsidP="00465122">
      <w:pPr>
        <w:pStyle w:val="Heading1"/>
        <w:spacing w:before="0" w:beforeAutospacing="0" w:after="0" w:afterAutospacing="0" w:line="480" w:lineRule="auto"/>
        <w:rPr>
          <w:rFonts w:ascii="Arial" w:hAnsi="Arial" w:cs="Arial"/>
          <w:color w:val="000000" w:themeColor="text1"/>
          <w:sz w:val="24"/>
          <w:szCs w:val="24"/>
        </w:rPr>
      </w:pPr>
    </w:p>
    <w:p w14:paraId="42625BB6" w14:textId="77777777" w:rsidR="00C5777D" w:rsidRPr="00DE2860" w:rsidRDefault="00C5777D">
      <w:pPr>
        <w:rPr>
          <w:rFonts w:ascii="Arial" w:hAnsi="Arial" w:cs="Arial"/>
        </w:rPr>
      </w:pPr>
    </w:p>
    <w:p w14:paraId="5BDE4C14" w14:textId="77777777" w:rsidR="00717B84" w:rsidRDefault="00717B84" w:rsidP="00717B84">
      <w:pPr>
        <w:pStyle w:val="Heading3"/>
        <w:spacing w:before="0" w:line="276" w:lineRule="auto"/>
        <w:rPr>
          <w:rFonts w:ascii="Arial" w:hAnsi="Arial" w:cs="Arial"/>
          <w:b/>
          <w:color w:val="000000" w:themeColor="text1"/>
        </w:rPr>
        <w:sectPr w:rsidR="00717B84" w:rsidSect="00717B84">
          <w:pgSz w:w="12240" w:h="15840"/>
          <w:pgMar w:top="1440" w:right="1440" w:bottom="1440" w:left="1440" w:header="708" w:footer="708" w:gutter="0"/>
          <w:cols w:space="708"/>
          <w:docGrid w:linePitch="360"/>
        </w:sectPr>
      </w:pPr>
    </w:p>
    <w:p w14:paraId="780B189E" w14:textId="5ABE9170" w:rsidR="0033743B" w:rsidRDefault="00BD60A4" w:rsidP="00717B84">
      <w:pPr>
        <w:pStyle w:val="Heading3"/>
        <w:spacing w:before="0" w:line="276" w:lineRule="auto"/>
        <w:rPr>
          <w:rFonts w:ascii="Arial" w:hAnsi="Arial" w:cs="Arial"/>
          <w:b/>
          <w:color w:val="000000" w:themeColor="text1"/>
        </w:rPr>
      </w:pPr>
      <w:r>
        <w:rPr>
          <w:rFonts w:ascii="Arial" w:hAnsi="Arial" w:cs="Arial"/>
          <w:b/>
          <w:color w:val="000000" w:themeColor="text1"/>
        </w:rPr>
        <w:lastRenderedPageBreak/>
        <w:t>Appendix</w:t>
      </w:r>
      <w:r w:rsidR="0033743B">
        <w:rPr>
          <w:rFonts w:ascii="Arial" w:hAnsi="Arial" w:cs="Arial"/>
          <w:b/>
          <w:color w:val="000000" w:themeColor="text1"/>
        </w:rPr>
        <w:t xml:space="preserve"> 1</w:t>
      </w:r>
    </w:p>
    <w:p w14:paraId="6DBFFB61" w14:textId="57D42367" w:rsidR="00DF2FC4" w:rsidRDefault="00DF2FC4" w:rsidP="00717B84">
      <w:pPr>
        <w:pStyle w:val="Heading3"/>
        <w:spacing w:before="0" w:line="276" w:lineRule="auto"/>
        <w:rPr>
          <w:rFonts w:ascii="Arial" w:hAnsi="Arial" w:cs="Arial"/>
          <w:b/>
          <w:color w:val="000000" w:themeColor="text1"/>
        </w:rPr>
      </w:pPr>
      <w:r w:rsidRPr="006719B5">
        <w:rPr>
          <w:rFonts w:ascii="Arial" w:hAnsi="Arial" w:cs="Arial"/>
          <w:b/>
          <w:color w:val="000000" w:themeColor="text1"/>
        </w:rPr>
        <w:t>Oceanographic data collection</w:t>
      </w:r>
    </w:p>
    <w:p w14:paraId="005F153E" w14:textId="77777777" w:rsidR="00717B84" w:rsidRPr="00717B84" w:rsidRDefault="00717B84" w:rsidP="00717B84"/>
    <w:p w14:paraId="5A5438D0" w14:textId="79846409" w:rsidR="00AD3C20" w:rsidRPr="00DE2860" w:rsidRDefault="00AD3C20" w:rsidP="00AD3C20">
      <w:pPr>
        <w:ind w:left="567"/>
        <w:jc w:val="both"/>
        <w:rPr>
          <w:rFonts w:ascii="Arial" w:hAnsi="Arial" w:cs="Arial"/>
          <w:b/>
          <w:color w:val="000000" w:themeColor="text1"/>
        </w:rPr>
      </w:pPr>
      <w:r w:rsidRPr="00641ECE">
        <w:rPr>
          <w:rFonts w:ascii="Arial" w:hAnsi="Arial" w:cs="Arial"/>
        </w:rPr>
        <w:t>Table S</w:t>
      </w:r>
      <w:r w:rsidR="00094A4B" w:rsidRPr="00641ECE">
        <w:rPr>
          <w:rFonts w:ascii="Arial" w:hAnsi="Arial" w:cs="Arial"/>
        </w:rPr>
        <w:t>1</w:t>
      </w:r>
      <w:r w:rsidRPr="00641ECE">
        <w:rPr>
          <w:rFonts w:ascii="Arial" w:hAnsi="Arial" w:cs="Arial"/>
        </w:rPr>
        <w:t xml:space="preserve">: </w:t>
      </w:r>
      <w:r w:rsidRPr="00641ECE">
        <w:rPr>
          <w:rFonts w:ascii="Arial" w:hAnsi="Arial" w:cs="Arial"/>
          <w:color w:val="000000" w:themeColor="text1"/>
        </w:rPr>
        <w:t xml:space="preserve">Oceanographic variables included in the analysis of seascape genomics of </w:t>
      </w:r>
      <w:proofErr w:type="spellStart"/>
      <w:r w:rsidRPr="00641ECE">
        <w:rPr>
          <w:rFonts w:ascii="Arial" w:hAnsi="Arial" w:cs="Arial"/>
          <w:i/>
          <w:color w:val="000000" w:themeColor="text1"/>
        </w:rPr>
        <w:t>Pyura</w:t>
      </w:r>
      <w:proofErr w:type="spellEnd"/>
      <w:r w:rsidRPr="00641ECE">
        <w:rPr>
          <w:rFonts w:ascii="Arial" w:hAnsi="Arial" w:cs="Arial"/>
          <w:i/>
          <w:color w:val="000000" w:themeColor="text1"/>
        </w:rPr>
        <w:t xml:space="preserve"> </w:t>
      </w:r>
      <w:proofErr w:type="spellStart"/>
      <w:r w:rsidRPr="00641ECE">
        <w:rPr>
          <w:rFonts w:ascii="Arial" w:hAnsi="Arial" w:cs="Arial"/>
          <w:i/>
          <w:color w:val="000000" w:themeColor="text1"/>
        </w:rPr>
        <w:t>chilensis</w:t>
      </w:r>
      <w:proofErr w:type="spellEnd"/>
      <w:r w:rsidRPr="00641ECE">
        <w:rPr>
          <w:rFonts w:ascii="Arial" w:hAnsi="Arial" w:cs="Arial"/>
          <w:color w:val="000000" w:themeColor="text1"/>
        </w:rPr>
        <w:t xml:space="preserve">. </w:t>
      </w:r>
    </w:p>
    <w:p w14:paraId="598CD52A" w14:textId="77777777" w:rsidR="00AD3C20" w:rsidRPr="00DE2860" w:rsidRDefault="00AD3C20" w:rsidP="00AD3C20">
      <w:pPr>
        <w:ind w:left="567"/>
        <w:jc w:val="both"/>
        <w:rPr>
          <w:rFonts w:ascii="Arial" w:hAnsi="Arial" w:cs="Arial"/>
          <w:color w:val="000000" w:themeColor="text1"/>
        </w:rPr>
      </w:pPr>
      <w:r w:rsidRPr="00DE2860">
        <w:rPr>
          <w:rFonts w:ascii="Arial" w:hAnsi="Arial" w:cs="Arial"/>
          <w:color w:val="000000" w:themeColor="text1"/>
        </w:rPr>
        <w:t>The environmental variables (with its acronym in parentheses), the source of data of origin, the temporal and spatial resolution (if available), the date of beginning and end of the range of data considered and the unit of measurement of the variable studied. For the data obtained from Aqua-MODIS, a 10-year interval was chosen up to the sampling date (2005-2015). For the data set extracted from Bio-Oracle, the time interval is previously determined.</w:t>
      </w:r>
    </w:p>
    <w:tbl>
      <w:tblPr>
        <w:tblpPr w:leftFromText="180" w:rightFromText="180" w:vertAnchor="text" w:horzAnchor="page" w:tblpX="2290" w:tblpY="133"/>
        <w:tblW w:w="11780" w:type="dxa"/>
        <w:tblLook w:val="04A0" w:firstRow="1" w:lastRow="0" w:firstColumn="1" w:lastColumn="0" w:noHBand="0" w:noVBand="1"/>
      </w:tblPr>
      <w:tblGrid>
        <w:gridCol w:w="2696"/>
        <w:gridCol w:w="2322"/>
        <w:gridCol w:w="1028"/>
        <w:gridCol w:w="1610"/>
        <w:gridCol w:w="1033"/>
        <w:gridCol w:w="935"/>
        <w:gridCol w:w="2156"/>
      </w:tblGrid>
      <w:tr w:rsidR="00C1585C" w:rsidRPr="00DE2860" w14:paraId="1DBF67D4" w14:textId="77777777" w:rsidTr="00C1585C">
        <w:trPr>
          <w:trHeight w:val="320"/>
        </w:trPr>
        <w:tc>
          <w:tcPr>
            <w:tcW w:w="2696" w:type="dxa"/>
            <w:tcBorders>
              <w:top w:val="nil"/>
              <w:left w:val="nil"/>
              <w:bottom w:val="single" w:sz="4" w:space="0" w:color="auto"/>
              <w:right w:val="nil"/>
            </w:tcBorders>
            <w:shd w:val="clear" w:color="auto" w:fill="auto"/>
            <w:vAlign w:val="bottom"/>
            <w:hideMark/>
          </w:tcPr>
          <w:p w14:paraId="00CD41F7"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Variable</w:t>
            </w:r>
          </w:p>
        </w:tc>
        <w:tc>
          <w:tcPr>
            <w:tcW w:w="2322" w:type="dxa"/>
            <w:tcBorders>
              <w:top w:val="nil"/>
              <w:left w:val="nil"/>
              <w:bottom w:val="single" w:sz="4" w:space="0" w:color="auto"/>
              <w:right w:val="nil"/>
            </w:tcBorders>
            <w:shd w:val="clear" w:color="auto" w:fill="auto"/>
            <w:vAlign w:val="bottom"/>
            <w:hideMark/>
          </w:tcPr>
          <w:p w14:paraId="5D68442C"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Source</w:t>
            </w:r>
          </w:p>
        </w:tc>
        <w:tc>
          <w:tcPr>
            <w:tcW w:w="1028" w:type="dxa"/>
            <w:tcBorders>
              <w:top w:val="nil"/>
              <w:left w:val="nil"/>
              <w:bottom w:val="single" w:sz="4" w:space="0" w:color="auto"/>
              <w:right w:val="nil"/>
            </w:tcBorders>
            <w:shd w:val="clear" w:color="auto" w:fill="auto"/>
            <w:vAlign w:val="bottom"/>
            <w:hideMark/>
          </w:tcPr>
          <w:p w14:paraId="040C229B" w14:textId="77777777" w:rsidR="00C1585C" w:rsidRPr="00DE2860" w:rsidRDefault="00C1585C" w:rsidP="00C1585C">
            <w:pPr>
              <w:rPr>
                <w:rFonts w:ascii="Arial" w:hAnsi="Arial" w:cs="Arial"/>
                <w:color w:val="000000"/>
                <w:sz w:val="20"/>
                <w:szCs w:val="20"/>
              </w:rPr>
            </w:pPr>
            <w:proofErr w:type="spellStart"/>
            <w:r w:rsidRPr="00DE2860">
              <w:rPr>
                <w:rFonts w:ascii="Arial" w:hAnsi="Arial" w:cs="Arial"/>
                <w:color w:val="000000"/>
                <w:sz w:val="20"/>
                <w:szCs w:val="20"/>
              </w:rPr>
              <w:t>Tem.Res</w:t>
            </w:r>
            <w:proofErr w:type="spellEnd"/>
          </w:p>
        </w:tc>
        <w:tc>
          <w:tcPr>
            <w:tcW w:w="1610" w:type="dxa"/>
            <w:tcBorders>
              <w:top w:val="nil"/>
              <w:left w:val="nil"/>
              <w:bottom w:val="single" w:sz="4" w:space="0" w:color="auto"/>
              <w:right w:val="nil"/>
            </w:tcBorders>
            <w:shd w:val="clear" w:color="auto" w:fill="auto"/>
            <w:vAlign w:val="bottom"/>
            <w:hideMark/>
          </w:tcPr>
          <w:p w14:paraId="60985259"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Sp. Res.</w:t>
            </w:r>
          </w:p>
        </w:tc>
        <w:tc>
          <w:tcPr>
            <w:tcW w:w="1033" w:type="dxa"/>
            <w:tcBorders>
              <w:top w:val="nil"/>
              <w:left w:val="nil"/>
              <w:bottom w:val="single" w:sz="4" w:space="0" w:color="auto"/>
              <w:right w:val="nil"/>
            </w:tcBorders>
            <w:shd w:val="clear" w:color="auto" w:fill="auto"/>
            <w:vAlign w:val="bottom"/>
            <w:hideMark/>
          </w:tcPr>
          <w:p w14:paraId="4E9C0975"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Beg. date</w:t>
            </w:r>
          </w:p>
        </w:tc>
        <w:tc>
          <w:tcPr>
            <w:tcW w:w="935" w:type="dxa"/>
            <w:tcBorders>
              <w:top w:val="nil"/>
              <w:left w:val="nil"/>
              <w:bottom w:val="single" w:sz="4" w:space="0" w:color="auto"/>
              <w:right w:val="nil"/>
            </w:tcBorders>
            <w:shd w:val="clear" w:color="auto" w:fill="auto"/>
            <w:vAlign w:val="bottom"/>
            <w:hideMark/>
          </w:tcPr>
          <w:p w14:paraId="5323A146"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End date</w:t>
            </w:r>
          </w:p>
        </w:tc>
        <w:tc>
          <w:tcPr>
            <w:tcW w:w="2156" w:type="dxa"/>
            <w:tcBorders>
              <w:top w:val="nil"/>
              <w:left w:val="nil"/>
              <w:bottom w:val="single" w:sz="4" w:space="0" w:color="auto"/>
              <w:right w:val="nil"/>
            </w:tcBorders>
            <w:shd w:val="clear" w:color="auto" w:fill="auto"/>
            <w:vAlign w:val="bottom"/>
            <w:hideMark/>
          </w:tcPr>
          <w:p w14:paraId="18EED71E"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Unit</w:t>
            </w:r>
          </w:p>
        </w:tc>
      </w:tr>
      <w:tr w:rsidR="00C1585C" w:rsidRPr="00DE2860" w14:paraId="2B1C4C82" w14:textId="77777777" w:rsidTr="00C1585C">
        <w:trPr>
          <w:trHeight w:val="540"/>
        </w:trPr>
        <w:tc>
          <w:tcPr>
            <w:tcW w:w="2696" w:type="dxa"/>
            <w:tcBorders>
              <w:top w:val="single" w:sz="4" w:space="0" w:color="auto"/>
              <w:left w:val="nil"/>
              <w:bottom w:val="nil"/>
              <w:right w:val="nil"/>
            </w:tcBorders>
            <w:shd w:val="clear" w:color="auto" w:fill="auto"/>
            <w:vAlign w:val="bottom"/>
            <w:hideMark/>
          </w:tcPr>
          <w:p w14:paraId="52FEDFE5"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Sea Surface Temperature-Night Only (SST) </w:t>
            </w:r>
          </w:p>
        </w:tc>
        <w:tc>
          <w:tcPr>
            <w:tcW w:w="2322" w:type="dxa"/>
            <w:tcBorders>
              <w:top w:val="single" w:sz="4" w:space="0" w:color="auto"/>
              <w:left w:val="nil"/>
              <w:bottom w:val="nil"/>
              <w:right w:val="nil"/>
            </w:tcBorders>
            <w:shd w:val="clear" w:color="auto" w:fill="auto"/>
            <w:vAlign w:val="bottom"/>
            <w:hideMark/>
          </w:tcPr>
          <w:p w14:paraId="16E030A8"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Aqua-MODIS</w:t>
            </w:r>
          </w:p>
        </w:tc>
        <w:tc>
          <w:tcPr>
            <w:tcW w:w="1028" w:type="dxa"/>
            <w:tcBorders>
              <w:top w:val="single" w:sz="4" w:space="0" w:color="auto"/>
              <w:left w:val="nil"/>
              <w:bottom w:val="nil"/>
              <w:right w:val="nil"/>
            </w:tcBorders>
            <w:shd w:val="clear" w:color="auto" w:fill="auto"/>
            <w:vAlign w:val="bottom"/>
            <w:hideMark/>
          </w:tcPr>
          <w:p w14:paraId="31B7560E"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Monthly</w:t>
            </w:r>
          </w:p>
        </w:tc>
        <w:tc>
          <w:tcPr>
            <w:tcW w:w="1610" w:type="dxa"/>
            <w:tcBorders>
              <w:top w:val="single" w:sz="4" w:space="0" w:color="auto"/>
              <w:left w:val="nil"/>
              <w:bottom w:val="nil"/>
              <w:right w:val="nil"/>
            </w:tcBorders>
            <w:shd w:val="clear" w:color="auto" w:fill="auto"/>
            <w:vAlign w:val="bottom"/>
            <w:hideMark/>
          </w:tcPr>
          <w:p w14:paraId="616D1354"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4 km</w:t>
            </w:r>
          </w:p>
        </w:tc>
        <w:tc>
          <w:tcPr>
            <w:tcW w:w="1033" w:type="dxa"/>
            <w:tcBorders>
              <w:top w:val="single" w:sz="4" w:space="0" w:color="auto"/>
              <w:left w:val="nil"/>
              <w:bottom w:val="nil"/>
              <w:right w:val="nil"/>
            </w:tcBorders>
            <w:shd w:val="clear" w:color="auto" w:fill="auto"/>
            <w:vAlign w:val="bottom"/>
            <w:hideMark/>
          </w:tcPr>
          <w:p w14:paraId="308B58DB" w14:textId="77777777" w:rsidR="00C1585C" w:rsidRPr="00DE2860" w:rsidRDefault="00C1585C" w:rsidP="00C1585C">
            <w:pPr>
              <w:jc w:val="right"/>
              <w:rPr>
                <w:rFonts w:ascii="Arial" w:hAnsi="Arial" w:cs="Arial"/>
                <w:color w:val="000000"/>
                <w:sz w:val="20"/>
                <w:szCs w:val="20"/>
              </w:rPr>
            </w:pPr>
            <w:r w:rsidRPr="00DE2860">
              <w:rPr>
                <w:rFonts w:ascii="Arial" w:hAnsi="Arial" w:cs="Arial"/>
                <w:color w:val="000000"/>
                <w:sz w:val="20"/>
                <w:szCs w:val="20"/>
              </w:rPr>
              <w:t>2005</w:t>
            </w:r>
          </w:p>
        </w:tc>
        <w:tc>
          <w:tcPr>
            <w:tcW w:w="935" w:type="dxa"/>
            <w:tcBorders>
              <w:top w:val="single" w:sz="4" w:space="0" w:color="auto"/>
              <w:left w:val="nil"/>
              <w:bottom w:val="nil"/>
              <w:right w:val="nil"/>
            </w:tcBorders>
            <w:shd w:val="clear" w:color="auto" w:fill="auto"/>
            <w:vAlign w:val="bottom"/>
            <w:hideMark/>
          </w:tcPr>
          <w:p w14:paraId="6CDC8D24" w14:textId="77777777" w:rsidR="00C1585C" w:rsidRPr="00DE2860" w:rsidRDefault="00C1585C" w:rsidP="00C1585C">
            <w:pPr>
              <w:jc w:val="right"/>
              <w:rPr>
                <w:rFonts w:ascii="Arial" w:hAnsi="Arial" w:cs="Arial"/>
                <w:color w:val="000000"/>
                <w:sz w:val="20"/>
                <w:szCs w:val="20"/>
              </w:rPr>
            </w:pPr>
            <w:r w:rsidRPr="00DE2860">
              <w:rPr>
                <w:rFonts w:ascii="Arial" w:hAnsi="Arial" w:cs="Arial"/>
                <w:color w:val="000000"/>
                <w:sz w:val="20"/>
                <w:szCs w:val="20"/>
              </w:rPr>
              <w:t>2015</w:t>
            </w:r>
          </w:p>
        </w:tc>
        <w:tc>
          <w:tcPr>
            <w:tcW w:w="2156" w:type="dxa"/>
            <w:tcBorders>
              <w:top w:val="single" w:sz="4" w:space="0" w:color="auto"/>
              <w:left w:val="nil"/>
              <w:bottom w:val="nil"/>
              <w:right w:val="nil"/>
            </w:tcBorders>
            <w:shd w:val="clear" w:color="auto" w:fill="auto"/>
            <w:vAlign w:val="bottom"/>
            <w:hideMark/>
          </w:tcPr>
          <w:p w14:paraId="641F9822"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C</w:t>
            </w:r>
          </w:p>
        </w:tc>
      </w:tr>
      <w:tr w:rsidR="00C1585C" w:rsidRPr="00DE2860" w14:paraId="35437172" w14:textId="77777777" w:rsidTr="00C1585C">
        <w:trPr>
          <w:trHeight w:val="540"/>
        </w:trPr>
        <w:tc>
          <w:tcPr>
            <w:tcW w:w="2696" w:type="dxa"/>
            <w:tcBorders>
              <w:top w:val="nil"/>
              <w:left w:val="nil"/>
              <w:bottom w:val="nil"/>
              <w:right w:val="nil"/>
            </w:tcBorders>
            <w:shd w:val="clear" w:color="auto" w:fill="auto"/>
            <w:vAlign w:val="bottom"/>
            <w:hideMark/>
          </w:tcPr>
          <w:p w14:paraId="77AFF03D"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Chlorophyll a concentration (</w:t>
            </w:r>
            <w:proofErr w:type="spellStart"/>
            <w:r w:rsidRPr="00DE2860">
              <w:rPr>
                <w:rFonts w:ascii="Arial" w:hAnsi="Arial" w:cs="Arial"/>
                <w:color w:val="000000"/>
                <w:sz w:val="20"/>
                <w:szCs w:val="20"/>
              </w:rPr>
              <w:t>Chl</w:t>
            </w:r>
            <w:proofErr w:type="spellEnd"/>
            <w:r w:rsidRPr="00DE2860">
              <w:rPr>
                <w:rFonts w:ascii="Arial" w:hAnsi="Arial" w:cs="Arial"/>
                <w:color w:val="000000"/>
                <w:sz w:val="20"/>
                <w:szCs w:val="20"/>
              </w:rPr>
              <w:t>-a)</w:t>
            </w:r>
          </w:p>
        </w:tc>
        <w:tc>
          <w:tcPr>
            <w:tcW w:w="2322" w:type="dxa"/>
            <w:tcBorders>
              <w:top w:val="nil"/>
              <w:left w:val="nil"/>
              <w:bottom w:val="nil"/>
              <w:right w:val="nil"/>
            </w:tcBorders>
            <w:shd w:val="clear" w:color="auto" w:fill="auto"/>
            <w:vAlign w:val="bottom"/>
            <w:hideMark/>
          </w:tcPr>
          <w:p w14:paraId="33A04C45"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Aqua-MODIS</w:t>
            </w:r>
          </w:p>
        </w:tc>
        <w:tc>
          <w:tcPr>
            <w:tcW w:w="1028" w:type="dxa"/>
            <w:tcBorders>
              <w:top w:val="nil"/>
              <w:left w:val="nil"/>
              <w:bottom w:val="nil"/>
              <w:right w:val="nil"/>
            </w:tcBorders>
            <w:shd w:val="clear" w:color="auto" w:fill="auto"/>
            <w:vAlign w:val="bottom"/>
            <w:hideMark/>
          </w:tcPr>
          <w:p w14:paraId="279AD380"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Monthly</w:t>
            </w:r>
          </w:p>
        </w:tc>
        <w:tc>
          <w:tcPr>
            <w:tcW w:w="1610" w:type="dxa"/>
            <w:tcBorders>
              <w:top w:val="nil"/>
              <w:left w:val="nil"/>
              <w:bottom w:val="nil"/>
              <w:right w:val="nil"/>
            </w:tcBorders>
            <w:shd w:val="clear" w:color="auto" w:fill="auto"/>
            <w:vAlign w:val="bottom"/>
            <w:hideMark/>
          </w:tcPr>
          <w:p w14:paraId="79B0A692"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4 km</w:t>
            </w:r>
          </w:p>
        </w:tc>
        <w:tc>
          <w:tcPr>
            <w:tcW w:w="1033" w:type="dxa"/>
            <w:tcBorders>
              <w:top w:val="nil"/>
              <w:left w:val="nil"/>
              <w:bottom w:val="nil"/>
              <w:right w:val="nil"/>
            </w:tcBorders>
            <w:shd w:val="clear" w:color="auto" w:fill="auto"/>
            <w:vAlign w:val="bottom"/>
            <w:hideMark/>
          </w:tcPr>
          <w:p w14:paraId="08F31D6A" w14:textId="77777777" w:rsidR="00C1585C" w:rsidRPr="00DE2860" w:rsidRDefault="00C1585C" w:rsidP="00C1585C">
            <w:pPr>
              <w:jc w:val="right"/>
              <w:rPr>
                <w:rFonts w:ascii="Arial" w:hAnsi="Arial" w:cs="Arial"/>
                <w:color w:val="000000"/>
                <w:sz w:val="20"/>
                <w:szCs w:val="20"/>
              </w:rPr>
            </w:pPr>
            <w:r w:rsidRPr="00DE2860">
              <w:rPr>
                <w:rFonts w:ascii="Arial" w:hAnsi="Arial" w:cs="Arial"/>
                <w:color w:val="000000"/>
                <w:sz w:val="20"/>
                <w:szCs w:val="20"/>
              </w:rPr>
              <w:t>2005</w:t>
            </w:r>
          </w:p>
        </w:tc>
        <w:tc>
          <w:tcPr>
            <w:tcW w:w="935" w:type="dxa"/>
            <w:tcBorders>
              <w:top w:val="nil"/>
              <w:left w:val="nil"/>
              <w:bottom w:val="nil"/>
              <w:right w:val="nil"/>
            </w:tcBorders>
            <w:shd w:val="clear" w:color="auto" w:fill="auto"/>
            <w:vAlign w:val="bottom"/>
            <w:hideMark/>
          </w:tcPr>
          <w:p w14:paraId="71BC0E0C" w14:textId="77777777" w:rsidR="00C1585C" w:rsidRPr="00DE2860" w:rsidRDefault="00C1585C" w:rsidP="00C1585C">
            <w:pPr>
              <w:jc w:val="right"/>
              <w:rPr>
                <w:rFonts w:ascii="Arial" w:hAnsi="Arial" w:cs="Arial"/>
                <w:color w:val="000000"/>
                <w:sz w:val="20"/>
                <w:szCs w:val="20"/>
              </w:rPr>
            </w:pPr>
            <w:r w:rsidRPr="00DE2860">
              <w:rPr>
                <w:rFonts w:ascii="Arial" w:hAnsi="Arial" w:cs="Arial"/>
                <w:color w:val="000000"/>
                <w:sz w:val="20"/>
                <w:szCs w:val="20"/>
              </w:rPr>
              <w:t>2015</w:t>
            </w:r>
          </w:p>
        </w:tc>
        <w:tc>
          <w:tcPr>
            <w:tcW w:w="2156" w:type="dxa"/>
            <w:tcBorders>
              <w:top w:val="nil"/>
              <w:left w:val="nil"/>
              <w:bottom w:val="nil"/>
              <w:right w:val="nil"/>
            </w:tcBorders>
            <w:shd w:val="clear" w:color="auto" w:fill="auto"/>
            <w:vAlign w:val="bottom"/>
            <w:hideMark/>
          </w:tcPr>
          <w:p w14:paraId="5673D872"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mg m-3</w:t>
            </w:r>
          </w:p>
        </w:tc>
      </w:tr>
      <w:tr w:rsidR="00C1585C" w:rsidRPr="00DE2860" w14:paraId="10B0E39A" w14:textId="77777777" w:rsidTr="00C1585C">
        <w:trPr>
          <w:trHeight w:val="540"/>
        </w:trPr>
        <w:tc>
          <w:tcPr>
            <w:tcW w:w="2696" w:type="dxa"/>
            <w:tcBorders>
              <w:top w:val="nil"/>
              <w:left w:val="nil"/>
              <w:bottom w:val="nil"/>
              <w:right w:val="nil"/>
            </w:tcBorders>
            <w:shd w:val="clear" w:color="auto" w:fill="auto"/>
            <w:vAlign w:val="bottom"/>
            <w:hideMark/>
          </w:tcPr>
          <w:p w14:paraId="16BD982C"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Normalized fluorescence line height (Flu)</w:t>
            </w:r>
          </w:p>
        </w:tc>
        <w:tc>
          <w:tcPr>
            <w:tcW w:w="2322" w:type="dxa"/>
            <w:tcBorders>
              <w:top w:val="nil"/>
              <w:left w:val="nil"/>
              <w:bottom w:val="nil"/>
              <w:right w:val="nil"/>
            </w:tcBorders>
            <w:shd w:val="clear" w:color="auto" w:fill="auto"/>
            <w:vAlign w:val="bottom"/>
            <w:hideMark/>
          </w:tcPr>
          <w:p w14:paraId="02839705"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Aqua-MODIS</w:t>
            </w:r>
          </w:p>
        </w:tc>
        <w:tc>
          <w:tcPr>
            <w:tcW w:w="1028" w:type="dxa"/>
            <w:tcBorders>
              <w:top w:val="nil"/>
              <w:left w:val="nil"/>
              <w:bottom w:val="nil"/>
              <w:right w:val="nil"/>
            </w:tcBorders>
            <w:shd w:val="clear" w:color="auto" w:fill="auto"/>
            <w:vAlign w:val="bottom"/>
            <w:hideMark/>
          </w:tcPr>
          <w:p w14:paraId="0D4555CA"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Monthly</w:t>
            </w:r>
          </w:p>
        </w:tc>
        <w:tc>
          <w:tcPr>
            <w:tcW w:w="1610" w:type="dxa"/>
            <w:tcBorders>
              <w:top w:val="nil"/>
              <w:left w:val="nil"/>
              <w:bottom w:val="nil"/>
              <w:right w:val="nil"/>
            </w:tcBorders>
            <w:shd w:val="clear" w:color="auto" w:fill="auto"/>
            <w:vAlign w:val="bottom"/>
            <w:hideMark/>
          </w:tcPr>
          <w:p w14:paraId="37F8D7FD"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4 km</w:t>
            </w:r>
          </w:p>
        </w:tc>
        <w:tc>
          <w:tcPr>
            <w:tcW w:w="1033" w:type="dxa"/>
            <w:tcBorders>
              <w:top w:val="nil"/>
              <w:left w:val="nil"/>
              <w:bottom w:val="nil"/>
              <w:right w:val="nil"/>
            </w:tcBorders>
            <w:shd w:val="clear" w:color="auto" w:fill="auto"/>
            <w:vAlign w:val="bottom"/>
            <w:hideMark/>
          </w:tcPr>
          <w:p w14:paraId="6082D8D2" w14:textId="77777777" w:rsidR="00C1585C" w:rsidRPr="00DE2860" w:rsidRDefault="00C1585C" w:rsidP="00C1585C">
            <w:pPr>
              <w:jc w:val="right"/>
              <w:rPr>
                <w:rFonts w:ascii="Arial" w:hAnsi="Arial" w:cs="Arial"/>
                <w:color w:val="000000"/>
                <w:sz w:val="20"/>
                <w:szCs w:val="20"/>
              </w:rPr>
            </w:pPr>
            <w:r w:rsidRPr="00DE2860">
              <w:rPr>
                <w:rFonts w:ascii="Arial" w:hAnsi="Arial" w:cs="Arial"/>
                <w:color w:val="000000"/>
                <w:sz w:val="20"/>
                <w:szCs w:val="20"/>
              </w:rPr>
              <w:t>2005</w:t>
            </w:r>
          </w:p>
        </w:tc>
        <w:tc>
          <w:tcPr>
            <w:tcW w:w="935" w:type="dxa"/>
            <w:tcBorders>
              <w:top w:val="nil"/>
              <w:left w:val="nil"/>
              <w:bottom w:val="nil"/>
              <w:right w:val="nil"/>
            </w:tcBorders>
            <w:shd w:val="clear" w:color="auto" w:fill="auto"/>
            <w:vAlign w:val="bottom"/>
            <w:hideMark/>
          </w:tcPr>
          <w:p w14:paraId="16C4CBA1" w14:textId="77777777" w:rsidR="00C1585C" w:rsidRPr="00DE2860" w:rsidRDefault="00C1585C" w:rsidP="00C1585C">
            <w:pPr>
              <w:jc w:val="right"/>
              <w:rPr>
                <w:rFonts w:ascii="Arial" w:hAnsi="Arial" w:cs="Arial"/>
                <w:color w:val="000000"/>
                <w:sz w:val="20"/>
                <w:szCs w:val="20"/>
              </w:rPr>
            </w:pPr>
            <w:r w:rsidRPr="00DE2860">
              <w:rPr>
                <w:rFonts w:ascii="Arial" w:hAnsi="Arial" w:cs="Arial"/>
                <w:color w:val="000000"/>
                <w:sz w:val="20"/>
                <w:szCs w:val="20"/>
              </w:rPr>
              <w:t>2015</w:t>
            </w:r>
          </w:p>
        </w:tc>
        <w:tc>
          <w:tcPr>
            <w:tcW w:w="2156" w:type="dxa"/>
            <w:tcBorders>
              <w:top w:val="nil"/>
              <w:left w:val="nil"/>
              <w:bottom w:val="nil"/>
              <w:right w:val="nil"/>
            </w:tcBorders>
            <w:shd w:val="clear" w:color="auto" w:fill="auto"/>
            <w:vAlign w:val="bottom"/>
            <w:hideMark/>
          </w:tcPr>
          <w:p w14:paraId="16C4A314" w14:textId="77777777" w:rsidR="00C1585C" w:rsidRPr="00DE2860" w:rsidRDefault="00C1585C" w:rsidP="00C1585C">
            <w:pPr>
              <w:rPr>
                <w:rFonts w:ascii="Arial" w:hAnsi="Arial" w:cs="Arial"/>
                <w:color w:val="000000"/>
                <w:sz w:val="20"/>
                <w:szCs w:val="20"/>
              </w:rPr>
            </w:pPr>
            <w:proofErr w:type="spellStart"/>
            <w:r w:rsidRPr="00DE2860">
              <w:rPr>
                <w:rFonts w:ascii="Arial" w:hAnsi="Arial" w:cs="Arial"/>
                <w:color w:val="000000"/>
                <w:sz w:val="20"/>
                <w:szCs w:val="20"/>
              </w:rPr>
              <w:t>mW</w:t>
            </w:r>
            <w:proofErr w:type="spellEnd"/>
            <w:r w:rsidRPr="00DE2860">
              <w:rPr>
                <w:rFonts w:ascii="Arial" w:hAnsi="Arial" w:cs="Arial"/>
                <w:color w:val="000000"/>
                <w:sz w:val="20"/>
                <w:szCs w:val="20"/>
              </w:rPr>
              <w:t xml:space="preserve"> cm^-2 um^-1 </w:t>
            </w:r>
            <w:proofErr w:type="spellStart"/>
            <w:r w:rsidRPr="00DE2860">
              <w:rPr>
                <w:rFonts w:ascii="Arial" w:hAnsi="Arial" w:cs="Arial"/>
                <w:color w:val="000000"/>
                <w:sz w:val="20"/>
                <w:szCs w:val="20"/>
              </w:rPr>
              <w:t>sr</w:t>
            </w:r>
            <w:proofErr w:type="spellEnd"/>
            <w:r w:rsidRPr="00DE2860">
              <w:rPr>
                <w:rFonts w:ascii="Arial" w:hAnsi="Arial" w:cs="Arial"/>
                <w:color w:val="000000"/>
                <w:sz w:val="20"/>
                <w:szCs w:val="20"/>
              </w:rPr>
              <w:t>^-1</w:t>
            </w:r>
          </w:p>
        </w:tc>
      </w:tr>
      <w:tr w:rsidR="00C1585C" w:rsidRPr="00DE2860" w14:paraId="428D3FEC" w14:textId="77777777" w:rsidTr="00C1585C">
        <w:trPr>
          <w:trHeight w:val="540"/>
        </w:trPr>
        <w:tc>
          <w:tcPr>
            <w:tcW w:w="2696" w:type="dxa"/>
            <w:tcBorders>
              <w:top w:val="nil"/>
              <w:left w:val="nil"/>
              <w:bottom w:val="nil"/>
              <w:right w:val="nil"/>
            </w:tcBorders>
            <w:shd w:val="clear" w:color="auto" w:fill="auto"/>
            <w:vAlign w:val="bottom"/>
            <w:hideMark/>
          </w:tcPr>
          <w:p w14:paraId="05A3677F"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Sea Surface Temperature (SST) /Control</w:t>
            </w:r>
          </w:p>
        </w:tc>
        <w:tc>
          <w:tcPr>
            <w:tcW w:w="2322" w:type="dxa"/>
            <w:tcBorders>
              <w:top w:val="nil"/>
              <w:left w:val="nil"/>
              <w:bottom w:val="nil"/>
              <w:right w:val="nil"/>
            </w:tcBorders>
            <w:shd w:val="clear" w:color="auto" w:fill="auto"/>
            <w:vAlign w:val="bottom"/>
            <w:hideMark/>
          </w:tcPr>
          <w:p w14:paraId="68C61839" w14:textId="77777777" w:rsidR="00C1585C" w:rsidRPr="00DE2860" w:rsidRDefault="00C1585C" w:rsidP="00C1585C">
            <w:pPr>
              <w:rPr>
                <w:rFonts w:ascii="Arial" w:hAnsi="Arial" w:cs="Arial"/>
                <w:color w:val="000000"/>
                <w:sz w:val="20"/>
                <w:szCs w:val="20"/>
              </w:rPr>
            </w:pPr>
            <w:proofErr w:type="spellStart"/>
            <w:r w:rsidRPr="00DE2860">
              <w:rPr>
                <w:rFonts w:ascii="Arial" w:hAnsi="Arial" w:cs="Arial"/>
                <w:color w:val="000000"/>
                <w:sz w:val="20"/>
                <w:szCs w:val="20"/>
              </w:rPr>
              <w:t>BIo</w:t>
            </w:r>
            <w:proofErr w:type="spellEnd"/>
            <w:r w:rsidRPr="00DE2860">
              <w:rPr>
                <w:rFonts w:ascii="Arial" w:hAnsi="Arial" w:cs="Arial"/>
                <w:color w:val="000000"/>
                <w:sz w:val="20"/>
                <w:szCs w:val="20"/>
              </w:rPr>
              <w:t>-Oracle/Aqua-MODIS</w:t>
            </w:r>
          </w:p>
        </w:tc>
        <w:tc>
          <w:tcPr>
            <w:tcW w:w="1028" w:type="dxa"/>
            <w:tcBorders>
              <w:top w:val="nil"/>
              <w:left w:val="nil"/>
              <w:bottom w:val="nil"/>
              <w:right w:val="nil"/>
            </w:tcBorders>
            <w:shd w:val="clear" w:color="auto" w:fill="auto"/>
            <w:vAlign w:val="bottom"/>
            <w:hideMark/>
          </w:tcPr>
          <w:p w14:paraId="129C3F8A"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Monthly</w:t>
            </w:r>
          </w:p>
        </w:tc>
        <w:tc>
          <w:tcPr>
            <w:tcW w:w="1610" w:type="dxa"/>
            <w:tcBorders>
              <w:top w:val="nil"/>
              <w:left w:val="nil"/>
              <w:bottom w:val="nil"/>
              <w:right w:val="nil"/>
            </w:tcBorders>
            <w:shd w:val="clear" w:color="auto" w:fill="auto"/>
            <w:vAlign w:val="bottom"/>
            <w:hideMark/>
          </w:tcPr>
          <w:p w14:paraId="0F3E5C24"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5 arcmin (9.2km)</w:t>
            </w:r>
          </w:p>
        </w:tc>
        <w:tc>
          <w:tcPr>
            <w:tcW w:w="1033" w:type="dxa"/>
            <w:tcBorders>
              <w:top w:val="nil"/>
              <w:left w:val="nil"/>
              <w:bottom w:val="nil"/>
              <w:right w:val="nil"/>
            </w:tcBorders>
            <w:shd w:val="clear" w:color="auto" w:fill="auto"/>
            <w:vAlign w:val="bottom"/>
            <w:hideMark/>
          </w:tcPr>
          <w:p w14:paraId="66617DBC" w14:textId="77777777" w:rsidR="00C1585C" w:rsidRPr="00DE2860" w:rsidRDefault="00C1585C" w:rsidP="00C1585C">
            <w:pPr>
              <w:jc w:val="right"/>
              <w:rPr>
                <w:rFonts w:ascii="Arial" w:hAnsi="Arial" w:cs="Arial"/>
                <w:color w:val="000000"/>
                <w:sz w:val="20"/>
                <w:szCs w:val="20"/>
              </w:rPr>
            </w:pPr>
            <w:r w:rsidRPr="00DE2860">
              <w:rPr>
                <w:rFonts w:ascii="Arial" w:hAnsi="Arial" w:cs="Arial"/>
                <w:color w:val="000000"/>
                <w:sz w:val="20"/>
                <w:szCs w:val="20"/>
              </w:rPr>
              <w:t>2002</w:t>
            </w:r>
          </w:p>
        </w:tc>
        <w:tc>
          <w:tcPr>
            <w:tcW w:w="935" w:type="dxa"/>
            <w:tcBorders>
              <w:top w:val="nil"/>
              <w:left w:val="nil"/>
              <w:bottom w:val="nil"/>
              <w:right w:val="nil"/>
            </w:tcBorders>
            <w:shd w:val="clear" w:color="auto" w:fill="auto"/>
            <w:vAlign w:val="bottom"/>
            <w:hideMark/>
          </w:tcPr>
          <w:p w14:paraId="45217907" w14:textId="77777777" w:rsidR="00C1585C" w:rsidRPr="00DE2860" w:rsidRDefault="00C1585C" w:rsidP="00C1585C">
            <w:pPr>
              <w:jc w:val="right"/>
              <w:rPr>
                <w:rFonts w:ascii="Arial" w:hAnsi="Arial" w:cs="Arial"/>
                <w:color w:val="000000"/>
                <w:sz w:val="20"/>
                <w:szCs w:val="20"/>
              </w:rPr>
            </w:pPr>
            <w:r w:rsidRPr="00DE2860">
              <w:rPr>
                <w:rFonts w:ascii="Arial" w:hAnsi="Arial" w:cs="Arial"/>
                <w:color w:val="000000"/>
                <w:sz w:val="20"/>
                <w:szCs w:val="20"/>
              </w:rPr>
              <w:t>2009</w:t>
            </w:r>
          </w:p>
        </w:tc>
        <w:tc>
          <w:tcPr>
            <w:tcW w:w="2156" w:type="dxa"/>
            <w:tcBorders>
              <w:top w:val="nil"/>
              <w:left w:val="nil"/>
              <w:bottom w:val="nil"/>
              <w:right w:val="nil"/>
            </w:tcBorders>
            <w:shd w:val="clear" w:color="auto" w:fill="auto"/>
            <w:vAlign w:val="bottom"/>
            <w:hideMark/>
          </w:tcPr>
          <w:p w14:paraId="302CD251"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ºC</w:t>
            </w:r>
          </w:p>
        </w:tc>
      </w:tr>
      <w:tr w:rsidR="00C1585C" w:rsidRPr="00DE2860" w14:paraId="2C19FE01" w14:textId="77777777" w:rsidTr="00C1585C">
        <w:trPr>
          <w:trHeight w:val="540"/>
        </w:trPr>
        <w:tc>
          <w:tcPr>
            <w:tcW w:w="2696" w:type="dxa"/>
            <w:tcBorders>
              <w:top w:val="nil"/>
              <w:left w:val="nil"/>
              <w:bottom w:val="nil"/>
              <w:right w:val="nil"/>
            </w:tcBorders>
            <w:shd w:val="clear" w:color="auto" w:fill="auto"/>
            <w:vAlign w:val="bottom"/>
            <w:hideMark/>
          </w:tcPr>
          <w:p w14:paraId="3FDA1A0D"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Nitrate</w:t>
            </w:r>
          </w:p>
        </w:tc>
        <w:tc>
          <w:tcPr>
            <w:tcW w:w="2322" w:type="dxa"/>
            <w:tcBorders>
              <w:top w:val="nil"/>
              <w:left w:val="nil"/>
              <w:bottom w:val="nil"/>
              <w:right w:val="nil"/>
            </w:tcBorders>
            <w:shd w:val="clear" w:color="auto" w:fill="auto"/>
            <w:vAlign w:val="bottom"/>
            <w:hideMark/>
          </w:tcPr>
          <w:p w14:paraId="2D262BFB"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Bio-Oracle/World Ocean Data BASE</w:t>
            </w:r>
          </w:p>
        </w:tc>
        <w:tc>
          <w:tcPr>
            <w:tcW w:w="1028" w:type="dxa"/>
            <w:tcBorders>
              <w:top w:val="nil"/>
              <w:left w:val="nil"/>
              <w:bottom w:val="nil"/>
              <w:right w:val="nil"/>
            </w:tcBorders>
            <w:shd w:val="clear" w:color="auto" w:fill="auto"/>
            <w:vAlign w:val="bottom"/>
            <w:hideMark/>
          </w:tcPr>
          <w:p w14:paraId="2C720C0F"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w:t>
            </w:r>
          </w:p>
        </w:tc>
        <w:tc>
          <w:tcPr>
            <w:tcW w:w="1610" w:type="dxa"/>
            <w:tcBorders>
              <w:top w:val="nil"/>
              <w:left w:val="nil"/>
              <w:bottom w:val="nil"/>
              <w:right w:val="nil"/>
            </w:tcBorders>
            <w:shd w:val="clear" w:color="auto" w:fill="auto"/>
            <w:vAlign w:val="bottom"/>
            <w:hideMark/>
          </w:tcPr>
          <w:p w14:paraId="2E45670E"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In Situ measured</w:t>
            </w:r>
          </w:p>
        </w:tc>
        <w:tc>
          <w:tcPr>
            <w:tcW w:w="1033" w:type="dxa"/>
            <w:tcBorders>
              <w:top w:val="nil"/>
              <w:left w:val="nil"/>
              <w:bottom w:val="nil"/>
              <w:right w:val="nil"/>
            </w:tcBorders>
            <w:shd w:val="clear" w:color="auto" w:fill="auto"/>
            <w:vAlign w:val="bottom"/>
            <w:hideMark/>
          </w:tcPr>
          <w:p w14:paraId="378F4221" w14:textId="77777777" w:rsidR="00C1585C" w:rsidRPr="00DE2860" w:rsidRDefault="00C1585C" w:rsidP="00C1585C">
            <w:pPr>
              <w:jc w:val="right"/>
              <w:rPr>
                <w:rFonts w:ascii="Arial" w:hAnsi="Arial" w:cs="Arial"/>
                <w:color w:val="000000"/>
                <w:sz w:val="20"/>
                <w:szCs w:val="20"/>
              </w:rPr>
            </w:pPr>
            <w:r w:rsidRPr="00DE2860">
              <w:rPr>
                <w:rFonts w:ascii="Arial" w:hAnsi="Arial" w:cs="Arial"/>
                <w:color w:val="000000"/>
                <w:sz w:val="20"/>
                <w:szCs w:val="20"/>
              </w:rPr>
              <w:t>1928</w:t>
            </w:r>
          </w:p>
        </w:tc>
        <w:tc>
          <w:tcPr>
            <w:tcW w:w="935" w:type="dxa"/>
            <w:tcBorders>
              <w:top w:val="nil"/>
              <w:left w:val="nil"/>
              <w:bottom w:val="nil"/>
              <w:right w:val="nil"/>
            </w:tcBorders>
            <w:shd w:val="clear" w:color="auto" w:fill="auto"/>
            <w:vAlign w:val="bottom"/>
            <w:hideMark/>
          </w:tcPr>
          <w:p w14:paraId="0DE8AEC1" w14:textId="77777777" w:rsidR="00C1585C" w:rsidRPr="00DE2860" w:rsidRDefault="00C1585C" w:rsidP="00C1585C">
            <w:pPr>
              <w:jc w:val="right"/>
              <w:rPr>
                <w:rFonts w:ascii="Arial" w:hAnsi="Arial" w:cs="Arial"/>
                <w:color w:val="000000"/>
                <w:sz w:val="20"/>
                <w:szCs w:val="20"/>
              </w:rPr>
            </w:pPr>
            <w:r w:rsidRPr="00DE2860">
              <w:rPr>
                <w:rFonts w:ascii="Arial" w:hAnsi="Arial" w:cs="Arial"/>
                <w:color w:val="000000"/>
                <w:sz w:val="20"/>
                <w:szCs w:val="20"/>
              </w:rPr>
              <w:t>2008</w:t>
            </w:r>
          </w:p>
        </w:tc>
        <w:tc>
          <w:tcPr>
            <w:tcW w:w="2156" w:type="dxa"/>
            <w:tcBorders>
              <w:top w:val="nil"/>
              <w:left w:val="nil"/>
              <w:bottom w:val="nil"/>
              <w:right w:val="nil"/>
            </w:tcBorders>
            <w:shd w:val="clear" w:color="auto" w:fill="auto"/>
            <w:vAlign w:val="bottom"/>
            <w:hideMark/>
          </w:tcPr>
          <w:p w14:paraId="3284CF85" w14:textId="77777777" w:rsidR="00C1585C" w:rsidRPr="00DE2860" w:rsidRDefault="00C1585C" w:rsidP="00C1585C">
            <w:pPr>
              <w:rPr>
                <w:rFonts w:ascii="Arial" w:hAnsi="Arial" w:cs="Arial"/>
                <w:color w:val="000000"/>
                <w:sz w:val="20"/>
                <w:szCs w:val="20"/>
              </w:rPr>
            </w:pPr>
            <w:proofErr w:type="spellStart"/>
            <w:r w:rsidRPr="00DE2860">
              <w:rPr>
                <w:rFonts w:ascii="Arial" w:hAnsi="Arial" w:cs="Arial"/>
                <w:color w:val="000000"/>
                <w:sz w:val="20"/>
                <w:szCs w:val="20"/>
              </w:rPr>
              <w:t>umol</w:t>
            </w:r>
            <w:proofErr w:type="spellEnd"/>
            <w:r w:rsidRPr="00DE2860">
              <w:rPr>
                <w:rFonts w:ascii="Arial" w:hAnsi="Arial" w:cs="Arial"/>
                <w:color w:val="000000"/>
                <w:sz w:val="20"/>
                <w:szCs w:val="20"/>
              </w:rPr>
              <w:t>/l</w:t>
            </w:r>
          </w:p>
        </w:tc>
      </w:tr>
      <w:tr w:rsidR="00C1585C" w:rsidRPr="00DE2860" w14:paraId="2563D7CE" w14:textId="77777777" w:rsidTr="00C1585C">
        <w:trPr>
          <w:trHeight w:val="540"/>
        </w:trPr>
        <w:tc>
          <w:tcPr>
            <w:tcW w:w="2696" w:type="dxa"/>
            <w:tcBorders>
              <w:top w:val="nil"/>
              <w:left w:val="nil"/>
              <w:bottom w:val="nil"/>
              <w:right w:val="nil"/>
            </w:tcBorders>
            <w:shd w:val="clear" w:color="auto" w:fill="auto"/>
            <w:vAlign w:val="bottom"/>
            <w:hideMark/>
          </w:tcPr>
          <w:p w14:paraId="7C323A49"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pH</w:t>
            </w:r>
          </w:p>
        </w:tc>
        <w:tc>
          <w:tcPr>
            <w:tcW w:w="2322" w:type="dxa"/>
            <w:tcBorders>
              <w:top w:val="nil"/>
              <w:left w:val="nil"/>
              <w:bottom w:val="nil"/>
              <w:right w:val="nil"/>
            </w:tcBorders>
            <w:shd w:val="clear" w:color="auto" w:fill="auto"/>
            <w:vAlign w:val="bottom"/>
            <w:hideMark/>
          </w:tcPr>
          <w:p w14:paraId="2DF2FF20"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Bio-Oracle/World Ocean Data BASE</w:t>
            </w:r>
          </w:p>
        </w:tc>
        <w:tc>
          <w:tcPr>
            <w:tcW w:w="1028" w:type="dxa"/>
            <w:tcBorders>
              <w:top w:val="nil"/>
              <w:left w:val="nil"/>
              <w:bottom w:val="nil"/>
              <w:right w:val="nil"/>
            </w:tcBorders>
            <w:shd w:val="clear" w:color="auto" w:fill="auto"/>
            <w:vAlign w:val="bottom"/>
            <w:hideMark/>
          </w:tcPr>
          <w:p w14:paraId="5E324B29"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w:t>
            </w:r>
          </w:p>
        </w:tc>
        <w:tc>
          <w:tcPr>
            <w:tcW w:w="1610" w:type="dxa"/>
            <w:tcBorders>
              <w:top w:val="nil"/>
              <w:left w:val="nil"/>
              <w:bottom w:val="nil"/>
              <w:right w:val="nil"/>
            </w:tcBorders>
            <w:shd w:val="clear" w:color="auto" w:fill="auto"/>
            <w:vAlign w:val="bottom"/>
            <w:hideMark/>
          </w:tcPr>
          <w:p w14:paraId="4A7A4A3F"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In Situ measured</w:t>
            </w:r>
          </w:p>
        </w:tc>
        <w:tc>
          <w:tcPr>
            <w:tcW w:w="1033" w:type="dxa"/>
            <w:tcBorders>
              <w:top w:val="nil"/>
              <w:left w:val="nil"/>
              <w:bottom w:val="nil"/>
              <w:right w:val="nil"/>
            </w:tcBorders>
            <w:shd w:val="clear" w:color="auto" w:fill="auto"/>
            <w:vAlign w:val="bottom"/>
            <w:hideMark/>
          </w:tcPr>
          <w:p w14:paraId="507F315F" w14:textId="77777777" w:rsidR="00C1585C" w:rsidRPr="00DE2860" w:rsidRDefault="00C1585C" w:rsidP="00C1585C">
            <w:pPr>
              <w:jc w:val="right"/>
              <w:rPr>
                <w:rFonts w:ascii="Arial" w:hAnsi="Arial" w:cs="Arial"/>
                <w:color w:val="000000"/>
                <w:sz w:val="20"/>
                <w:szCs w:val="20"/>
              </w:rPr>
            </w:pPr>
            <w:r w:rsidRPr="00DE2860">
              <w:rPr>
                <w:rFonts w:ascii="Arial" w:hAnsi="Arial" w:cs="Arial"/>
                <w:color w:val="000000"/>
                <w:sz w:val="20"/>
                <w:szCs w:val="20"/>
              </w:rPr>
              <w:t>1910</w:t>
            </w:r>
          </w:p>
        </w:tc>
        <w:tc>
          <w:tcPr>
            <w:tcW w:w="935" w:type="dxa"/>
            <w:tcBorders>
              <w:top w:val="nil"/>
              <w:left w:val="nil"/>
              <w:bottom w:val="nil"/>
              <w:right w:val="nil"/>
            </w:tcBorders>
            <w:shd w:val="clear" w:color="auto" w:fill="auto"/>
            <w:vAlign w:val="bottom"/>
            <w:hideMark/>
          </w:tcPr>
          <w:p w14:paraId="3A95E539" w14:textId="77777777" w:rsidR="00C1585C" w:rsidRPr="00DE2860" w:rsidRDefault="00C1585C" w:rsidP="00C1585C">
            <w:pPr>
              <w:jc w:val="right"/>
              <w:rPr>
                <w:rFonts w:ascii="Arial" w:hAnsi="Arial" w:cs="Arial"/>
                <w:color w:val="000000"/>
                <w:sz w:val="20"/>
                <w:szCs w:val="20"/>
              </w:rPr>
            </w:pPr>
            <w:r w:rsidRPr="00DE2860">
              <w:rPr>
                <w:rFonts w:ascii="Arial" w:hAnsi="Arial" w:cs="Arial"/>
                <w:color w:val="000000"/>
                <w:sz w:val="20"/>
                <w:szCs w:val="20"/>
              </w:rPr>
              <w:t>2007</w:t>
            </w:r>
          </w:p>
        </w:tc>
        <w:tc>
          <w:tcPr>
            <w:tcW w:w="2156" w:type="dxa"/>
            <w:tcBorders>
              <w:top w:val="nil"/>
              <w:left w:val="nil"/>
              <w:bottom w:val="nil"/>
              <w:right w:val="nil"/>
            </w:tcBorders>
            <w:shd w:val="clear" w:color="auto" w:fill="auto"/>
            <w:vAlign w:val="bottom"/>
            <w:hideMark/>
          </w:tcPr>
          <w:p w14:paraId="2387A223"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Unitless</w:t>
            </w:r>
          </w:p>
        </w:tc>
      </w:tr>
      <w:tr w:rsidR="00C1585C" w:rsidRPr="00DE2860" w14:paraId="4541F030" w14:textId="77777777" w:rsidTr="00C1585C">
        <w:trPr>
          <w:trHeight w:val="540"/>
        </w:trPr>
        <w:tc>
          <w:tcPr>
            <w:tcW w:w="2696" w:type="dxa"/>
            <w:tcBorders>
              <w:top w:val="nil"/>
              <w:left w:val="nil"/>
              <w:bottom w:val="nil"/>
              <w:right w:val="nil"/>
            </w:tcBorders>
            <w:shd w:val="clear" w:color="auto" w:fill="auto"/>
            <w:vAlign w:val="bottom"/>
            <w:hideMark/>
          </w:tcPr>
          <w:p w14:paraId="025AD16E"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Phosphate</w:t>
            </w:r>
          </w:p>
        </w:tc>
        <w:tc>
          <w:tcPr>
            <w:tcW w:w="2322" w:type="dxa"/>
            <w:tcBorders>
              <w:top w:val="nil"/>
              <w:left w:val="nil"/>
              <w:bottom w:val="nil"/>
              <w:right w:val="nil"/>
            </w:tcBorders>
            <w:shd w:val="clear" w:color="auto" w:fill="auto"/>
            <w:vAlign w:val="bottom"/>
            <w:hideMark/>
          </w:tcPr>
          <w:p w14:paraId="71212966"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Bio-Oracle/World Ocean Data BASE</w:t>
            </w:r>
          </w:p>
        </w:tc>
        <w:tc>
          <w:tcPr>
            <w:tcW w:w="1028" w:type="dxa"/>
            <w:tcBorders>
              <w:top w:val="nil"/>
              <w:left w:val="nil"/>
              <w:bottom w:val="nil"/>
              <w:right w:val="nil"/>
            </w:tcBorders>
            <w:shd w:val="clear" w:color="auto" w:fill="auto"/>
            <w:vAlign w:val="bottom"/>
            <w:hideMark/>
          </w:tcPr>
          <w:p w14:paraId="203E0FFE"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w:t>
            </w:r>
          </w:p>
        </w:tc>
        <w:tc>
          <w:tcPr>
            <w:tcW w:w="1610" w:type="dxa"/>
            <w:tcBorders>
              <w:top w:val="nil"/>
              <w:left w:val="nil"/>
              <w:bottom w:val="nil"/>
              <w:right w:val="nil"/>
            </w:tcBorders>
            <w:shd w:val="clear" w:color="auto" w:fill="auto"/>
            <w:vAlign w:val="bottom"/>
            <w:hideMark/>
          </w:tcPr>
          <w:p w14:paraId="07F836E7"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In Situ measured</w:t>
            </w:r>
          </w:p>
        </w:tc>
        <w:tc>
          <w:tcPr>
            <w:tcW w:w="1033" w:type="dxa"/>
            <w:tcBorders>
              <w:top w:val="nil"/>
              <w:left w:val="nil"/>
              <w:bottom w:val="nil"/>
              <w:right w:val="nil"/>
            </w:tcBorders>
            <w:shd w:val="clear" w:color="auto" w:fill="auto"/>
            <w:vAlign w:val="bottom"/>
            <w:hideMark/>
          </w:tcPr>
          <w:p w14:paraId="585EF529" w14:textId="77777777" w:rsidR="00C1585C" w:rsidRPr="00DE2860" w:rsidRDefault="00C1585C" w:rsidP="00C1585C">
            <w:pPr>
              <w:jc w:val="right"/>
              <w:rPr>
                <w:rFonts w:ascii="Arial" w:hAnsi="Arial" w:cs="Arial"/>
                <w:color w:val="000000"/>
                <w:sz w:val="20"/>
                <w:szCs w:val="20"/>
              </w:rPr>
            </w:pPr>
            <w:r w:rsidRPr="00DE2860">
              <w:rPr>
                <w:rFonts w:ascii="Arial" w:hAnsi="Arial" w:cs="Arial"/>
                <w:color w:val="000000"/>
                <w:sz w:val="20"/>
                <w:szCs w:val="20"/>
              </w:rPr>
              <w:t>1910</w:t>
            </w:r>
          </w:p>
        </w:tc>
        <w:tc>
          <w:tcPr>
            <w:tcW w:w="935" w:type="dxa"/>
            <w:tcBorders>
              <w:top w:val="nil"/>
              <w:left w:val="nil"/>
              <w:bottom w:val="nil"/>
              <w:right w:val="nil"/>
            </w:tcBorders>
            <w:shd w:val="clear" w:color="auto" w:fill="auto"/>
            <w:vAlign w:val="bottom"/>
            <w:hideMark/>
          </w:tcPr>
          <w:p w14:paraId="4DF01D68" w14:textId="77777777" w:rsidR="00C1585C" w:rsidRPr="00DE2860" w:rsidRDefault="00C1585C" w:rsidP="00C1585C">
            <w:pPr>
              <w:jc w:val="right"/>
              <w:rPr>
                <w:rFonts w:ascii="Arial" w:hAnsi="Arial" w:cs="Arial"/>
                <w:color w:val="000000"/>
                <w:sz w:val="20"/>
                <w:szCs w:val="20"/>
              </w:rPr>
            </w:pPr>
            <w:r w:rsidRPr="00DE2860">
              <w:rPr>
                <w:rFonts w:ascii="Arial" w:hAnsi="Arial" w:cs="Arial"/>
                <w:color w:val="000000"/>
                <w:sz w:val="20"/>
                <w:szCs w:val="20"/>
              </w:rPr>
              <w:t>1986</w:t>
            </w:r>
          </w:p>
        </w:tc>
        <w:tc>
          <w:tcPr>
            <w:tcW w:w="2156" w:type="dxa"/>
            <w:tcBorders>
              <w:top w:val="nil"/>
              <w:left w:val="nil"/>
              <w:bottom w:val="nil"/>
              <w:right w:val="nil"/>
            </w:tcBorders>
            <w:shd w:val="clear" w:color="auto" w:fill="auto"/>
            <w:vAlign w:val="bottom"/>
            <w:hideMark/>
          </w:tcPr>
          <w:p w14:paraId="0FA4EDC2" w14:textId="77777777" w:rsidR="00C1585C" w:rsidRPr="00DE2860" w:rsidRDefault="00C1585C" w:rsidP="00C1585C">
            <w:pPr>
              <w:rPr>
                <w:rFonts w:ascii="Arial" w:hAnsi="Arial" w:cs="Arial"/>
                <w:color w:val="000000"/>
                <w:sz w:val="20"/>
                <w:szCs w:val="20"/>
              </w:rPr>
            </w:pPr>
            <w:proofErr w:type="spellStart"/>
            <w:r w:rsidRPr="00DE2860">
              <w:rPr>
                <w:rFonts w:ascii="Arial" w:hAnsi="Arial" w:cs="Arial"/>
                <w:color w:val="000000"/>
                <w:sz w:val="20"/>
                <w:szCs w:val="20"/>
              </w:rPr>
              <w:t>umol</w:t>
            </w:r>
            <w:proofErr w:type="spellEnd"/>
            <w:r w:rsidRPr="00DE2860">
              <w:rPr>
                <w:rFonts w:ascii="Arial" w:hAnsi="Arial" w:cs="Arial"/>
                <w:color w:val="000000"/>
                <w:sz w:val="20"/>
                <w:szCs w:val="20"/>
              </w:rPr>
              <w:t>/l</w:t>
            </w:r>
          </w:p>
        </w:tc>
      </w:tr>
      <w:tr w:rsidR="00C1585C" w:rsidRPr="00DE2860" w14:paraId="02E05162" w14:textId="77777777" w:rsidTr="00C1585C">
        <w:trPr>
          <w:trHeight w:val="540"/>
        </w:trPr>
        <w:tc>
          <w:tcPr>
            <w:tcW w:w="2696" w:type="dxa"/>
            <w:tcBorders>
              <w:top w:val="nil"/>
              <w:left w:val="nil"/>
              <w:bottom w:val="nil"/>
              <w:right w:val="nil"/>
            </w:tcBorders>
            <w:shd w:val="clear" w:color="auto" w:fill="auto"/>
            <w:vAlign w:val="bottom"/>
            <w:hideMark/>
          </w:tcPr>
          <w:p w14:paraId="0DA82A92"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Silicate</w:t>
            </w:r>
          </w:p>
        </w:tc>
        <w:tc>
          <w:tcPr>
            <w:tcW w:w="2322" w:type="dxa"/>
            <w:tcBorders>
              <w:top w:val="nil"/>
              <w:left w:val="nil"/>
              <w:bottom w:val="nil"/>
              <w:right w:val="nil"/>
            </w:tcBorders>
            <w:shd w:val="clear" w:color="auto" w:fill="auto"/>
            <w:vAlign w:val="bottom"/>
            <w:hideMark/>
          </w:tcPr>
          <w:p w14:paraId="0775E14F"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Bio-Oracle/World Ocean Data BASE</w:t>
            </w:r>
          </w:p>
        </w:tc>
        <w:tc>
          <w:tcPr>
            <w:tcW w:w="1028" w:type="dxa"/>
            <w:tcBorders>
              <w:top w:val="nil"/>
              <w:left w:val="nil"/>
              <w:bottom w:val="nil"/>
              <w:right w:val="nil"/>
            </w:tcBorders>
            <w:shd w:val="clear" w:color="auto" w:fill="auto"/>
            <w:vAlign w:val="bottom"/>
            <w:hideMark/>
          </w:tcPr>
          <w:p w14:paraId="50514500"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w:t>
            </w:r>
          </w:p>
        </w:tc>
        <w:tc>
          <w:tcPr>
            <w:tcW w:w="1610" w:type="dxa"/>
            <w:tcBorders>
              <w:top w:val="nil"/>
              <w:left w:val="nil"/>
              <w:bottom w:val="nil"/>
              <w:right w:val="nil"/>
            </w:tcBorders>
            <w:shd w:val="clear" w:color="auto" w:fill="auto"/>
            <w:vAlign w:val="bottom"/>
            <w:hideMark/>
          </w:tcPr>
          <w:p w14:paraId="58D0FEC5" w14:textId="77777777" w:rsidR="00C1585C" w:rsidRPr="00DE2860" w:rsidRDefault="00C1585C" w:rsidP="00C1585C">
            <w:pPr>
              <w:rPr>
                <w:rFonts w:ascii="Arial" w:hAnsi="Arial" w:cs="Arial"/>
                <w:color w:val="000000"/>
                <w:sz w:val="20"/>
                <w:szCs w:val="20"/>
              </w:rPr>
            </w:pPr>
            <w:r w:rsidRPr="00DE2860">
              <w:rPr>
                <w:rFonts w:ascii="Arial" w:hAnsi="Arial" w:cs="Arial"/>
                <w:color w:val="000000"/>
                <w:sz w:val="20"/>
                <w:szCs w:val="20"/>
              </w:rPr>
              <w:t>In Situ measured</w:t>
            </w:r>
          </w:p>
        </w:tc>
        <w:tc>
          <w:tcPr>
            <w:tcW w:w="1033" w:type="dxa"/>
            <w:tcBorders>
              <w:top w:val="nil"/>
              <w:left w:val="nil"/>
              <w:bottom w:val="nil"/>
              <w:right w:val="nil"/>
            </w:tcBorders>
            <w:shd w:val="clear" w:color="auto" w:fill="auto"/>
            <w:vAlign w:val="bottom"/>
            <w:hideMark/>
          </w:tcPr>
          <w:p w14:paraId="64CAA960" w14:textId="77777777" w:rsidR="00C1585C" w:rsidRPr="00DE2860" w:rsidRDefault="00C1585C" w:rsidP="00C1585C">
            <w:pPr>
              <w:jc w:val="right"/>
              <w:rPr>
                <w:rFonts w:ascii="Arial" w:hAnsi="Arial" w:cs="Arial"/>
                <w:color w:val="000000"/>
                <w:sz w:val="20"/>
                <w:szCs w:val="20"/>
              </w:rPr>
            </w:pPr>
            <w:r w:rsidRPr="00DE2860">
              <w:rPr>
                <w:rFonts w:ascii="Arial" w:hAnsi="Arial" w:cs="Arial"/>
                <w:color w:val="000000"/>
                <w:sz w:val="20"/>
                <w:szCs w:val="20"/>
              </w:rPr>
              <w:t>1930</w:t>
            </w:r>
          </w:p>
        </w:tc>
        <w:tc>
          <w:tcPr>
            <w:tcW w:w="935" w:type="dxa"/>
            <w:tcBorders>
              <w:top w:val="nil"/>
              <w:left w:val="nil"/>
              <w:bottom w:val="nil"/>
              <w:right w:val="nil"/>
            </w:tcBorders>
            <w:shd w:val="clear" w:color="auto" w:fill="auto"/>
            <w:vAlign w:val="bottom"/>
            <w:hideMark/>
          </w:tcPr>
          <w:p w14:paraId="4DD0B199" w14:textId="77777777" w:rsidR="00C1585C" w:rsidRPr="00DE2860" w:rsidRDefault="00C1585C" w:rsidP="00C1585C">
            <w:pPr>
              <w:jc w:val="right"/>
              <w:rPr>
                <w:rFonts w:ascii="Arial" w:hAnsi="Arial" w:cs="Arial"/>
                <w:color w:val="000000"/>
                <w:sz w:val="20"/>
                <w:szCs w:val="20"/>
              </w:rPr>
            </w:pPr>
            <w:r w:rsidRPr="00DE2860">
              <w:rPr>
                <w:rFonts w:ascii="Arial" w:hAnsi="Arial" w:cs="Arial"/>
                <w:color w:val="000000"/>
                <w:sz w:val="20"/>
                <w:szCs w:val="20"/>
              </w:rPr>
              <w:t>2008</w:t>
            </w:r>
          </w:p>
        </w:tc>
        <w:tc>
          <w:tcPr>
            <w:tcW w:w="2156" w:type="dxa"/>
            <w:tcBorders>
              <w:top w:val="nil"/>
              <w:left w:val="nil"/>
              <w:bottom w:val="nil"/>
              <w:right w:val="nil"/>
            </w:tcBorders>
            <w:shd w:val="clear" w:color="auto" w:fill="auto"/>
            <w:vAlign w:val="bottom"/>
            <w:hideMark/>
          </w:tcPr>
          <w:p w14:paraId="5A3A1FBC" w14:textId="77777777" w:rsidR="00C1585C" w:rsidRPr="00DE2860" w:rsidRDefault="00C1585C" w:rsidP="00C1585C">
            <w:pPr>
              <w:rPr>
                <w:rFonts w:ascii="Arial" w:hAnsi="Arial" w:cs="Arial"/>
                <w:color w:val="000000"/>
                <w:sz w:val="20"/>
                <w:szCs w:val="20"/>
              </w:rPr>
            </w:pPr>
            <w:proofErr w:type="spellStart"/>
            <w:r w:rsidRPr="00DE2860">
              <w:rPr>
                <w:rFonts w:ascii="Arial" w:hAnsi="Arial" w:cs="Arial"/>
                <w:color w:val="000000"/>
                <w:sz w:val="20"/>
                <w:szCs w:val="20"/>
              </w:rPr>
              <w:t>umol</w:t>
            </w:r>
            <w:proofErr w:type="spellEnd"/>
            <w:r w:rsidRPr="00DE2860">
              <w:rPr>
                <w:rFonts w:ascii="Arial" w:hAnsi="Arial" w:cs="Arial"/>
                <w:color w:val="000000"/>
                <w:sz w:val="20"/>
                <w:szCs w:val="20"/>
              </w:rPr>
              <w:t>/l</w:t>
            </w:r>
          </w:p>
        </w:tc>
      </w:tr>
    </w:tbl>
    <w:p w14:paraId="0ADA9815" w14:textId="77777777" w:rsidR="00AD3C20" w:rsidRPr="00DE2860" w:rsidRDefault="00AD3C20" w:rsidP="00AD3C20">
      <w:pPr>
        <w:ind w:left="567"/>
        <w:jc w:val="both"/>
        <w:rPr>
          <w:rFonts w:ascii="Arial" w:hAnsi="Arial" w:cs="Arial"/>
          <w:color w:val="000000" w:themeColor="text1"/>
        </w:rPr>
      </w:pPr>
    </w:p>
    <w:p w14:paraId="64CAC0EF" w14:textId="77777777" w:rsidR="00094A4B" w:rsidRDefault="00094A4B" w:rsidP="00094A4B">
      <w:pPr>
        <w:ind w:left="567"/>
        <w:jc w:val="both"/>
        <w:rPr>
          <w:rFonts w:ascii="Arial" w:hAnsi="Arial" w:cs="Arial"/>
          <w:b/>
        </w:rPr>
      </w:pPr>
    </w:p>
    <w:p w14:paraId="1790CCD3" w14:textId="77777777" w:rsidR="00522412" w:rsidRDefault="00522412" w:rsidP="00094A4B">
      <w:pPr>
        <w:ind w:left="567"/>
        <w:jc w:val="both"/>
        <w:rPr>
          <w:rFonts w:ascii="Arial" w:hAnsi="Arial" w:cs="Arial"/>
          <w:b/>
        </w:rPr>
        <w:sectPr w:rsidR="00522412" w:rsidSect="00717B84">
          <w:pgSz w:w="15840" w:h="12240" w:orient="landscape"/>
          <w:pgMar w:top="1440" w:right="1440" w:bottom="1440" w:left="1440" w:header="708" w:footer="708" w:gutter="0"/>
          <w:cols w:space="708"/>
          <w:docGrid w:linePitch="360"/>
        </w:sectPr>
      </w:pPr>
    </w:p>
    <w:p w14:paraId="4DA3CC82" w14:textId="5C7F37E9" w:rsidR="00094A4B" w:rsidRDefault="00094A4B" w:rsidP="00094A4B">
      <w:pPr>
        <w:ind w:left="567"/>
        <w:jc w:val="both"/>
        <w:rPr>
          <w:rFonts w:ascii="Arial" w:hAnsi="Arial" w:cs="Arial"/>
          <w:b/>
        </w:rPr>
        <w:sectPr w:rsidR="00094A4B" w:rsidSect="00522412">
          <w:type w:val="continuous"/>
          <w:pgSz w:w="15840" w:h="12240" w:orient="landscape"/>
          <w:pgMar w:top="1440" w:right="1440" w:bottom="1440" w:left="1440" w:header="708" w:footer="708" w:gutter="0"/>
          <w:cols w:space="708"/>
          <w:docGrid w:linePitch="360"/>
        </w:sectPr>
      </w:pPr>
    </w:p>
    <w:p w14:paraId="202C54EB" w14:textId="41C26291" w:rsidR="00A27806" w:rsidRDefault="00266076" w:rsidP="00522412">
      <w:pPr>
        <w:spacing w:line="276" w:lineRule="auto"/>
        <w:rPr>
          <w:rFonts w:ascii="Arial" w:hAnsi="Arial" w:cs="Arial"/>
          <w:b/>
        </w:rPr>
      </w:pPr>
      <w:r>
        <w:rPr>
          <w:rFonts w:ascii="Arial" w:hAnsi="Arial" w:cs="Arial"/>
          <w:b/>
        </w:rPr>
        <w:t>Appendix</w:t>
      </w:r>
      <w:r w:rsidR="00A27806">
        <w:rPr>
          <w:rFonts w:ascii="Arial" w:hAnsi="Arial" w:cs="Arial"/>
          <w:b/>
        </w:rPr>
        <w:t xml:space="preserve"> </w:t>
      </w:r>
      <w:r w:rsidR="00AA7BA7">
        <w:rPr>
          <w:rFonts w:ascii="Arial" w:hAnsi="Arial" w:cs="Arial"/>
          <w:b/>
        </w:rPr>
        <w:t>2</w:t>
      </w:r>
      <w:r w:rsidR="00A27806">
        <w:rPr>
          <w:rFonts w:ascii="Arial" w:hAnsi="Arial" w:cs="Arial"/>
          <w:b/>
        </w:rPr>
        <w:t xml:space="preserve"> </w:t>
      </w:r>
      <w:r w:rsidR="00017222">
        <w:rPr>
          <w:rFonts w:ascii="Arial" w:hAnsi="Arial" w:cs="Arial"/>
          <w:b/>
        </w:rPr>
        <w:t>Detaile</w:t>
      </w:r>
      <w:r w:rsidR="00A04762">
        <w:rPr>
          <w:rFonts w:ascii="Arial" w:hAnsi="Arial" w:cs="Arial"/>
          <w:b/>
        </w:rPr>
        <w:t>d</w:t>
      </w:r>
      <w:r w:rsidR="00017222">
        <w:rPr>
          <w:rFonts w:ascii="Arial" w:hAnsi="Arial" w:cs="Arial"/>
          <w:b/>
        </w:rPr>
        <w:t xml:space="preserve"> </w:t>
      </w:r>
      <w:r w:rsidR="00A27806">
        <w:rPr>
          <w:rFonts w:ascii="Arial" w:hAnsi="Arial" w:cs="Arial"/>
          <w:b/>
        </w:rPr>
        <w:t>Seascape genomics methods.</w:t>
      </w:r>
    </w:p>
    <w:p w14:paraId="75AA5EC7" w14:textId="77777777" w:rsidR="00A27806" w:rsidRDefault="00A27806" w:rsidP="00522412">
      <w:pPr>
        <w:spacing w:line="276" w:lineRule="auto"/>
        <w:rPr>
          <w:rFonts w:ascii="Arial" w:hAnsi="Arial" w:cs="Arial"/>
          <w:b/>
          <w:i/>
          <w:color w:val="000000" w:themeColor="text1"/>
        </w:rPr>
      </w:pPr>
    </w:p>
    <w:p w14:paraId="2D22D512" w14:textId="68FBD521" w:rsidR="00522412" w:rsidRDefault="00522412" w:rsidP="00522412">
      <w:pPr>
        <w:spacing w:line="276" w:lineRule="auto"/>
        <w:rPr>
          <w:rFonts w:ascii="Arial" w:hAnsi="Arial" w:cs="Arial"/>
          <w:b/>
          <w:i/>
          <w:color w:val="000000" w:themeColor="text1"/>
        </w:rPr>
      </w:pPr>
      <w:r w:rsidRPr="00DE2860">
        <w:rPr>
          <w:rFonts w:ascii="Arial" w:hAnsi="Arial" w:cs="Arial"/>
          <w:b/>
          <w:i/>
          <w:color w:val="000000" w:themeColor="text1"/>
        </w:rPr>
        <w:t>Population differentiation analysis and Redundancy analysis methods</w:t>
      </w:r>
    </w:p>
    <w:p w14:paraId="2C54E4EA" w14:textId="77777777" w:rsidR="00522412" w:rsidRPr="00DE2860" w:rsidRDefault="00522412" w:rsidP="00522412">
      <w:pPr>
        <w:spacing w:line="276" w:lineRule="auto"/>
        <w:rPr>
          <w:rFonts w:ascii="Arial" w:hAnsi="Arial" w:cs="Arial"/>
        </w:rPr>
      </w:pPr>
    </w:p>
    <w:p w14:paraId="4FDEA286" w14:textId="77777777" w:rsidR="00522412" w:rsidRPr="0089117E" w:rsidRDefault="00522412" w:rsidP="00522412">
      <w:pPr>
        <w:spacing w:line="276" w:lineRule="auto"/>
        <w:rPr>
          <w:rFonts w:ascii="Arial" w:hAnsi="Arial" w:cs="Arial"/>
        </w:rPr>
      </w:pPr>
      <w:r w:rsidRPr="0089117E">
        <w:rPr>
          <w:rFonts w:ascii="Arial" w:hAnsi="Arial" w:cs="Arial"/>
        </w:rPr>
        <w:t xml:space="preserve">The spatial structure was estimated with the geographic coordinates of the sampling sites using distance vectors based on distance-based Moran’s eigenvector maps, </w:t>
      </w:r>
      <w:proofErr w:type="spellStart"/>
      <w:r w:rsidRPr="0089117E">
        <w:rPr>
          <w:rFonts w:ascii="Arial" w:hAnsi="Arial" w:cs="Arial"/>
        </w:rPr>
        <w:t>dbMEMs</w:t>
      </w:r>
      <w:proofErr w:type="spellEnd"/>
      <w:r w:rsidRPr="0089117E">
        <w:rPr>
          <w:rFonts w:ascii="Arial" w:hAnsi="Arial" w:cs="Arial"/>
        </w:rPr>
        <w:t xml:space="preserve"> (Dray et al. 2006, Legendre and Legendre 2012). The </w:t>
      </w:r>
      <w:proofErr w:type="spellStart"/>
      <w:r w:rsidRPr="0089117E">
        <w:rPr>
          <w:rFonts w:ascii="Arial" w:hAnsi="Arial" w:cs="Arial"/>
        </w:rPr>
        <w:t>dbMEMs</w:t>
      </w:r>
      <w:proofErr w:type="spellEnd"/>
      <w:r w:rsidRPr="0089117E">
        <w:rPr>
          <w:rFonts w:ascii="Arial" w:hAnsi="Arial" w:cs="Arial"/>
        </w:rPr>
        <w:t xml:space="preserve"> were determined by converting latitude and longitude to Cartesian coordinates using the </w:t>
      </w:r>
      <w:proofErr w:type="spellStart"/>
      <w:r w:rsidRPr="0089117E">
        <w:rPr>
          <w:rFonts w:ascii="Arial" w:hAnsi="Arial" w:cs="Arial"/>
          <w:i/>
        </w:rPr>
        <w:t>SoDa</w:t>
      </w:r>
      <w:proofErr w:type="spellEnd"/>
      <w:r w:rsidRPr="0089117E">
        <w:rPr>
          <w:rFonts w:ascii="Arial" w:hAnsi="Arial" w:cs="Arial"/>
          <w:i/>
        </w:rPr>
        <w:t xml:space="preserve"> </w:t>
      </w:r>
      <w:r w:rsidRPr="0089117E">
        <w:rPr>
          <w:rFonts w:ascii="Arial" w:hAnsi="Arial" w:cs="Arial"/>
        </w:rPr>
        <w:t xml:space="preserve">package in R 3.22. Then, a matrix of Euclidean distances between these </w:t>
      </w:r>
      <w:proofErr w:type="gramStart"/>
      <w:r w:rsidRPr="0089117E">
        <w:rPr>
          <w:rFonts w:ascii="Arial" w:hAnsi="Arial" w:cs="Arial"/>
        </w:rPr>
        <w:t>cartesian</w:t>
      </w:r>
      <w:proofErr w:type="gramEnd"/>
      <w:r w:rsidRPr="0089117E">
        <w:rPr>
          <w:rFonts w:ascii="Arial" w:hAnsi="Arial" w:cs="Arial"/>
        </w:rPr>
        <w:t xml:space="preserve"> coordinates were calculated (using the </w:t>
      </w:r>
      <w:proofErr w:type="spellStart"/>
      <w:r w:rsidRPr="0089117E">
        <w:rPr>
          <w:rFonts w:ascii="Arial" w:hAnsi="Arial" w:cs="Arial"/>
          <w:i/>
        </w:rPr>
        <w:t>dist</w:t>
      </w:r>
      <w:proofErr w:type="spellEnd"/>
      <w:r w:rsidRPr="0089117E">
        <w:rPr>
          <w:rFonts w:ascii="Arial" w:hAnsi="Arial" w:cs="Arial"/>
        </w:rPr>
        <w:t xml:space="preserve"> function in VEGAN), and finally the </w:t>
      </w:r>
      <w:proofErr w:type="spellStart"/>
      <w:r w:rsidRPr="0089117E">
        <w:rPr>
          <w:rFonts w:ascii="Arial" w:hAnsi="Arial" w:cs="Arial"/>
        </w:rPr>
        <w:t>dbMEMs</w:t>
      </w:r>
      <w:proofErr w:type="spellEnd"/>
      <w:r w:rsidRPr="0089117E">
        <w:rPr>
          <w:rFonts w:ascii="Arial" w:hAnsi="Arial" w:cs="Arial"/>
        </w:rPr>
        <w:t xml:space="preserve"> were estimated using the </w:t>
      </w:r>
      <w:proofErr w:type="spellStart"/>
      <w:r w:rsidRPr="0089117E">
        <w:rPr>
          <w:rFonts w:ascii="Arial" w:hAnsi="Arial" w:cs="Arial"/>
        </w:rPr>
        <w:t>create.dbMEM.model</w:t>
      </w:r>
      <w:proofErr w:type="spellEnd"/>
      <w:r w:rsidRPr="0089117E">
        <w:rPr>
          <w:rFonts w:ascii="Arial" w:hAnsi="Arial" w:cs="Arial"/>
        </w:rPr>
        <w:t xml:space="preserve"> function in the</w:t>
      </w:r>
      <w:r w:rsidRPr="0089117E">
        <w:rPr>
          <w:rFonts w:ascii="Arial" w:hAnsi="Arial" w:cs="Arial"/>
          <w:i/>
        </w:rPr>
        <w:t xml:space="preserve"> </w:t>
      </w:r>
      <w:r w:rsidRPr="0089117E">
        <w:rPr>
          <w:rFonts w:ascii="Arial" w:hAnsi="Arial" w:cs="Arial"/>
        </w:rPr>
        <w:t>ADESPATIAL package. This created a spatial matrix with two vectors, one associated with longitude (dbMEM1) and the other with latitude (dbMEM2), which were then used in redundancy analyses (RDA).</w:t>
      </w:r>
    </w:p>
    <w:p w14:paraId="2B0DCD64" w14:textId="77777777" w:rsidR="00522412" w:rsidRPr="0089117E" w:rsidRDefault="00522412" w:rsidP="00522412">
      <w:pPr>
        <w:spacing w:line="276" w:lineRule="auto"/>
        <w:rPr>
          <w:rFonts w:ascii="Arial" w:hAnsi="Arial" w:cs="Arial"/>
        </w:rPr>
      </w:pPr>
      <w:r w:rsidRPr="0089117E">
        <w:rPr>
          <w:rFonts w:ascii="Arial" w:hAnsi="Arial" w:cs="Arial"/>
        </w:rPr>
        <w:t>The RDAs, were performed in VEGAN</w:t>
      </w:r>
      <w:r w:rsidRPr="0089117E">
        <w:rPr>
          <w:rFonts w:ascii="Arial" w:hAnsi="Arial" w:cs="Arial"/>
          <w:i/>
        </w:rPr>
        <w:t xml:space="preserve"> </w:t>
      </w:r>
      <w:r w:rsidRPr="0089117E">
        <w:rPr>
          <w:rFonts w:ascii="Arial" w:hAnsi="Arial" w:cs="Arial"/>
        </w:rPr>
        <w:t xml:space="preserve">(Oksanen et al. 2017) using the </w:t>
      </w:r>
      <w:proofErr w:type="spellStart"/>
      <w:r w:rsidRPr="0089117E">
        <w:rPr>
          <w:rFonts w:ascii="Arial" w:hAnsi="Arial" w:cs="Arial"/>
        </w:rPr>
        <w:t>dbMEMs</w:t>
      </w:r>
      <w:proofErr w:type="spellEnd"/>
      <w:r w:rsidRPr="0089117E">
        <w:rPr>
          <w:rFonts w:ascii="Arial" w:hAnsi="Arial" w:cs="Arial"/>
        </w:rPr>
        <w:t xml:space="preserve">, environmental variables, and the genotypes associated with the neutral and candidates’ loci for positive selection detected by the three PDA methods as response variable. Before the analyses, genotype data were standardized by removing the broad scale trend using the </w:t>
      </w:r>
      <w:proofErr w:type="spellStart"/>
      <w:r w:rsidRPr="0089117E">
        <w:rPr>
          <w:rFonts w:ascii="Arial" w:hAnsi="Arial" w:cs="Arial"/>
          <w:i/>
        </w:rPr>
        <w:t>decostand</w:t>
      </w:r>
      <w:proofErr w:type="spellEnd"/>
      <w:r w:rsidRPr="0089117E">
        <w:rPr>
          <w:rFonts w:ascii="Arial" w:hAnsi="Arial" w:cs="Arial"/>
        </w:rPr>
        <w:t xml:space="preserve"> function with the Hellinger’s method in VEGAN</w:t>
      </w:r>
      <w:r w:rsidRPr="0089117E">
        <w:rPr>
          <w:rFonts w:ascii="Arial" w:hAnsi="Arial" w:cs="Arial"/>
          <w:i/>
        </w:rPr>
        <w:t xml:space="preserve"> </w:t>
      </w:r>
      <w:r w:rsidRPr="0089117E">
        <w:rPr>
          <w:rFonts w:ascii="Arial" w:hAnsi="Arial" w:cs="Arial"/>
        </w:rPr>
        <w:t>(Oksanen et al. 2017). We executed three RDA models; 1) A full RDA (</w:t>
      </w:r>
      <w:proofErr w:type="spellStart"/>
      <w:r w:rsidRPr="0089117E">
        <w:rPr>
          <w:rFonts w:ascii="Arial" w:hAnsi="Arial" w:cs="Arial"/>
        </w:rPr>
        <w:t>dbMEMs</w:t>
      </w:r>
      <w:proofErr w:type="spellEnd"/>
      <w:r w:rsidRPr="0089117E">
        <w:rPr>
          <w:rFonts w:ascii="Arial" w:hAnsi="Arial" w:cs="Arial"/>
        </w:rPr>
        <w:t xml:space="preserve"> and </w:t>
      </w:r>
      <w:proofErr w:type="spellStart"/>
      <w:r w:rsidRPr="0089117E">
        <w:rPr>
          <w:rFonts w:ascii="Arial" w:hAnsi="Arial" w:cs="Arial"/>
        </w:rPr>
        <w:t>Enviromental</w:t>
      </w:r>
      <w:proofErr w:type="spellEnd"/>
      <w:r w:rsidRPr="0089117E">
        <w:rPr>
          <w:rFonts w:ascii="Arial" w:hAnsi="Arial" w:cs="Arial"/>
        </w:rPr>
        <w:t xml:space="preserve"> variables as fixed factors), 2) a “spatial RDA” that used the environmental variables as fixed factors and </w:t>
      </w:r>
      <w:proofErr w:type="spellStart"/>
      <w:r w:rsidRPr="0089117E">
        <w:rPr>
          <w:rFonts w:ascii="Arial" w:hAnsi="Arial" w:cs="Arial"/>
        </w:rPr>
        <w:t>dbMEM</w:t>
      </w:r>
      <w:proofErr w:type="spellEnd"/>
      <w:r w:rsidRPr="0089117E">
        <w:rPr>
          <w:rFonts w:ascii="Arial" w:hAnsi="Arial" w:cs="Arial"/>
        </w:rPr>
        <w:t xml:space="preserve"> vectors as co-variables, to control the effect of the spatial distribution in the genetic structure, and 3) an “environmental RDA” with the </w:t>
      </w:r>
      <w:proofErr w:type="spellStart"/>
      <w:r w:rsidRPr="0089117E">
        <w:rPr>
          <w:rFonts w:ascii="Arial" w:hAnsi="Arial" w:cs="Arial"/>
        </w:rPr>
        <w:t>dbMEM</w:t>
      </w:r>
      <w:proofErr w:type="spellEnd"/>
      <w:r w:rsidRPr="0089117E">
        <w:rPr>
          <w:rFonts w:ascii="Arial" w:hAnsi="Arial" w:cs="Arial"/>
        </w:rPr>
        <w:t xml:space="preserve"> vectors as fixed factors and the environmental factors as conditional variables (co-variables). For the three kinds of RDA, we determined the optimal model with respect to the environmental and/or spatial factors that best explained the genetic variability using the </w:t>
      </w:r>
      <w:proofErr w:type="spellStart"/>
      <w:r w:rsidRPr="0089117E">
        <w:rPr>
          <w:rFonts w:ascii="Arial" w:hAnsi="Arial" w:cs="Arial"/>
          <w:i/>
        </w:rPr>
        <w:t>ordistep</w:t>
      </w:r>
      <w:proofErr w:type="spellEnd"/>
      <w:r w:rsidRPr="0089117E">
        <w:rPr>
          <w:rFonts w:ascii="Arial" w:hAnsi="Arial" w:cs="Arial"/>
        </w:rPr>
        <w:t xml:space="preserve"> function in VEGAN. This function selects the variables that constitute the optimum model according to their significance, R</w:t>
      </w:r>
      <w:r w:rsidRPr="0089117E">
        <w:rPr>
          <w:rFonts w:ascii="Arial" w:hAnsi="Arial" w:cs="Arial"/>
          <w:vertAlign w:val="superscript"/>
        </w:rPr>
        <w:t>2</w:t>
      </w:r>
      <w:r w:rsidRPr="0089117E">
        <w:rPr>
          <w:rFonts w:ascii="Arial" w:hAnsi="Arial" w:cs="Arial"/>
        </w:rPr>
        <w:t xml:space="preserve"> adjusted value (</w:t>
      </w:r>
      <w:r w:rsidRPr="0089117E">
        <w:rPr>
          <w:rFonts w:ascii="Arial" w:hAnsi="Arial" w:cs="Arial"/>
          <w:i/>
        </w:rPr>
        <w:t>or2distep</w:t>
      </w:r>
      <w:r w:rsidRPr="0089117E">
        <w:rPr>
          <w:rFonts w:ascii="Arial" w:hAnsi="Arial" w:cs="Arial"/>
        </w:rPr>
        <w:t xml:space="preserve"> function), and the value of the Akaike Information Criterion (AIC). For each model, we used a marginal ANOVA with 10,000 permutations to evaluate the significance of each fixed factor considered.</w:t>
      </w:r>
    </w:p>
    <w:p w14:paraId="16C6CA6B" w14:textId="17A4A609" w:rsidR="00B74802" w:rsidRPr="0030344E" w:rsidRDefault="00522412" w:rsidP="00B74802">
      <w:pPr>
        <w:spacing w:line="276" w:lineRule="auto"/>
        <w:rPr>
          <w:rFonts w:ascii="Arial" w:hAnsi="Arial" w:cs="Arial"/>
        </w:rPr>
      </w:pPr>
      <w:r w:rsidRPr="0089117E">
        <w:rPr>
          <w:rFonts w:ascii="Arial" w:hAnsi="Arial" w:cs="Arial"/>
        </w:rPr>
        <w:t xml:space="preserve">We also performed EAA that explicitly incorporate the environmental variables in the determination of candidate loci for local adaptation. To identify candidate loci for local adaptation and to avoid false positives in the EAA we used both multiple approximations and the signal of neutral loci as control (De </w:t>
      </w:r>
      <w:proofErr w:type="spellStart"/>
      <w:r w:rsidRPr="0089117E">
        <w:rPr>
          <w:rFonts w:ascii="Arial" w:hAnsi="Arial" w:cs="Arial"/>
        </w:rPr>
        <w:t>Mita</w:t>
      </w:r>
      <w:proofErr w:type="spellEnd"/>
      <w:r w:rsidRPr="0089117E">
        <w:rPr>
          <w:rFonts w:ascii="Arial" w:hAnsi="Arial" w:cs="Arial"/>
        </w:rPr>
        <w:t xml:space="preserve"> et al. 2013, de </w:t>
      </w:r>
      <w:proofErr w:type="spellStart"/>
      <w:r w:rsidRPr="0089117E">
        <w:rPr>
          <w:rFonts w:ascii="Arial" w:hAnsi="Arial" w:cs="Arial"/>
        </w:rPr>
        <w:t>Villemereuil</w:t>
      </w:r>
      <w:proofErr w:type="spellEnd"/>
      <w:r w:rsidRPr="0089117E">
        <w:rPr>
          <w:rFonts w:ascii="Arial" w:hAnsi="Arial" w:cs="Arial"/>
        </w:rPr>
        <w:t xml:space="preserve"> et al. 2014, </w:t>
      </w:r>
      <w:proofErr w:type="spellStart"/>
      <w:r w:rsidRPr="0089117E">
        <w:rPr>
          <w:rFonts w:ascii="Arial" w:hAnsi="Arial" w:cs="Arial"/>
        </w:rPr>
        <w:t>Frichot</w:t>
      </w:r>
      <w:proofErr w:type="spellEnd"/>
      <w:r w:rsidRPr="0089117E">
        <w:rPr>
          <w:rFonts w:ascii="Arial" w:hAnsi="Arial" w:cs="Arial"/>
        </w:rPr>
        <w:t xml:space="preserve"> et al. 2015, </w:t>
      </w:r>
      <w:proofErr w:type="spellStart"/>
      <w:r w:rsidRPr="0089117E">
        <w:rPr>
          <w:rFonts w:ascii="Arial" w:hAnsi="Arial" w:cs="Arial"/>
        </w:rPr>
        <w:t>Lotterhos</w:t>
      </w:r>
      <w:proofErr w:type="spellEnd"/>
      <w:r w:rsidRPr="0089117E">
        <w:rPr>
          <w:rFonts w:ascii="Arial" w:hAnsi="Arial" w:cs="Arial"/>
        </w:rPr>
        <w:t xml:space="preserve"> and Whitlock 2015, </w:t>
      </w:r>
      <w:proofErr w:type="spellStart"/>
      <w:r w:rsidRPr="0089117E">
        <w:rPr>
          <w:rFonts w:ascii="Arial" w:hAnsi="Arial" w:cs="Arial"/>
        </w:rPr>
        <w:t>Rellstab</w:t>
      </w:r>
      <w:proofErr w:type="spellEnd"/>
      <w:r w:rsidRPr="0089117E">
        <w:rPr>
          <w:rFonts w:ascii="Arial" w:hAnsi="Arial" w:cs="Arial"/>
        </w:rPr>
        <w:t xml:space="preserve"> et al. 2015). For this, first a Discriminant Analysis of Principal Components (DAPC) of putatively neutral SNPs were performed in ADEGENET</w:t>
      </w:r>
      <w:r w:rsidRPr="0089117E">
        <w:rPr>
          <w:rFonts w:ascii="Arial" w:hAnsi="Arial" w:cs="Arial"/>
          <w:i/>
        </w:rPr>
        <w:t xml:space="preserve"> </w:t>
      </w:r>
      <w:r w:rsidRPr="0089117E">
        <w:rPr>
          <w:rFonts w:ascii="Arial" w:hAnsi="Arial" w:cs="Arial"/>
        </w:rPr>
        <w:t>(</w:t>
      </w:r>
      <w:proofErr w:type="spellStart"/>
      <w:r w:rsidRPr="0089117E">
        <w:rPr>
          <w:rFonts w:ascii="Arial" w:hAnsi="Arial" w:cs="Arial"/>
        </w:rPr>
        <w:t>Jombart</w:t>
      </w:r>
      <w:proofErr w:type="spellEnd"/>
      <w:r w:rsidRPr="0089117E">
        <w:rPr>
          <w:rFonts w:ascii="Arial" w:hAnsi="Arial" w:cs="Arial"/>
        </w:rPr>
        <w:t xml:space="preserve"> 2008) package of R 3.22. </w:t>
      </w:r>
      <w:r w:rsidR="00B74802" w:rsidRPr="0030344E">
        <w:rPr>
          <w:rFonts w:ascii="Arial" w:hAnsi="Arial" w:cs="Arial"/>
        </w:rPr>
        <w:t>In DAPC, we used the k-means and a Bayesian Information Criterion (BIC) to identify the optimal number of clusters in the data. The number of clusters in each data set was determined using 10e</w:t>
      </w:r>
      <w:r w:rsidR="00B74802" w:rsidRPr="0030344E">
        <w:rPr>
          <w:rFonts w:ascii="Arial" w:hAnsi="Arial" w:cs="Arial"/>
          <w:vertAlign w:val="superscript"/>
        </w:rPr>
        <w:t>7</w:t>
      </w:r>
      <w:r w:rsidR="00B74802" w:rsidRPr="0030344E">
        <w:rPr>
          <w:rFonts w:ascii="Arial" w:hAnsi="Arial" w:cs="Arial"/>
        </w:rPr>
        <w:t xml:space="preserve"> iterations. To avoid unstable assignments in each cluster, 50 PCs were retained (</w:t>
      </w:r>
      <w:proofErr w:type="spellStart"/>
      <w:r w:rsidR="00B74802" w:rsidRPr="0030344E">
        <w:rPr>
          <w:rFonts w:ascii="Arial" w:hAnsi="Arial" w:cs="Arial"/>
        </w:rPr>
        <w:t>N</w:t>
      </w:r>
      <w:r w:rsidR="00B74802" w:rsidRPr="0030344E">
        <w:rPr>
          <w:rFonts w:ascii="Arial" w:hAnsi="Arial" w:cs="Arial"/>
          <w:vertAlign w:val="subscript"/>
        </w:rPr>
        <w:t>total</w:t>
      </w:r>
      <w:proofErr w:type="spellEnd"/>
      <w:r w:rsidR="00B74802" w:rsidRPr="0030344E">
        <w:rPr>
          <w:rFonts w:ascii="Arial" w:hAnsi="Arial" w:cs="Arial"/>
        </w:rPr>
        <w:t xml:space="preserve">/3), using all discriminant functions. </w:t>
      </w:r>
    </w:p>
    <w:p w14:paraId="72DCD4FB" w14:textId="473585CF" w:rsidR="00B74802" w:rsidRPr="0030344E" w:rsidRDefault="00B74802" w:rsidP="00B74802">
      <w:pPr>
        <w:spacing w:line="276" w:lineRule="auto"/>
        <w:rPr>
          <w:rFonts w:ascii="Arial" w:hAnsi="Arial" w:cs="Arial"/>
        </w:rPr>
      </w:pPr>
    </w:p>
    <w:p w14:paraId="4B8D3F95" w14:textId="245D20A9" w:rsidR="00522412" w:rsidRPr="0089117E" w:rsidRDefault="00522412" w:rsidP="00522412">
      <w:pPr>
        <w:spacing w:line="276" w:lineRule="auto"/>
        <w:rPr>
          <w:rFonts w:ascii="Arial" w:hAnsi="Arial" w:cs="Arial"/>
        </w:rPr>
      </w:pPr>
      <w:r w:rsidRPr="0089117E">
        <w:rPr>
          <w:rFonts w:ascii="Arial" w:hAnsi="Arial" w:cs="Arial"/>
        </w:rPr>
        <w:t xml:space="preserve">Once the neutral structure was determined, we used three </w:t>
      </w:r>
      <w:r w:rsidR="003F3FFE">
        <w:rPr>
          <w:rFonts w:ascii="Arial" w:hAnsi="Arial" w:cs="Arial"/>
        </w:rPr>
        <w:t>different</w:t>
      </w:r>
      <w:r w:rsidRPr="0089117E">
        <w:rPr>
          <w:rFonts w:ascii="Arial" w:hAnsi="Arial" w:cs="Arial"/>
        </w:rPr>
        <w:t xml:space="preserve"> approximations to search for environment-SNP associations: 1) LFMM v 1.4 (</w:t>
      </w:r>
      <w:proofErr w:type="spellStart"/>
      <w:r w:rsidRPr="0089117E">
        <w:rPr>
          <w:rFonts w:ascii="Arial" w:hAnsi="Arial" w:cs="Arial"/>
        </w:rPr>
        <w:t>Frichot</w:t>
      </w:r>
      <w:proofErr w:type="spellEnd"/>
      <w:r w:rsidRPr="0089117E">
        <w:rPr>
          <w:rFonts w:ascii="Arial" w:hAnsi="Arial" w:cs="Arial"/>
        </w:rPr>
        <w:t xml:space="preserve"> et al. 2013), 2) BAYENV2 (Guenther and Coop 2013) and 3) SAMβADA (Stucki et al. 2016) (Supporting Information, Table S2). </w:t>
      </w:r>
    </w:p>
    <w:p w14:paraId="04CD1132" w14:textId="77777777" w:rsidR="00522412" w:rsidRPr="0089117E" w:rsidRDefault="00522412" w:rsidP="00522412">
      <w:pPr>
        <w:spacing w:line="276" w:lineRule="auto"/>
        <w:rPr>
          <w:rFonts w:ascii="Arial" w:hAnsi="Arial" w:cs="Arial"/>
        </w:rPr>
      </w:pPr>
      <w:r w:rsidRPr="0089117E">
        <w:rPr>
          <w:rFonts w:ascii="Arial" w:hAnsi="Arial" w:cs="Arial"/>
        </w:rPr>
        <w:t>Once the common candidate SNP loci for local adaptation were detected through BAYENV2, LFMM and SAM</w:t>
      </w:r>
      <w:r w:rsidRPr="0089117E">
        <w:rPr>
          <w:rFonts w:ascii="Arial" w:hAnsi="Arial" w:cs="Arial"/>
          <w:lang w:val="es-ES_tradnl"/>
        </w:rPr>
        <w:t>β</w:t>
      </w:r>
      <w:r w:rsidRPr="0089117E">
        <w:rPr>
          <w:rFonts w:ascii="Arial" w:hAnsi="Arial" w:cs="Arial"/>
        </w:rPr>
        <w:t>ADA for each environmental variable, they were extracted from the global dataset and analyzed independently using spatial principal components analyses (</w:t>
      </w:r>
      <w:proofErr w:type="spellStart"/>
      <w:proofErr w:type="gramStart"/>
      <w:r w:rsidRPr="0089117E">
        <w:rPr>
          <w:rFonts w:ascii="Arial" w:hAnsi="Arial" w:cs="Arial"/>
        </w:rPr>
        <w:t>sPCA</w:t>
      </w:r>
      <w:proofErr w:type="spellEnd"/>
      <w:proofErr w:type="gramEnd"/>
      <w:r w:rsidRPr="0089117E">
        <w:rPr>
          <w:rFonts w:ascii="Arial" w:hAnsi="Arial" w:cs="Arial"/>
        </w:rPr>
        <w:t>), in the ADEGENET package (</w:t>
      </w:r>
      <w:proofErr w:type="spellStart"/>
      <w:r w:rsidRPr="0089117E">
        <w:rPr>
          <w:rFonts w:ascii="Arial" w:hAnsi="Arial" w:cs="Arial"/>
        </w:rPr>
        <w:t>Jombart</w:t>
      </w:r>
      <w:proofErr w:type="spellEnd"/>
      <w:r w:rsidRPr="0089117E">
        <w:rPr>
          <w:rFonts w:ascii="Arial" w:hAnsi="Arial" w:cs="Arial"/>
        </w:rPr>
        <w:t xml:space="preserve"> 2008) in R 3.22. </w:t>
      </w:r>
      <w:proofErr w:type="spellStart"/>
      <w:proofErr w:type="gramStart"/>
      <w:r w:rsidRPr="0089117E">
        <w:rPr>
          <w:rFonts w:ascii="Arial" w:hAnsi="Arial" w:cs="Arial"/>
        </w:rPr>
        <w:t>sPCA</w:t>
      </w:r>
      <w:proofErr w:type="spellEnd"/>
      <w:proofErr w:type="gramEnd"/>
      <w:r w:rsidRPr="0089117E">
        <w:rPr>
          <w:rFonts w:ascii="Arial" w:hAnsi="Arial" w:cs="Arial"/>
        </w:rPr>
        <w:t xml:space="preserve"> is a multivariate analysis that searches for discrete or clinal genetic groups based on the allele frequencies of the candidate loci (</w:t>
      </w:r>
      <w:proofErr w:type="spellStart"/>
      <w:r w:rsidRPr="0089117E">
        <w:rPr>
          <w:rFonts w:ascii="Arial" w:hAnsi="Arial" w:cs="Arial"/>
        </w:rPr>
        <w:t>Jombart</w:t>
      </w:r>
      <w:proofErr w:type="spellEnd"/>
      <w:r w:rsidRPr="0089117E">
        <w:rPr>
          <w:rFonts w:ascii="Arial" w:hAnsi="Arial" w:cs="Arial"/>
        </w:rPr>
        <w:t xml:space="preserve"> 2008). This approximation includes both spatial information based on the geographic coordinates and genetic data. We used </w:t>
      </w:r>
      <w:proofErr w:type="spellStart"/>
      <w:proofErr w:type="gramStart"/>
      <w:r w:rsidRPr="0089117E">
        <w:rPr>
          <w:rFonts w:ascii="Arial" w:hAnsi="Arial" w:cs="Arial"/>
        </w:rPr>
        <w:t>sPCA</w:t>
      </w:r>
      <w:proofErr w:type="spellEnd"/>
      <w:proofErr w:type="gramEnd"/>
      <w:r w:rsidRPr="0089117E">
        <w:rPr>
          <w:rFonts w:ascii="Arial" w:hAnsi="Arial" w:cs="Arial"/>
        </w:rPr>
        <w:t xml:space="preserve"> to infer if the variation in the candidate SNPs is significantly associated with each environmental variable above what would be expected based only on the geographic proximity of each site. To execute the </w:t>
      </w:r>
      <w:proofErr w:type="spellStart"/>
      <w:proofErr w:type="gramStart"/>
      <w:r w:rsidRPr="0089117E">
        <w:rPr>
          <w:rFonts w:ascii="Arial" w:hAnsi="Arial" w:cs="Arial"/>
        </w:rPr>
        <w:t>sPCA</w:t>
      </w:r>
      <w:proofErr w:type="spellEnd"/>
      <w:proofErr w:type="gramEnd"/>
      <w:r w:rsidRPr="0089117E">
        <w:rPr>
          <w:rFonts w:ascii="Arial" w:hAnsi="Arial" w:cs="Arial"/>
        </w:rPr>
        <w:t xml:space="preserve"> we used a geographic (spatial) proximity network among localities through the </w:t>
      </w:r>
      <w:r w:rsidRPr="0089117E">
        <w:rPr>
          <w:rFonts w:ascii="Arial" w:hAnsi="Arial" w:cs="Arial"/>
          <w:i/>
        </w:rPr>
        <w:t xml:space="preserve">neighborhood-by-distance </w:t>
      </w:r>
      <w:r w:rsidRPr="0089117E">
        <w:rPr>
          <w:rFonts w:ascii="Arial" w:hAnsi="Arial" w:cs="Arial"/>
        </w:rPr>
        <w:t>method, using the geographic coordinates of each studied site (</w:t>
      </w:r>
      <w:proofErr w:type="spellStart"/>
      <w:r w:rsidRPr="0089117E">
        <w:rPr>
          <w:rFonts w:ascii="Arial" w:hAnsi="Arial" w:cs="Arial"/>
        </w:rPr>
        <w:t>Joombart</w:t>
      </w:r>
      <w:proofErr w:type="spellEnd"/>
      <w:r w:rsidRPr="0089117E">
        <w:rPr>
          <w:rFonts w:ascii="Arial" w:hAnsi="Arial" w:cs="Arial"/>
        </w:rPr>
        <w:t xml:space="preserve"> 2008). From this, we extracted the </w:t>
      </w:r>
      <w:r w:rsidRPr="0089117E">
        <w:rPr>
          <w:rFonts w:ascii="Arial" w:hAnsi="Arial" w:cs="Arial"/>
          <w:i/>
        </w:rPr>
        <w:t>lagged scores</w:t>
      </w:r>
      <w:r w:rsidRPr="0089117E">
        <w:rPr>
          <w:rFonts w:ascii="Arial" w:hAnsi="Arial" w:cs="Arial"/>
        </w:rPr>
        <w:t xml:space="preserve"> associated with the first two principal components for each locality, which reflects the genetic variability that is linked to the spatial structure among sites. The </w:t>
      </w:r>
      <w:r w:rsidRPr="0089117E">
        <w:rPr>
          <w:rFonts w:ascii="Arial" w:hAnsi="Arial" w:cs="Arial"/>
          <w:i/>
        </w:rPr>
        <w:t>lagged scores</w:t>
      </w:r>
      <w:r w:rsidRPr="0089117E">
        <w:rPr>
          <w:rFonts w:ascii="Arial" w:hAnsi="Arial" w:cs="Arial"/>
        </w:rPr>
        <w:t xml:space="preserve"> were used to transform the genetic variation of the candidate SNPs into </w:t>
      </w:r>
      <w:proofErr w:type="spellStart"/>
      <w:r w:rsidRPr="0089117E">
        <w:rPr>
          <w:rFonts w:ascii="Arial" w:hAnsi="Arial" w:cs="Arial"/>
        </w:rPr>
        <w:t>multilocus</w:t>
      </w:r>
      <w:proofErr w:type="spellEnd"/>
      <w:r w:rsidRPr="0089117E">
        <w:rPr>
          <w:rFonts w:ascii="Arial" w:hAnsi="Arial" w:cs="Arial"/>
        </w:rPr>
        <w:t xml:space="preserve"> geographic clines. To evaluate if the variation of the candidate SNPs correlate best to environmental or the spatial variables, the multi-locus clines were used to perform linear regressions with both groups of variables using </w:t>
      </w:r>
      <w:proofErr w:type="spellStart"/>
      <w:r w:rsidRPr="0089117E">
        <w:rPr>
          <w:rFonts w:ascii="Arial" w:hAnsi="Arial" w:cs="Arial"/>
        </w:rPr>
        <w:t>dbMEM</w:t>
      </w:r>
      <w:proofErr w:type="spellEnd"/>
      <w:r w:rsidRPr="0089117E">
        <w:rPr>
          <w:rFonts w:ascii="Arial" w:hAnsi="Arial" w:cs="Arial"/>
        </w:rPr>
        <w:t xml:space="preserve"> vectors.</w:t>
      </w:r>
    </w:p>
    <w:p w14:paraId="4A196B61" w14:textId="77777777" w:rsidR="00522412" w:rsidRPr="00DE2860" w:rsidRDefault="00522412" w:rsidP="00522412">
      <w:pPr>
        <w:spacing w:line="276" w:lineRule="auto"/>
        <w:rPr>
          <w:rFonts w:ascii="Arial" w:hAnsi="Arial" w:cs="Arial"/>
        </w:rPr>
      </w:pPr>
    </w:p>
    <w:p w14:paraId="4C393544" w14:textId="77777777" w:rsidR="00522412" w:rsidRPr="00DE2860" w:rsidRDefault="00522412" w:rsidP="00522412">
      <w:pPr>
        <w:spacing w:line="276" w:lineRule="auto"/>
        <w:ind w:firstLine="709"/>
        <w:rPr>
          <w:rFonts w:ascii="Arial" w:hAnsi="Arial" w:cs="Arial"/>
          <w:color w:val="000000" w:themeColor="text1"/>
        </w:rPr>
      </w:pPr>
      <w:r w:rsidRPr="00DE2860">
        <w:rPr>
          <w:rFonts w:ascii="Arial" w:hAnsi="Arial" w:cs="Arial"/>
          <w:color w:val="000000" w:themeColor="text1"/>
        </w:rPr>
        <w:t xml:space="preserve">Three independent approximations based on PDA were used to detect loci putatively subject to positive selection: 1) </w:t>
      </w:r>
      <w:proofErr w:type="spellStart"/>
      <w:r w:rsidRPr="00DE2860">
        <w:rPr>
          <w:rFonts w:ascii="Arial" w:hAnsi="Arial" w:cs="Arial"/>
          <w:color w:val="000000" w:themeColor="text1"/>
        </w:rPr>
        <w:t>BayeScan</w:t>
      </w:r>
      <w:proofErr w:type="spellEnd"/>
      <w:r w:rsidRPr="00DE2860">
        <w:rPr>
          <w:rFonts w:ascii="Arial" w:hAnsi="Arial" w:cs="Arial"/>
          <w:color w:val="000000" w:themeColor="text1"/>
        </w:rPr>
        <w:t xml:space="preserve"> 2.1 implements a Bayesian method based on a logistic regression model that separates loci putatively affected by selection (locus-specific putatively adaptive genetic variation) from those affected by population-specific demographic processes (null model or neutral genetic variation). This analysis detects signals neutral to selection and both positive and balancing selection signals. Those under balancing selection were eliminated from the dataset for later analyses; since these loci have lower differentiation values than that expected for neutral variation they may hid the neutral structure. We used an </w:t>
      </w:r>
      <w:r w:rsidRPr="00DE2860">
        <w:rPr>
          <w:rFonts w:ascii="Arial" w:hAnsi="Arial" w:cs="Arial"/>
          <w:i/>
          <w:color w:val="000000" w:themeColor="text1"/>
        </w:rPr>
        <w:t>a priori</w:t>
      </w:r>
      <w:r w:rsidRPr="00DE2860">
        <w:rPr>
          <w:rFonts w:ascii="Arial" w:hAnsi="Arial" w:cs="Arial"/>
          <w:color w:val="000000" w:themeColor="text1"/>
        </w:rPr>
        <w:t xml:space="preserve"> model (</w:t>
      </w:r>
      <w:proofErr w:type="spellStart"/>
      <w:r w:rsidRPr="00DE2860">
        <w:rPr>
          <w:rFonts w:ascii="Arial" w:hAnsi="Arial" w:cs="Arial"/>
          <w:color w:val="000000" w:themeColor="text1"/>
        </w:rPr>
        <w:t>pr_odds</w:t>
      </w:r>
      <w:proofErr w:type="spellEnd"/>
      <w:r w:rsidRPr="00DE2860">
        <w:rPr>
          <w:rFonts w:ascii="Arial" w:hAnsi="Arial" w:cs="Arial"/>
          <w:color w:val="000000" w:themeColor="text1"/>
        </w:rPr>
        <w:t xml:space="preserve"> parameter) with 100,000 iterations and a burn-in of 10,000 steps. The results were corrected using a false discovery rate of 0.05 with the logarithm of the </w:t>
      </w:r>
      <w:r w:rsidRPr="00DE2860">
        <w:rPr>
          <w:rFonts w:ascii="Arial" w:hAnsi="Arial" w:cs="Arial"/>
          <w:i/>
          <w:color w:val="000000" w:themeColor="text1"/>
        </w:rPr>
        <w:t>q</w:t>
      </w:r>
      <w:r w:rsidRPr="00DE2860">
        <w:rPr>
          <w:rFonts w:ascii="Arial" w:hAnsi="Arial" w:cs="Arial"/>
          <w:color w:val="000000" w:themeColor="text1"/>
        </w:rPr>
        <w:t xml:space="preserve"> values. The candidate loci for positive selection considered were those with strong or very strong evidence of selection according to Jeffrey’s criterion (Jeffrey 1961) based on the values of the Bayes Factor</w:t>
      </w:r>
      <w:r w:rsidRPr="00DE2860">
        <w:rPr>
          <w:rFonts w:ascii="Arial" w:hAnsi="Arial" w:cs="Arial"/>
          <w:i/>
          <w:color w:val="000000" w:themeColor="text1"/>
        </w:rPr>
        <w:t xml:space="preserve"> </w:t>
      </w:r>
      <w:r w:rsidRPr="00DE2860">
        <w:rPr>
          <w:rFonts w:ascii="Arial" w:hAnsi="Arial" w:cs="Arial"/>
          <w:color w:val="000000" w:themeColor="text1"/>
        </w:rPr>
        <w:t>(</w:t>
      </w:r>
      <w:r w:rsidRPr="00DE2860">
        <w:rPr>
          <w:rFonts w:ascii="Arial" w:hAnsi="Arial" w:cs="Arial"/>
          <w:i/>
          <w:color w:val="000000" w:themeColor="text1"/>
        </w:rPr>
        <w:t xml:space="preserve">bf </w:t>
      </w:r>
      <w:r w:rsidRPr="00DE2860">
        <w:rPr>
          <w:rFonts w:ascii="Arial" w:hAnsi="Arial" w:cs="Arial"/>
          <w:color w:val="000000" w:themeColor="text1"/>
        </w:rPr>
        <w:t>&gt; 10).</w:t>
      </w:r>
    </w:p>
    <w:p w14:paraId="49BD410D" w14:textId="77777777" w:rsidR="00522412" w:rsidRPr="00DE2860" w:rsidRDefault="00522412" w:rsidP="00522412">
      <w:pPr>
        <w:spacing w:line="276" w:lineRule="auto"/>
        <w:ind w:firstLine="709"/>
        <w:rPr>
          <w:rFonts w:ascii="Arial" w:hAnsi="Arial" w:cs="Arial"/>
          <w:color w:val="000000" w:themeColor="text1"/>
        </w:rPr>
      </w:pPr>
      <w:r w:rsidRPr="00DE2860">
        <w:rPr>
          <w:rFonts w:ascii="Arial" w:hAnsi="Arial" w:cs="Arial"/>
          <w:color w:val="000000" w:themeColor="text1"/>
        </w:rPr>
        <w:t>The second PDA method used, 2) OUT-Flank, estimates a probability based on a distribution fitted to the values of F</w:t>
      </w:r>
      <w:r w:rsidRPr="00DE2860">
        <w:rPr>
          <w:rFonts w:ascii="Arial" w:hAnsi="Arial" w:cs="Arial"/>
          <w:color w:val="000000" w:themeColor="text1"/>
          <w:vertAlign w:val="subscript"/>
        </w:rPr>
        <w:t>ST</w:t>
      </w:r>
      <w:r w:rsidRPr="00DE2860">
        <w:rPr>
          <w:rFonts w:ascii="Arial" w:hAnsi="Arial" w:cs="Arial"/>
          <w:color w:val="000000" w:themeColor="text1"/>
        </w:rPr>
        <w:t xml:space="preserve"> to infer the distribution of F</w:t>
      </w:r>
      <w:r w:rsidRPr="00DE2860">
        <w:rPr>
          <w:rFonts w:ascii="Arial" w:hAnsi="Arial" w:cs="Arial"/>
          <w:color w:val="000000" w:themeColor="text1"/>
          <w:vertAlign w:val="subscript"/>
        </w:rPr>
        <w:t>ST</w:t>
      </w:r>
      <w:r w:rsidRPr="00DE2860">
        <w:rPr>
          <w:rFonts w:ascii="Arial" w:hAnsi="Arial" w:cs="Arial"/>
          <w:color w:val="000000" w:themeColor="text1"/>
        </w:rPr>
        <w:t xml:space="preserve"> for putatively neutral loci. This distribution is used to assign </w:t>
      </w:r>
      <w:r w:rsidRPr="00DE2860">
        <w:rPr>
          <w:rFonts w:ascii="Arial" w:hAnsi="Arial" w:cs="Arial"/>
          <w:i/>
          <w:color w:val="000000" w:themeColor="text1"/>
        </w:rPr>
        <w:t>q</w:t>
      </w:r>
      <w:r w:rsidRPr="00DE2860">
        <w:rPr>
          <w:rFonts w:ascii="Arial" w:hAnsi="Arial" w:cs="Arial"/>
          <w:color w:val="000000" w:themeColor="text1"/>
        </w:rPr>
        <w:t xml:space="preserve"> values to each locus and detect loci with outlier F</w:t>
      </w:r>
      <w:r w:rsidRPr="00DE2860">
        <w:rPr>
          <w:rFonts w:ascii="Arial" w:hAnsi="Arial" w:cs="Arial"/>
          <w:color w:val="000000" w:themeColor="text1"/>
          <w:vertAlign w:val="subscript"/>
        </w:rPr>
        <w:t>ST</w:t>
      </w:r>
      <w:r w:rsidRPr="00DE2860">
        <w:rPr>
          <w:rFonts w:ascii="Arial" w:hAnsi="Arial" w:cs="Arial"/>
          <w:color w:val="000000" w:themeColor="text1"/>
        </w:rPr>
        <w:t xml:space="preserve"> values. To do this we eliminated loci with extreme F</w:t>
      </w:r>
      <w:r w:rsidRPr="00DE2860">
        <w:rPr>
          <w:rFonts w:ascii="Arial" w:hAnsi="Arial" w:cs="Arial"/>
          <w:color w:val="000000" w:themeColor="text1"/>
          <w:vertAlign w:val="subscript"/>
        </w:rPr>
        <w:t>ST</w:t>
      </w:r>
      <w:r w:rsidRPr="00DE2860">
        <w:rPr>
          <w:rFonts w:ascii="Arial" w:hAnsi="Arial" w:cs="Arial"/>
          <w:color w:val="000000" w:themeColor="text1"/>
        </w:rPr>
        <w:t xml:space="preserve"> values in both tails, using a </w:t>
      </w:r>
      <w:proofErr w:type="spellStart"/>
      <w:r w:rsidRPr="00DE2860">
        <w:rPr>
          <w:rFonts w:ascii="Arial" w:hAnsi="Arial" w:cs="Arial"/>
          <w:color w:val="000000" w:themeColor="text1"/>
        </w:rPr>
        <w:t>LeftTrimFraction</w:t>
      </w:r>
      <w:proofErr w:type="spellEnd"/>
      <w:r w:rsidRPr="00DE2860">
        <w:rPr>
          <w:rFonts w:ascii="Arial" w:hAnsi="Arial" w:cs="Arial"/>
          <w:color w:val="000000" w:themeColor="text1"/>
        </w:rPr>
        <w:t xml:space="preserve"> and </w:t>
      </w:r>
      <w:proofErr w:type="spellStart"/>
      <w:r w:rsidRPr="00DE2860">
        <w:rPr>
          <w:rFonts w:ascii="Arial" w:hAnsi="Arial" w:cs="Arial"/>
          <w:color w:val="000000" w:themeColor="text1"/>
        </w:rPr>
        <w:t>RightTrimFraction</w:t>
      </w:r>
      <w:proofErr w:type="spellEnd"/>
      <w:r w:rsidRPr="00DE2860">
        <w:rPr>
          <w:rFonts w:ascii="Arial" w:hAnsi="Arial" w:cs="Arial"/>
          <w:color w:val="000000" w:themeColor="text1"/>
        </w:rPr>
        <w:t xml:space="preserve"> with 0.05 in both cases, as well as a minimum heterozygosity of 0.1. The outliers were identified in the 5 sampling sites using an interval of </w:t>
      </w:r>
      <w:r w:rsidRPr="00DE2860">
        <w:rPr>
          <w:rFonts w:ascii="Arial" w:hAnsi="Arial" w:cs="Arial"/>
          <w:i/>
          <w:color w:val="000000" w:themeColor="text1"/>
        </w:rPr>
        <w:t>q</w:t>
      </w:r>
      <w:r w:rsidRPr="00DE2860">
        <w:rPr>
          <w:rFonts w:ascii="Arial" w:hAnsi="Arial" w:cs="Arial"/>
          <w:color w:val="000000" w:themeColor="text1"/>
        </w:rPr>
        <w:t xml:space="preserve"> values of 0.05.</w:t>
      </w:r>
    </w:p>
    <w:p w14:paraId="7C757745" w14:textId="77777777" w:rsidR="00522412" w:rsidRPr="00DE2860" w:rsidRDefault="00522412" w:rsidP="00522412">
      <w:pPr>
        <w:spacing w:line="276" w:lineRule="auto"/>
        <w:ind w:firstLine="709"/>
        <w:rPr>
          <w:rFonts w:ascii="Arial" w:hAnsi="Arial" w:cs="Arial"/>
          <w:color w:val="000000" w:themeColor="text1"/>
        </w:rPr>
      </w:pPr>
      <w:r w:rsidRPr="00DE2860">
        <w:rPr>
          <w:rFonts w:ascii="Arial" w:hAnsi="Arial" w:cs="Arial"/>
          <w:color w:val="000000" w:themeColor="text1"/>
        </w:rPr>
        <w:t xml:space="preserve">Finally, 3) </w:t>
      </w:r>
      <w:proofErr w:type="spellStart"/>
      <w:r w:rsidRPr="00DE2860">
        <w:rPr>
          <w:rFonts w:ascii="Arial" w:hAnsi="Arial" w:cs="Arial"/>
          <w:color w:val="000000" w:themeColor="text1"/>
        </w:rPr>
        <w:t>PCAdapt</w:t>
      </w:r>
      <w:proofErr w:type="spellEnd"/>
      <w:r w:rsidRPr="00DE2860">
        <w:rPr>
          <w:rFonts w:ascii="Arial" w:hAnsi="Arial" w:cs="Arial"/>
          <w:color w:val="000000" w:themeColor="text1"/>
        </w:rPr>
        <w:t xml:space="preserve"> uses a principal component analysis (PCA) to determine the percentage of genetic variance explained by each component. This was done by first using a PCA with the number of groups (K) equal to the number of populations studied (5). Based on this result, we then defined the optimal value of K based on the highest K value after stabilization of the curve of the proportion of variance explained as a function of the number of principal components stabilized (</w:t>
      </w:r>
      <w:proofErr w:type="spellStart"/>
      <w:r w:rsidRPr="00DE2860">
        <w:rPr>
          <w:rFonts w:ascii="Arial" w:hAnsi="Arial" w:cs="Arial"/>
          <w:color w:val="000000" w:themeColor="text1"/>
        </w:rPr>
        <w:t>Luu</w:t>
      </w:r>
      <w:proofErr w:type="spellEnd"/>
      <w:r w:rsidRPr="00DE2860">
        <w:rPr>
          <w:rFonts w:ascii="Arial" w:hAnsi="Arial" w:cs="Arial"/>
          <w:color w:val="000000" w:themeColor="text1"/>
        </w:rPr>
        <w:t xml:space="preserve"> et al 2017). For a given SNP, </w:t>
      </w:r>
      <w:proofErr w:type="spellStart"/>
      <w:r w:rsidRPr="00DE2860">
        <w:rPr>
          <w:rFonts w:ascii="Arial" w:hAnsi="Arial" w:cs="Arial"/>
          <w:color w:val="000000" w:themeColor="text1"/>
        </w:rPr>
        <w:t>PCAdapt</w:t>
      </w:r>
      <w:proofErr w:type="spellEnd"/>
      <w:r w:rsidRPr="00DE2860">
        <w:rPr>
          <w:rFonts w:ascii="Arial" w:hAnsi="Arial" w:cs="Arial"/>
          <w:color w:val="000000" w:themeColor="text1"/>
        </w:rPr>
        <w:t xml:space="preserve"> uses a test of </w:t>
      </w:r>
      <w:proofErr w:type="spellStart"/>
      <w:r w:rsidRPr="00DE2860">
        <w:rPr>
          <w:rFonts w:ascii="Arial" w:hAnsi="Arial" w:cs="Arial"/>
          <w:color w:val="000000" w:themeColor="text1"/>
        </w:rPr>
        <w:t>Mahalanobis</w:t>
      </w:r>
      <w:proofErr w:type="spellEnd"/>
      <w:r w:rsidRPr="00DE2860">
        <w:rPr>
          <w:rFonts w:ascii="Arial" w:hAnsi="Arial" w:cs="Arial"/>
          <w:color w:val="000000" w:themeColor="text1"/>
        </w:rPr>
        <w:t xml:space="preserve"> distance to determine if a marker is or is not an outlier based on the factor loadings, which are the correlation between this SNP and each principal component. The Manhattan graphs to define the outliers were made using log</w:t>
      </w:r>
      <w:r w:rsidRPr="00DE2860">
        <w:rPr>
          <w:rFonts w:ascii="Arial" w:hAnsi="Arial" w:cs="Arial"/>
          <w:color w:val="000000" w:themeColor="text1"/>
          <w:vertAlign w:val="subscript"/>
        </w:rPr>
        <w:t>10</w:t>
      </w:r>
      <w:r w:rsidRPr="00DE2860">
        <w:rPr>
          <w:rFonts w:ascii="Arial" w:hAnsi="Arial" w:cs="Arial"/>
          <w:color w:val="000000" w:themeColor="text1"/>
        </w:rPr>
        <w:t xml:space="preserve"> </w:t>
      </w:r>
      <w:r w:rsidRPr="00DE2860">
        <w:rPr>
          <w:rFonts w:ascii="Arial" w:hAnsi="Arial" w:cs="Arial"/>
          <w:i/>
          <w:color w:val="000000" w:themeColor="text1"/>
        </w:rPr>
        <w:t>p</w:t>
      </w:r>
      <w:r w:rsidRPr="00DE2860">
        <w:rPr>
          <w:rFonts w:ascii="Arial" w:hAnsi="Arial" w:cs="Arial"/>
          <w:color w:val="000000" w:themeColor="text1"/>
        </w:rPr>
        <w:t xml:space="preserve"> values. The distribution of </w:t>
      </w:r>
      <w:r w:rsidRPr="00DE2860">
        <w:rPr>
          <w:rFonts w:ascii="Arial" w:hAnsi="Arial" w:cs="Arial"/>
          <w:i/>
          <w:color w:val="000000" w:themeColor="text1"/>
        </w:rPr>
        <w:t>p</w:t>
      </w:r>
      <w:r w:rsidRPr="00DE2860">
        <w:rPr>
          <w:rFonts w:ascii="Arial" w:hAnsi="Arial" w:cs="Arial"/>
          <w:color w:val="000000" w:themeColor="text1"/>
        </w:rPr>
        <w:t xml:space="preserve"> values was corrected using a false discovery rate of 0.05, finally obtaining a list of the outlier loci that are candidates for selected loci.</w:t>
      </w:r>
    </w:p>
    <w:p w14:paraId="416D9351" w14:textId="77777777" w:rsidR="00522412" w:rsidRPr="00DE2860" w:rsidRDefault="00522412" w:rsidP="00522412">
      <w:pPr>
        <w:spacing w:line="276" w:lineRule="auto"/>
        <w:rPr>
          <w:rFonts w:ascii="Arial" w:hAnsi="Arial" w:cs="Arial"/>
        </w:rPr>
      </w:pPr>
    </w:p>
    <w:p w14:paraId="23B97101" w14:textId="77777777" w:rsidR="00522412" w:rsidRPr="00DE2860" w:rsidRDefault="00522412" w:rsidP="00522412">
      <w:pPr>
        <w:spacing w:line="276" w:lineRule="auto"/>
        <w:ind w:firstLine="709"/>
        <w:rPr>
          <w:rFonts w:ascii="Arial" w:hAnsi="Arial" w:cs="Arial"/>
          <w:b/>
          <w:i/>
          <w:color w:val="000000" w:themeColor="text1"/>
        </w:rPr>
      </w:pPr>
      <w:r w:rsidRPr="00DE2860">
        <w:rPr>
          <w:rFonts w:ascii="Arial" w:hAnsi="Arial" w:cs="Arial"/>
          <w:b/>
          <w:i/>
          <w:color w:val="000000" w:themeColor="text1"/>
        </w:rPr>
        <w:t>Environmental Association Analysis</w:t>
      </w:r>
    </w:p>
    <w:p w14:paraId="1C310064" w14:textId="77777777" w:rsidR="00522412" w:rsidRPr="00DE2860" w:rsidRDefault="00522412" w:rsidP="00522412">
      <w:pPr>
        <w:spacing w:line="276" w:lineRule="auto"/>
        <w:rPr>
          <w:rFonts w:ascii="Arial" w:hAnsi="Arial" w:cs="Arial"/>
        </w:rPr>
      </w:pPr>
    </w:p>
    <w:p w14:paraId="1EE8CBAE" w14:textId="77777777" w:rsidR="00522412" w:rsidRPr="00DE2860" w:rsidRDefault="00522412" w:rsidP="00522412">
      <w:pPr>
        <w:spacing w:line="276" w:lineRule="auto"/>
        <w:ind w:firstLine="709"/>
        <w:rPr>
          <w:rFonts w:ascii="Arial" w:hAnsi="Arial" w:cs="Arial"/>
          <w:color w:val="000000" w:themeColor="text1"/>
        </w:rPr>
      </w:pPr>
      <w:r w:rsidRPr="00DE2860">
        <w:rPr>
          <w:rFonts w:ascii="Arial" w:hAnsi="Arial" w:cs="Arial"/>
          <w:color w:val="000000" w:themeColor="text1"/>
        </w:rPr>
        <w:t>Once the neutral structure was determined, to look for environment-locus SNP associations we used three EAA approximations (Figure 1) implemented in: 1) LFMM v.1.4) (</w:t>
      </w:r>
      <w:proofErr w:type="spellStart"/>
      <w:r w:rsidRPr="00DE2860">
        <w:rPr>
          <w:rFonts w:ascii="Arial" w:hAnsi="Arial" w:cs="Arial"/>
          <w:color w:val="000000" w:themeColor="text1"/>
        </w:rPr>
        <w:t>Frichot</w:t>
      </w:r>
      <w:proofErr w:type="spellEnd"/>
      <w:r w:rsidRPr="00DE2860">
        <w:rPr>
          <w:rFonts w:ascii="Arial" w:hAnsi="Arial" w:cs="Arial"/>
          <w:color w:val="000000" w:themeColor="text1"/>
        </w:rPr>
        <w:t xml:space="preserve"> et al 2013), 2) Bayenv2 (Guenther &amp; Coop 2013) and 3) Sam</w:t>
      </w:r>
      <w:r w:rsidRPr="00DE2860">
        <w:rPr>
          <w:rFonts w:ascii="Arial" w:hAnsi="Arial" w:cs="Arial"/>
          <w:color w:val="000000" w:themeColor="text1"/>
          <w:lang w:val="es-ES_tradnl"/>
        </w:rPr>
        <w:t>β</w:t>
      </w:r>
      <w:proofErr w:type="spellStart"/>
      <w:r w:rsidRPr="00DE2860">
        <w:rPr>
          <w:rFonts w:ascii="Arial" w:hAnsi="Arial" w:cs="Arial"/>
          <w:color w:val="000000" w:themeColor="text1"/>
        </w:rPr>
        <w:t>ada</w:t>
      </w:r>
      <w:proofErr w:type="spellEnd"/>
      <w:r w:rsidRPr="00DE2860">
        <w:rPr>
          <w:rFonts w:ascii="Arial" w:hAnsi="Arial" w:cs="Arial"/>
          <w:color w:val="000000" w:themeColor="text1"/>
        </w:rPr>
        <w:t xml:space="preserve"> (</w:t>
      </w:r>
      <w:proofErr w:type="spellStart"/>
      <w:r w:rsidRPr="00DE2860">
        <w:rPr>
          <w:rFonts w:ascii="Arial" w:hAnsi="Arial" w:cs="Arial"/>
          <w:color w:val="000000" w:themeColor="text1"/>
        </w:rPr>
        <w:t>Stucki</w:t>
      </w:r>
      <w:proofErr w:type="spellEnd"/>
      <w:r w:rsidRPr="00DE2860">
        <w:rPr>
          <w:rFonts w:ascii="Arial" w:hAnsi="Arial" w:cs="Arial"/>
          <w:color w:val="000000" w:themeColor="text1"/>
        </w:rPr>
        <w:t xml:space="preserve"> et al 2016). The LFMM (Latent Factors of Mixed Models) analysis determines associations between environmental variables and SNPs using environmental variables as fixed effects and neutral genetic structure as a latent or unobserved factor (</w:t>
      </w:r>
      <w:proofErr w:type="spellStart"/>
      <w:r w:rsidRPr="00DE2860">
        <w:rPr>
          <w:rFonts w:ascii="Arial" w:hAnsi="Arial" w:cs="Arial"/>
          <w:color w:val="000000" w:themeColor="text1"/>
        </w:rPr>
        <w:t>Frichot</w:t>
      </w:r>
      <w:proofErr w:type="spellEnd"/>
      <w:r w:rsidRPr="00DE2860">
        <w:rPr>
          <w:rFonts w:ascii="Arial" w:hAnsi="Arial" w:cs="Arial"/>
          <w:color w:val="000000" w:themeColor="text1"/>
        </w:rPr>
        <w:t xml:space="preserve"> et al 2013). The program was executed using the number of latent factors based on the results of the DAPC (optimum K of the neutral structure) using 200,000 iterations after a burn-in of 10,000. Five independent runs were done for each analysis to estimate the different parameters, as recommended by </w:t>
      </w:r>
      <w:proofErr w:type="spellStart"/>
      <w:r w:rsidRPr="00DE2860">
        <w:rPr>
          <w:rFonts w:ascii="Arial" w:hAnsi="Arial" w:cs="Arial"/>
          <w:color w:val="000000" w:themeColor="text1"/>
        </w:rPr>
        <w:t>Frichot</w:t>
      </w:r>
      <w:proofErr w:type="spellEnd"/>
      <w:r w:rsidRPr="00DE2860">
        <w:rPr>
          <w:rFonts w:ascii="Arial" w:hAnsi="Arial" w:cs="Arial"/>
          <w:color w:val="000000" w:themeColor="text1"/>
        </w:rPr>
        <w:t xml:space="preserve"> et al (2013), and the mean of the z-scores was used for the final results. All these were executed in the LEA package of R 3.22 and the significance of the values associated with each SNP was calculated using α = 0.01 corrected with a False Discovery Rate.</w:t>
      </w:r>
    </w:p>
    <w:p w14:paraId="63DA9366" w14:textId="77777777" w:rsidR="00522412" w:rsidRPr="00DE2860" w:rsidRDefault="00522412" w:rsidP="00522412">
      <w:pPr>
        <w:spacing w:line="276" w:lineRule="auto"/>
        <w:ind w:firstLine="709"/>
        <w:rPr>
          <w:rFonts w:ascii="Arial" w:hAnsi="Arial" w:cs="Arial"/>
          <w:color w:val="000000" w:themeColor="text1"/>
        </w:rPr>
      </w:pPr>
      <w:r w:rsidRPr="00DE2860">
        <w:rPr>
          <w:rFonts w:ascii="Arial" w:hAnsi="Arial" w:cs="Arial"/>
          <w:color w:val="000000" w:themeColor="text1"/>
        </w:rPr>
        <w:t>The second EAA approximation used was Bayenv2 (Guenther &amp; Coop 2013). This program uses a Bayesian framework and evaluates correlations between molecular markers and environmental factors, testing whether the model that includes the environmental variable (each variable is evaluated separately) fits the data better than a null model. The null model is a genetic covariance matrix analogous to a F</w:t>
      </w:r>
      <w:r w:rsidRPr="00DE2860">
        <w:rPr>
          <w:rFonts w:ascii="Arial" w:hAnsi="Arial" w:cs="Arial"/>
          <w:color w:val="000000" w:themeColor="text1"/>
          <w:vertAlign w:val="subscript"/>
        </w:rPr>
        <w:t>ST</w:t>
      </w:r>
      <w:r w:rsidRPr="00DE2860">
        <w:rPr>
          <w:rFonts w:ascii="Arial" w:hAnsi="Arial" w:cs="Arial"/>
          <w:color w:val="000000" w:themeColor="text1"/>
        </w:rPr>
        <w:t xml:space="preserve"> matrix between pairs of populations, calculated using the estimated allele frequencies of neutral loci. To estimate this matrix, we performed five independent runs using 100,000 iterations to avoid bias due to the number of MCMA iterations, and once matrices were obtained that were not significantly different, we generated a mean matrix using the last iteration of each of the 5 runs (</w:t>
      </w:r>
      <w:proofErr w:type="spellStart"/>
      <w:r w:rsidRPr="00DE2860">
        <w:rPr>
          <w:rFonts w:ascii="Arial" w:hAnsi="Arial" w:cs="Arial"/>
          <w:color w:val="000000" w:themeColor="text1"/>
        </w:rPr>
        <w:t>Frichot</w:t>
      </w:r>
      <w:proofErr w:type="spellEnd"/>
      <w:r w:rsidRPr="00DE2860">
        <w:rPr>
          <w:rFonts w:ascii="Arial" w:hAnsi="Arial" w:cs="Arial"/>
          <w:color w:val="000000" w:themeColor="text1"/>
        </w:rPr>
        <w:t xml:space="preserve"> et al 2013). Then the complete set of SNPs was tested individually with the 10 environmental variables previously standardized (mean=0, variance =1) using 80,000 MCMC iterations with a sampling interval of 500 iterations. To identify SNP candidates with evidence of positive selection for each environmental variable we used Bayes factor &gt;10 (</w:t>
      </w:r>
      <w:proofErr w:type="spellStart"/>
      <w:r w:rsidRPr="00DE2860">
        <w:rPr>
          <w:rFonts w:ascii="Arial" w:hAnsi="Arial" w:cs="Arial"/>
          <w:color w:val="000000" w:themeColor="text1"/>
        </w:rPr>
        <w:t>Kass</w:t>
      </w:r>
      <w:proofErr w:type="spellEnd"/>
      <w:r w:rsidRPr="00DE2860">
        <w:rPr>
          <w:rFonts w:ascii="Arial" w:hAnsi="Arial" w:cs="Arial"/>
          <w:color w:val="000000" w:themeColor="text1"/>
        </w:rPr>
        <w:t xml:space="preserve"> &amp; </w:t>
      </w:r>
      <w:proofErr w:type="spellStart"/>
      <w:r w:rsidRPr="00DE2860">
        <w:rPr>
          <w:rFonts w:ascii="Arial" w:hAnsi="Arial" w:cs="Arial"/>
          <w:color w:val="000000" w:themeColor="text1"/>
        </w:rPr>
        <w:t>Raftery</w:t>
      </w:r>
      <w:proofErr w:type="spellEnd"/>
      <w:r w:rsidRPr="00DE2860">
        <w:rPr>
          <w:rFonts w:ascii="Arial" w:hAnsi="Arial" w:cs="Arial"/>
          <w:color w:val="000000" w:themeColor="text1"/>
        </w:rPr>
        <w:t xml:space="preserve"> 1995), according to Jeffrey’s criterion (Jeffreys 1961).</w:t>
      </w:r>
    </w:p>
    <w:p w14:paraId="2A5311C6" w14:textId="77777777" w:rsidR="00522412" w:rsidRDefault="00522412" w:rsidP="00522412">
      <w:pPr>
        <w:spacing w:line="276" w:lineRule="auto"/>
        <w:jc w:val="both"/>
        <w:rPr>
          <w:rFonts w:ascii="Arial" w:hAnsi="Arial" w:cs="Arial"/>
          <w:color w:val="000000" w:themeColor="text1"/>
        </w:rPr>
      </w:pPr>
      <w:r w:rsidRPr="00DE2860">
        <w:rPr>
          <w:rFonts w:ascii="Arial" w:hAnsi="Arial" w:cs="Arial"/>
          <w:color w:val="000000" w:themeColor="text1"/>
        </w:rPr>
        <w:t>Finally, we used the Sam</w:t>
      </w:r>
      <w:r w:rsidRPr="00522412">
        <w:rPr>
          <w:rFonts w:ascii="Arial" w:hAnsi="Arial" w:cs="Arial"/>
          <w:color w:val="000000" w:themeColor="text1"/>
        </w:rPr>
        <w:t>β</w:t>
      </w:r>
      <w:proofErr w:type="spellStart"/>
      <w:r w:rsidRPr="00DE2860">
        <w:rPr>
          <w:rFonts w:ascii="Arial" w:hAnsi="Arial" w:cs="Arial"/>
          <w:color w:val="000000" w:themeColor="text1"/>
        </w:rPr>
        <w:t>ada</w:t>
      </w:r>
      <w:proofErr w:type="spellEnd"/>
      <w:r w:rsidRPr="00DE2860">
        <w:rPr>
          <w:rFonts w:ascii="Arial" w:hAnsi="Arial" w:cs="Arial"/>
          <w:color w:val="000000" w:themeColor="text1"/>
        </w:rPr>
        <w:t xml:space="preserve"> program (</w:t>
      </w:r>
      <w:proofErr w:type="spellStart"/>
      <w:r w:rsidRPr="00DE2860">
        <w:rPr>
          <w:rFonts w:ascii="Arial" w:hAnsi="Arial" w:cs="Arial"/>
          <w:color w:val="000000" w:themeColor="text1"/>
        </w:rPr>
        <w:t>Stucki</w:t>
      </w:r>
      <w:proofErr w:type="spellEnd"/>
      <w:r w:rsidRPr="00DE2860">
        <w:rPr>
          <w:rFonts w:ascii="Arial" w:hAnsi="Arial" w:cs="Arial"/>
          <w:color w:val="000000" w:themeColor="text1"/>
        </w:rPr>
        <w:t xml:space="preserve"> et al 2016) to test for associations between allele frequencies and environmental parameters among sites, considering the neutral structure based both on the number of groups present (optimum K determined by DAPC) and the spatial autocorrelation using the information of the geographic coordinates of the studied sites. Sam</w:t>
      </w:r>
      <w:r w:rsidRPr="00522412">
        <w:rPr>
          <w:rFonts w:ascii="Arial" w:hAnsi="Arial" w:cs="Arial"/>
          <w:color w:val="000000" w:themeColor="text1"/>
        </w:rPr>
        <w:t>β</w:t>
      </w:r>
      <w:proofErr w:type="spellStart"/>
      <w:r w:rsidRPr="00DE2860">
        <w:rPr>
          <w:rFonts w:ascii="Arial" w:hAnsi="Arial" w:cs="Arial"/>
          <w:color w:val="000000" w:themeColor="text1"/>
        </w:rPr>
        <w:t>ada</w:t>
      </w:r>
      <w:proofErr w:type="spellEnd"/>
      <w:r w:rsidRPr="00DE2860">
        <w:rPr>
          <w:rFonts w:ascii="Arial" w:hAnsi="Arial" w:cs="Arial"/>
          <w:color w:val="000000" w:themeColor="text1"/>
        </w:rPr>
        <w:t xml:space="preserve"> implements a </w:t>
      </w:r>
      <w:proofErr w:type="spellStart"/>
      <w:r w:rsidRPr="00DE2860">
        <w:rPr>
          <w:rFonts w:ascii="Arial" w:hAnsi="Arial" w:cs="Arial"/>
          <w:color w:val="000000" w:themeColor="text1"/>
        </w:rPr>
        <w:t>univariate</w:t>
      </w:r>
      <w:proofErr w:type="spellEnd"/>
      <w:r w:rsidRPr="00DE2860">
        <w:rPr>
          <w:rFonts w:ascii="Arial" w:hAnsi="Arial" w:cs="Arial"/>
          <w:color w:val="000000" w:themeColor="text1"/>
        </w:rPr>
        <w:t xml:space="preserve"> analysis of multiple logistic regressions in which the </w:t>
      </w:r>
      <w:r w:rsidRPr="00522412">
        <w:rPr>
          <w:rFonts w:ascii="Arial" w:hAnsi="Arial" w:cs="Arial"/>
          <w:color w:val="000000" w:themeColor="text1"/>
        </w:rPr>
        <w:t>p</w:t>
      </w:r>
      <w:r w:rsidRPr="00DE2860">
        <w:rPr>
          <w:rFonts w:ascii="Arial" w:hAnsi="Arial" w:cs="Arial"/>
          <w:color w:val="000000" w:themeColor="text1"/>
        </w:rPr>
        <w:t xml:space="preserve"> values are calculated from regressions of all possible genetic-environmental associations according to an analysis called the Wald Score Test. The results are compared to a Chi squared distribution with one degree of freedom. The loci with </w:t>
      </w:r>
      <w:r w:rsidRPr="00522412">
        <w:rPr>
          <w:rFonts w:ascii="Arial" w:hAnsi="Arial" w:cs="Arial"/>
          <w:color w:val="000000" w:themeColor="text1"/>
        </w:rPr>
        <w:t>p</w:t>
      </w:r>
      <w:r w:rsidRPr="00DE2860">
        <w:rPr>
          <w:rFonts w:ascii="Arial" w:hAnsi="Arial" w:cs="Arial"/>
          <w:color w:val="000000" w:themeColor="text1"/>
        </w:rPr>
        <w:t xml:space="preserve"> values less than 0.05, corrected with an FDR, were considered as significant associations between the corresponding marker and environmental variable</w:t>
      </w:r>
    </w:p>
    <w:p w14:paraId="03E1469E" w14:textId="77777777" w:rsidR="00522412" w:rsidRPr="00522412" w:rsidRDefault="00522412" w:rsidP="00522412">
      <w:pPr>
        <w:ind w:left="567"/>
        <w:jc w:val="both"/>
        <w:rPr>
          <w:rFonts w:ascii="Arial" w:hAnsi="Arial" w:cs="Arial"/>
          <w:color w:val="000000" w:themeColor="text1"/>
        </w:rPr>
      </w:pPr>
    </w:p>
    <w:p w14:paraId="746416D8" w14:textId="77777777" w:rsidR="00522412" w:rsidRDefault="00522412" w:rsidP="00522412">
      <w:pPr>
        <w:ind w:left="567"/>
        <w:jc w:val="both"/>
        <w:rPr>
          <w:rFonts w:ascii="Arial" w:hAnsi="Arial" w:cs="Arial"/>
          <w:b/>
        </w:rPr>
        <w:sectPr w:rsidR="00522412" w:rsidSect="00522412">
          <w:pgSz w:w="12240" w:h="15840"/>
          <w:pgMar w:top="1440" w:right="1440" w:bottom="1440" w:left="1440" w:header="708" w:footer="708" w:gutter="0"/>
          <w:cols w:space="708"/>
          <w:docGrid w:linePitch="360"/>
        </w:sectPr>
      </w:pPr>
    </w:p>
    <w:p w14:paraId="685A795E" w14:textId="77777777" w:rsidR="00522412" w:rsidRDefault="00522412" w:rsidP="00522412">
      <w:pPr>
        <w:ind w:left="567"/>
        <w:jc w:val="both"/>
        <w:rPr>
          <w:rFonts w:ascii="Arial" w:hAnsi="Arial" w:cs="Arial"/>
          <w:b/>
        </w:rPr>
        <w:sectPr w:rsidR="00522412" w:rsidSect="00522412">
          <w:type w:val="continuous"/>
          <w:pgSz w:w="12240" w:h="15840"/>
          <w:pgMar w:top="1440" w:right="1440" w:bottom="1440" w:left="1440" w:header="708" w:footer="708" w:gutter="0"/>
          <w:cols w:space="708"/>
          <w:docGrid w:linePitch="360"/>
        </w:sectPr>
      </w:pPr>
    </w:p>
    <w:p w14:paraId="104B9BCE" w14:textId="34317900" w:rsidR="00094A4B" w:rsidRPr="00641ECE" w:rsidRDefault="00094A4B" w:rsidP="00522412">
      <w:pPr>
        <w:ind w:left="567"/>
        <w:jc w:val="both"/>
        <w:rPr>
          <w:rFonts w:ascii="Arial" w:hAnsi="Arial" w:cs="Arial"/>
          <w:i/>
        </w:rPr>
      </w:pPr>
      <w:r w:rsidRPr="00641ECE">
        <w:rPr>
          <w:rFonts w:ascii="Arial" w:hAnsi="Arial" w:cs="Arial"/>
        </w:rPr>
        <w:t xml:space="preserve">Table S2: Population Differentiation Analysis and Environmental-Association Analysis for seascape genomics in </w:t>
      </w:r>
      <w:proofErr w:type="spellStart"/>
      <w:r w:rsidRPr="00641ECE">
        <w:rPr>
          <w:rFonts w:ascii="Arial" w:hAnsi="Arial" w:cs="Arial"/>
          <w:i/>
        </w:rPr>
        <w:t>Pyura</w:t>
      </w:r>
      <w:proofErr w:type="spellEnd"/>
      <w:r w:rsidRPr="00641ECE">
        <w:rPr>
          <w:rFonts w:ascii="Arial" w:hAnsi="Arial" w:cs="Arial"/>
          <w:i/>
        </w:rPr>
        <w:t xml:space="preserve"> </w:t>
      </w:r>
      <w:proofErr w:type="spellStart"/>
      <w:r w:rsidRPr="00641ECE">
        <w:rPr>
          <w:rFonts w:ascii="Arial" w:hAnsi="Arial" w:cs="Arial"/>
          <w:i/>
        </w:rPr>
        <w:t>chilensis</w:t>
      </w:r>
      <w:proofErr w:type="spellEnd"/>
      <w:r w:rsidRPr="00641ECE">
        <w:rPr>
          <w:rFonts w:ascii="Arial" w:hAnsi="Arial" w:cs="Arial"/>
          <w:i/>
        </w:rPr>
        <w:t xml:space="preserve">. </w:t>
      </w:r>
    </w:p>
    <w:p w14:paraId="3FA4D76C" w14:textId="77777777" w:rsidR="00094A4B" w:rsidRPr="00DE2860" w:rsidRDefault="00094A4B" w:rsidP="00094A4B">
      <w:pPr>
        <w:ind w:left="567"/>
        <w:jc w:val="both"/>
        <w:rPr>
          <w:rFonts w:ascii="Arial" w:hAnsi="Arial" w:cs="Arial"/>
        </w:rPr>
      </w:pPr>
      <w:r w:rsidRPr="00DE2860">
        <w:rPr>
          <w:rFonts w:ascii="Arial" w:hAnsi="Arial" w:cs="Arial"/>
        </w:rPr>
        <w:t xml:space="preserve">Table shows the details of each method used for the determination of diversifying selection candidates in </w:t>
      </w:r>
      <w:proofErr w:type="spellStart"/>
      <w:r w:rsidRPr="00DE2860">
        <w:rPr>
          <w:rFonts w:ascii="Arial" w:hAnsi="Arial" w:cs="Arial"/>
          <w:i/>
        </w:rPr>
        <w:t>Pyura</w:t>
      </w:r>
      <w:proofErr w:type="spellEnd"/>
      <w:r w:rsidRPr="00DE2860">
        <w:rPr>
          <w:rFonts w:ascii="Arial" w:hAnsi="Arial" w:cs="Arial"/>
          <w:i/>
        </w:rPr>
        <w:t xml:space="preserve"> </w:t>
      </w:r>
      <w:proofErr w:type="spellStart"/>
      <w:r w:rsidRPr="00DE2860">
        <w:rPr>
          <w:rFonts w:ascii="Arial" w:hAnsi="Arial" w:cs="Arial"/>
          <w:i/>
        </w:rPr>
        <w:t>chilensis</w:t>
      </w:r>
      <w:proofErr w:type="spellEnd"/>
      <w:r w:rsidRPr="00DE2860">
        <w:rPr>
          <w:rFonts w:ascii="Arial" w:hAnsi="Arial" w:cs="Arial"/>
        </w:rPr>
        <w:t xml:space="preserve">. </w:t>
      </w:r>
    </w:p>
    <w:tbl>
      <w:tblPr>
        <w:tblStyle w:val="TableGrid"/>
        <w:tblpPr w:leftFromText="180" w:rightFromText="180" w:vertAnchor="text" w:horzAnchor="page" w:tblpX="2368" w:tblpY="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9"/>
        <w:gridCol w:w="1966"/>
        <w:gridCol w:w="3730"/>
        <w:gridCol w:w="1605"/>
      </w:tblGrid>
      <w:tr w:rsidR="0033743B" w:rsidRPr="00DE2860" w14:paraId="0C4E808F" w14:textId="77777777" w:rsidTr="0033743B">
        <w:tc>
          <w:tcPr>
            <w:tcW w:w="2337" w:type="dxa"/>
            <w:tcBorders>
              <w:top w:val="single" w:sz="4" w:space="0" w:color="auto"/>
              <w:bottom w:val="single" w:sz="4" w:space="0" w:color="auto"/>
            </w:tcBorders>
          </w:tcPr>
          <w:p w14:paraId="5A98ADD1" w14:textId="77777777" w:rsidR="0033743B" w:rsidRPr="00DE2860" w:rsidRDefault="0033743B" w:rsidP="0033743B">
            <w:pPr>
              <w:rPr>
                <w:rFonts w:ascii="Arial" w:hAnsi="Arial" w:cs="Arial"/>
                <w:sz w:val="20"/>
                <w:szCs w:val="20"/>
              </w:rPr>
            </w:pPr>
            <w:r w:rsidRPr="00DE2860">
              <w:rPr>
                <w:rFonts w:ascii="Arial" w:hAnsi="Arial" w:cs="Arial"/>
                <w:sz w:val="20"/>
                <w:szCs w:val="20"/>
              </w:rPr>
              <w:t>Method</w:t>
            </w:r>
          </w:p>
        </w:tc>
        <w:tc>
          <w:tcPr>
            <w:tcW w:w="2337" w:type="dxa"/>
            <w:tcBorders>
              <w:top w:val="single" w:sz="4" w:space="0" w:color="auto"/>
              <w:bottom w:val="single" w:sz="4" w:space="0" w:color="auto"/>
            </w:tcBorders>
          </w:tcPr>
          <w:p w14:paraId="2E51213D" w14:textId="77777777" w:rsidR="0033743B" w:rsidRPr="00DE2860" w:rsidRDefault="0033743B" w:rsidP="0033743B">
            <w:pPr>
              <w:rPr>
                <w:rFonts w:ascii="Arial" w:hAnsi="Arial" w:cs="Arial"/>
                <w:sz w:val="20"/>
                <w:szCs w:val="20"/>
              </w:rPr>
            </w:pPr>
            <w:r w:rsidRPr="00DE2860">
              <w:rPr>
                <w:rFonts w:ascii="Arial" w:hAnsi="Arial" w:cs="Arial"/>
                <w:sz w:val="20"/>
                <w:szCs w:val="20"/>
              </w:rPr>
              <w:t>Software</w:t>
            </w:r>
          </w:p>
        </w:tc>
        <w:tc>
          <w:tcPr>
            <w:tcW w:w="4960" w:type="dxa"/>
            <w:tcBorders>
              <w:top w:val="single" w:sz="4" w:space="0" w:color="auto"/>
              <w:bottom w:val="single" w:sz="4" w:space="0" w:color="auto"/>
            </w:tcBorders>
          </w:tcPr>
          <w:p w14:paraId="7974F3BA" w14:textId="77777777" w:rsidR="0033743B" w:rsidRPr="00DE2860" w:rsidRDefault="0033743B" w:rsidP="0033743B">
            <w:pPr>
              <w:rPr>
                <w:rFonts w:ascii="Arial" w:hAnsi="Arial" w:cs="Arial"/>
                <w:sz w:val="20"/>
                <w:szCs w:val="20"/>
              </w:rPr>
            </w:pPr>
            <w:r w:rsidRPr="00DE2860">
              <w:rPr>
                <w:rFonts w:ascii="Arial" w:hAnsi="Arial" w:cs="Arial"/>
                <w:sz w:val="20"/>
                <w:szCs w:val="20"/>
              </w:rPr>
              <w:t>Detail</w:t>
            </w:r>
          </w:p>
        </w:tc>
        <w:tc>
          <w:tcPr>
            <w:tcW w:w="1985" w:type="dxa"/>
            <w:tcBorders>
              <w:top w:val="single" w:sz="4" w:space="0" w:color="auto"/>
              <w:bottom w:val="single" w:sz="4" w:space="0" w:color="auto"/>
            </w:tcBorders>
          </w:tcPr>
          <w:p w14:paraId="16B72D38" w14:textId="77777777" w:rsidR="0033743B" w:rsidRPr="00DE2860" w:rsidRDefault="0033743B" w:rsidP="0033743B">
            <w:pPr>
              <w:rPr>
                <w:rFonts w:ascii="Arial" w:hAnsi="Arial" w:cs="Arial"/>
                <w:sz w:val="20"/>
                <w:szCs w:val="20"/>
              </w:rPr>
            </w:pPr>
            <w:r w:rsidRPr="00DE2860">
              <w:rPr>
                <w:rFonts w:ascii="Arial" w:hAnsi="Arial" w:cs="Arial"/>
                <w:sz w:val="20"/>
                <w:szCs w:val="20"/>
              </w:rPr>
              <w:t>Citation</w:t>
            </w:r>
          </w:p>
        </w:tc>
      </w:tr>
      <w:tr w:rsidR="0033743B" w:rsidRPr="00DE2860" w14:paraId="417381C6" w14:textId="77777777" w:rsidTr="0033743B">
        <w:tc>
          <w:tcPr>
            <w:tcW w:w="2337" w:type="dxa"/>
            <w:tcBorders>
              <w:top w:val="single" w:sz="4" w:space="0" w:color="auto"/>
              <w:bottom w:val="single" w:sz="4" w:space="0" w:color="auto"/>
            </w:tcBorders>
          </w:tcPr>
          <w:p w14:paraId="3AA69ECE" w14:textId="77777777" w:rsidR="0033743B" w:rsidRPr="00DE2860" w:rsidRDefault="0033743B" w:rsidP="0033743B">
            <w:pPr>
              <w:rPr>
                <w:rFonts w:ascii="Arial" w:hAnsi="Arial" w:cs="Arial"/>
                <w:sz w:val="20"/>
                <w:szCs w:val="20"/>
              </w:rPr>
            </w:pPr>
            <w:r w:rsidRPr="00DE2860">
              <w:rPr>
                <w:rFonts w:ascii="Arial" w:hAnsi="Arial" w:cs="Arial"/>
                <w:sz w:val="20"/>
                <w:szCs w:val="20"/>
              </w:rPr>
              <w:t>Population differentiation analysis (PDA)</w:t>
            </w:r>
          </w:p>
        </w:tc>
        <w:tc>
          <w:tcPr>
            <w:tcW w:w="2337" w:type="dxa"/>
            <w:tcBorders>
              <w:top w:val="single" w:sz="4" w:space="0" w:color="auto"/>
              <w:bottom w:val="single" w:sz="4" w:space="0" w:color="auto"/>
            </w:tcBorders>
          </w:tcPr>
          <w:p w14:paraId="252708CC" w14:textId="77777777" w:rsidR="0033743B" w:rsidRPr="00DE2860" w:rsidRDefault="0033743B" w:rsidP="0033743B">
            <w:pPr>
              <w:rPr>
                <w:rFonts w:ascii="Arial" w:hAnsi="Arial" w:cs="Arial"/>
                <w:sz w:val="20"/>
                <w:szCs w:val="20"/>
              </w:rPr>
            </w:pPr>
            <w:r w:rsidRPr="00DE2860">
              <w:rPr>
                <w:rFonts w:ascii="Arial" w:hAnsi="Arial" w:cs="Arial"/>
                <w:color w:val="000000" w:themeColor="text1"/>
                <w:sz w:val="20"/>
                <w:szCs w:val="20"/>
              </w:rPr>
              <w:t>BAYESCAN 2.1</w:t>
            </w:r>
          </w:p>
        </w:tc>
        <w:tc>
          <w:tcPr>
            <w:tcW w:w="4960" w:type="dxa"/>
            <w:tcBorders>
              <w:top w:val="single" w:sz="4" w:space="0" w:color="auto"/>
              <w:bottom w:val="single" w:sz="4" w:space="0" w:color="auto"/>
            </w:tcBorders>
          </w:tcPr>
          <w:p w14:paraId="65894A48" w14:textId="77777777" w:rsidR="0033743B" w:rsidRPr="00DE2860" w:rsidRDefault="0033743B" w:rsidP="0033743B">
            <w:pPr>
              <w:jc w:val="both"/>
              <w:rPr>
                <w:rFonts w:ascii="Arial" w:hAnsi="Arial" w:cs="Arial"/>
                <w:sz w:val="20"/>
                <w:szCs w:val="20"/>
              </w:rPr>
            </w:pPr>
            <w:r w:rsidRPr="00DE2860">
              <w:rPr>
                <w:rFonts w:ascii="Arial" w:hAnsi="Arial" w:cs="Arial"/>
                <w:color w:val="000000" w:themeColor="text1"/>
                <w:sz w:val="20"/>
                <w:szCs w:val="20"/>
              </w:rPr>
              <w:t>Bayesian method based on a logistic regression model that separates loci putatively affected by selection (locus-specific putatively adaptive genetic variation) from those affected by population-specific demographic processes (null model or neutral genetic variation).</w:t>
            </w:r>
          </w:p>
        </w:tc>
        <w:tc>
          <w:tcPr>
            <w:tcW w:w="1985" w:type="dxa"/>
            <w:tcBorders>
              <w:top w:val="single" w:sz="4" w:space="0" w:color="auto"/>
              <w:bottom w:val="single" w:sz="4" w:space="0" w:color="auto"/>
            </w:tcBorders>
          </w:tcPr>
          <w:p w14:paraId="5EF393A1" w14:textId="77777777" w:rsidR="0033743B" w:rsidRPr="00DE2860" w:rsidRDefault="0033743B" w:rsidP="0033743B">
            <w:pPr>
              <w:rPr>
                <w:rFonts w:ascii="Arial" w:hAnsi="Arial" w:cs="Arial"/>
                <w:sz w:val="16"/>
                <w:szCs w:val="16"/>
              </w:rPr>
            </w:pPr>
            <w:proofErr w:type="spellStart"/>
            <w:r w:rsidRPr="00DE2860">
              <w:rPr>
                <w:rFonts w:ascii="Arial" w:hAnsi="Arial" w:cs="Arial"/>
                <w:color w:val="000000" w:themeColor="text1"/>
                <w:sz w:val="16"/>
                <w:szCs w:val="16"/>
              </w:rPr>
              <w:t>Foll</w:t>
            </w:r>
            <w:proofErr w:type="spellEnd"/>
            <w:r w:rsidRPr="00DE2860">
              <w:rPr>
                <w:rFonts w:ascii="Arial" w:hAnsi="Arial" w:cs="Arial"/>
                <w:color w:val="000000" w:themeColor="text1"/>
                <w:sz w:val="16"/>
                <w:szCs w:val="16"/>
              </w:rPr>
              <w:t xml:space="preserve"> &amp; </w:t>
            </w:r>
            <w:proofErr w:type="spellStart"/>
            <w:r w:rsidRPr="00DE2860">
              <w:rPr>
                <w:rFonts w:ascii="Arial" w:hAnsi="Arial" w:cs="Arial"/>
                <w:color w:val="000000" w:themeColor="text1"/>
                <w:sz w:val="16"/>
                <w:szCs w:val="16"/>
              </w:rPr>
              <w:t>Gaggiotti</w:t>
            </w:r>
            <w:proofErr w:type="spellEnd"/>
            <w:r w:rsidRPr="00DE2860">
              <w:rPr>
                <w:rFonts w:ascii="Arial" w:hAnsi="Arial" w:cs="Arial"/>
                <w:color w:val="000000" w:themeColor="text1"/>
                <w:sz w:val="16"/>
                <w:szCs w:val="16"/>
              </w:rPr>
              <w:t>, 2008</w:t>
            </w:r>
          </w:p>
        </w:tc>
      </w:tr>
      <w:tr w:rsidR="0033743B" w:rsidRPr="00DE2860" w14:paraId="20B5EA43" w14:textId="77777777" w:rsidTr="0033743B">
        <w:tc>
          <w:tcPr>
            <w:tcW w:w="2337" w:type="dxa"/>
            <w:tcBorders>
              <w:top w:val="single" w:sz="4" w:space="0" w:color="auto"/>
              <w:bottom w:val="single" w:sz="4" w:space="0" w:color="auto"/>
            </w:tcBorders>
          </w:tcPr>
          <w:p w14:paraId="07464D31" w14:textId="77777777" w:rsidR="0033743B" w:rsidRPr="00DE2860" w:rsidRDefault="0033743B" w:rsidP="0033743B">
            <w:pPr>
              <w:rPr>
                <w:rFonts w:ascii="Arial" w:hAnsi="Arial" w:cs="Arial"/>
                <w:sz w:val="20"/>
                <w:szCs w:val="20"/>
              </w:rPr>
            </w:pPr>
          </w:p>
        </w:tc>
        <w:tc>
          <w:tcPr>
            <w:tcW w:w="2337" w:type="dxa"/>
            <w:tcBorders>
              <w:top w:val="single" w:sz="4" w:space="0" w:color="auto"/>
              <w:bottom w:val="single" w:sz="4" w:space="0" w:color="auto"/>
            </w:tcBorders>
          </w:tcPr>
          <w:p w14:paraId="2F0C167C" w14:textId="77777777" w:rsidR="0033743B" w:rsidRPr="00DE2860" w:rsidRDefault="0033743B" w:rsidP="0033743B">
            <w:pPr>
              <w:rPr>
                <w:rFonts w:ascii="Arial" w:hAnsi="Arial" w:cs="Arial"/>
                <w:color w:val="000000" w:themeColor="text1"/>
                <w:sz w:val="20"/>
                <w:szCs w:val="20"/>
              </w:rPr>
            </w:pPr>
            <w:r w:rsidRPr="00DE2860">
              <w:rPr>
                <w:rFonts w:ascii="Arial" w:hAnsi="Arial" w:cs="Arial"/>
                <w:color w:val="000000" w:themeColor="text1"/>
              </w:rPr>
              <w:t>O</w:t>
            </w:r>
            <w:r w:rsidRPr="00DE2860">
              <w:rPr>
                <w:rFonts w:ascii="Arial" w:hAnsi="Arial" w:cs="Arial"/>
                <w:color w:val="000000" w:themeColor="text1"/>
                <w:sz w:val="20"/>
                <w:szCs w:val="20"/>
              </w:rPr>
              <w:t xml:space="preserve">UT-FLANK </w:t>
            </w:r>
          </w:p>
        </w:tc>
        <w:tc>
          <w:tcPr>
            <w:tcW w:w="4960" w:type="dxa"/>
            <w:tcBorders>
              <w:top w:val="single" w:sz="4" w:space="0" w:color="auto"/>
              <w:bottom w:val="single" w:sz="4" w:space="0" w:color="auto"/>
            </w:tcBorders>
          </w:tcPr>
          <w:p w14:paraId="7DC76A09" w14:textId="77777777" w:rsidR="0033743B" w:rsidRPr="00DE2860" w:rsidRDefault="0033743B" w:rsidP="0033743B">
            <w:pPr>
              <w:jc w:val="both"/>
              <w:rPr>
                <w:rFonts w:ascii="Arial" w:hAnsi="Arial" w:cs="Arial"/>
                <w:color w:val="000000" w:themeColor="text1"/>
                <w:sz w:val="20"/>
                <w:szCs w:val="20"/>
              </w:rPr>
            </w:pPr>
            <w:r w:rsidRPr="00DE2860">
              <w:rPr>
                <w:rFonts w:ascii="Arial" w:hAnsi="Arial" w:cs="Arial"/>
                <w:color w:val="000000" w:themeColor="text1"/>
                <w:sz w:val="20"/>
                <w:szCs w:val="20"/>
              </w:rPr>
              <w:t>Estimates a probability based on a distribution fitted to the values of F</w:t>
            </w:r>
            <w:r w:rsidRPr="00DE2860">
              <w:rPr>
                <w:rFonts w:ascii="Arial" w:hAnsi="Arial" w:cs="Arial"/>
                <w:color w:val="000000" w:themeColor="text1"/>
                <w:sz w:val="20"/>
                <w:szCs w:val="20"/>
                <w:vertAlign w:val="subscript"/>
              </w:rPr>
              <w:t>ST</w:t>
            </w:r>
            <w:r w:rsidRPr="00DE2860">
              <w:rPr>
                <w:rFonts w:ascii="Arial" w:hAnsi="Arial" w:cs="Arial"/>
                <w:color w:val="000000" w:themeColor="text1"/>
                <w:sz w:val="20"/>
                <w:szCs w:val="20"/>
              </w:rPr>
              <w:t xml:space="preserve"> to infer the distribution of F</w:t>
            </w:r>
            <w:r w:rsidRPr="00DE2860">
              <w:rPr>
                <w:rFonts w:ascii="Arial" w:hAnsi="Arial" w:cs="Arial"/>
                <w:color w:val="000000" w:themeColor="text1"/>
                <w:sz w:val="20"/>
                <w:szCs w:val="20"/>
                <w:vertAlign w:val="subscript"/>
              </w:rPr>
              <w:t>ST</w:t>
            </w:r>
            <w:r w:rsidRPr="00DE2860">
              <w:rPr>
                <w:rFonts w:ascii="Arial" w:hAnsi="Arial" w:cs="Arial"/>
                <w:color w:val="000000" w:themeColor="text1"/>
                <w:sz w:val="20"/>
                <w:szCs w:val="20"/>
              </w:rPr>
              <w:t xml:space="preserve"> for putatively neutral loci.</w:t>
            </w:r>
          </w:p>
        </w:tc>
        <w:tc>
          <w:tcPr>
            <w:tcW w:w="1985" w:type="dxa"/>
            <w:tcBorders>
              <w:top w:val="single" w:sz="4" w:space="0" w:color="auto"/>
              <w:bottom w:val="single" w:sz="4" w:space="0" w:color="auto"/>
            </w:tcBorders>
          </w:tcPr>
          <w:p w14:paraId="663BD70D" w14:textId="77777777" w:rsidR="0033743B" w:rsidRPr="00DE2860" w:rsidRDefault="0033743B" w:rsidP="0033743B">
            <w:pPr>
              <w:rPr>
                <w:rFonts w:ascii="Arial" w:hAnsi="Arial" w:cs="Arial"/>
                <w:color w:val="000000" w:themeColor="text1"/>
                <w:sz w:val="16"/>
                <w:szCs w:val="16"/>
              </w:rPr>
            </w:pPr>
            <w:r w:rsidRPr="00DE2860">
              <w:rPr>
                <w:rFonts w:ascii="Arial" w:hAnsi="Arial" w:cs="Arial"/>
                <w:color w:val="000000" w:themeColor="text1"/>
                <w:sz w:val="16"/>
                <w:szCs w:val="16"/>
              </w:rPr>
              <w:t xml:space="preserve">Whitlock &amp; </w:t>
            </w:r>
            <w:proofErr w:type="spellStart"/>
            <w:r w:rsidRPr="00DE2860">
              <w:rPr>
                <w:rFonts w:ascii="Arial" w:hAnsi="Arial" w:cs="Arial"/>
                <w:color w:val="000000" w:themeColor="text1"/>
                <w:sz w:val="16"/>
                <w:szCs w:val="16"/>
              </w:rPr>
              <w:t>Lotterhos</w:t>
            </w:r>
            <w:proofErr w:type="spellEnd"/>
            <w:r w:rsidRPr="00DE2860">
              <w:rPr>
                <w:rFonts w:ascii="Arial" w:hAnsi="Arial" w:cs="Arial"/>
                <w:color w:val="000000" w:themeColor="text1"/>
                <w:sz w:val="16"/>
                <w:szCs w:val="16"/>
              </w:rPr>
              <w:t>, 2015</w:t>
            </w:r>
          </w:p>
        </w:tc>
      </w:tr>
      <w:tr w:rsidR="0033743B" w:rsidRPr="00DE2860" w14:paraId="4C58E7D7" w14:textId="77777777" w:rsidTr="0033743B">
        <w:trPr>
          <w:trHeight w:val="269"/>
        </w:trPr>
        <w:tc>
          <w:tcPr>
            <w:tcW w:w="2337" w:type="dxa"/>
            <w:tcBorders>
              <w:top w:val="single" w:sz="4" w:space="0" w:color="auto"/>
              <w:bottom w:val="single" w:sz="4" w:space="0" w:color="auto"/>
            </w:tcBorders>
          </w:tcPr>
          <w:p w14:paraId="7DE8CC53" w14:textId="77777777" w:rsidR="0033743B" w:rsidRPr="00DE2860" w:rsidRDefault="0033743B" w:rsidP="0033743B">
            <w:pPr>
              <w:rPr>
                <w:rFonts w:ascii="Arial" w:hAnsi="Arial" w:cs="Arial"/>
                <w:sz w:val="20"/>
                <w:szCs w:val="20"/>
              </w:rPr>
            </w:pPr>
          </w:p>
        </w:tc>
        <w:tc>
          <w:tcPr>
            <w:tcW w:w="2337" w:type="dxa"/>
            <w:tcBorders>
              <w:top w:val="single" w:sz="4" w:space="0" w:color="auto"/>
              <w:bottom w:val="single" w:sz="4" w:space="0" w:color="auto"/>
            </w:tcBorders>
          </w:tcPr>
          <w:p w14:paraId="66F39100" w14:textId="77777777" w:rsidR="0033743B" w:rsidRPr="00DE2860" w:rsidRDefault="0033743B" w:rsidP="0033743B">
            <w:pPr>
              <w:rPr>
                <w:rFonts w:ascii="Arial" w:hAnsi="Arial" w:cs="Arial"/>
                <w:color w:val="000000" w:themeColor="text1"/>
              </w:rPr>
            </w:pPr>
            <w:r w:rsidRPr="00DE2860">
              <w:rPr>
                <w:rFonts w:ascii="Arial" w:hAnsi="Arial" w:cs="Arial"/>
                <w:color w:val="000000" w:themeColor="text1"/>
              </w:rPr>
              <w:t>P</w:t>
            </w:r>
            <w:r w:rsidRPr="00DE2860">
              <w:rPr>
                <w:rFonts w:ascii="Arial" w:hAnsi="Arial" w:cs="Arial"/>
                <w:color w:val="000000" w:themeColor="text1"/>
                <w:sz w:val="20"/>
                <w:szCs w:val="20"/>
              </w:rPr>
              <w:t>CADAPT</w:t>
            </w:r>
          </w:p>
        </w:tc>
        <w:tc>
          <w:tcPr>
            <w:tcW w:w="4960" w:type="dxa"/>
            <w:tcBorders>
              <w:top w:val="single" w:sz="4" w:space="0" w:color="auto"/>
              <w:bottom w:val="single" w:sz="4" w:space="0" w:color="auto"/>
            </w:tcBorders>
          </w:tcPr>
          <w:p w14:paraId="290E88CA" w14:textId="77777777" w:rsidR="0033743B" w:rsidRPr="00DE2860" w:rsidRDefault="0033743B" w:rsidP="0033743B">
            <w:pPr>
              <w:jc w:val="both"/>
              <w:rPr>
                <w:rFonts w:ascii="Arial" w:hAnsi="Arial" w:cs="Arial"/>
                <w:color w:val="000000" w:themeColor="text1"/>
                <w:sz w:val="20"/>
                <w:szCs w:val="20"/>
              </w:rPr>
            </w:pPr>
            <w:r w:rsidRPr="00DE2860">
              <w:rPr>
                <w:rFonts w:ascii="Arial" w:hAnsi="Arial" w:cs="Arial"/>
                <w:color w:val="000000" w:themeColor="text1"/>
                <w:sz w:val="20"/>
                <w:szCs w:val="20"/>
              </w:rPr>
              <w:t>Uses a principal component analysis (PCA) to determine the percentage of genetic variance explained by the first two components and determinate which loci are explained most the observed genetic structure and thus candidates to positive selection.</w:t>
            </w:r>
          </w:p>
        </w:tc>
        <w:tc>
          <w:tcPr>
            <w:tcW w:w="1985" w:type="dxa"/>
            <w:tcBorders>
              <w:top w:val="single" w:sz="4" w:space="0" w:color="auto"/>
              <w:bottom w:val="single" w:sz="4" w:space="0" w:color="auto"/>
            </w:tcBorders>
          </w:tcPr>
          <w:p w14:paraId="2DA2746B" w14:textId="77777777" w:rsidR="0033743B" w:rsidRPr="00DE2860" w:rsidRDefault="0033743B" w:rsidP="0033743B">
            <w:pPr>
              <w:rPr>
                <w:rFonts w:ascii="Arial" w:hAnsi="Arial" w:cs="Arial"/>
                <w:color w:val="000000" w:themeColor="text1"/>
                <w:sz w:val="16"/>
                <w:szCs w:val="16"/>
              </w:rPr>
            </w:pPr>
            <w:proofErr w:type="spellStart"/>
            <w:r w:rsidRPr="00DE2860">
              <w:rPr>
                <w:rFonts w:ascii="Arial" w:hAnsi="Arial" w:cs="Arial"/>
                <w:color w:val="000000" w:themeColor="text1"/>
                <w:sz w:val="16"/>
                <w:szCs w:val="16"/>
              </w:rPr>
              <w:t>Luu</w:t>
            </w:r>
            <w:proofErr w:type="spellEnd"/>
            <w:r w:rsidRPr="00DE2860">
              <w:rPr>
                <w:rFonts w:ascii="Arial" w:hAnsi="Arial" w:cs="Arial"/>
                <w:color w:val="000000" w:themeColor="text1"/>
                <w:sz w:val="16"/>
                <w:szCs w:val="16"/>
              </w:rPr>
              <w:t xml:space="preserve"> et al., 2017</w:t>
            </w:r>
          </w:p>
        </w:tc>
      </w:tr>
      <w:tr w:rsidR="0033743B" w:rsidRPr="00DE2860" w14:paraId="2DD5260B" w14:textId="77777777" w:rsidTr="0033743B">
        <w:trPr>
          <w:trHeight w:val="269"/>
        </w:trPr>
        <w:tc>
          <w:tcPr>
            <w:tcW w:w="2337" w:type="dxa"/>
            <w:tcBorders>
              <w:top w:val="single" w:sz="4" w:space="0" w:color="auto"/>
              <w:bottom w:val="single" w:sz="4" w:space="0" w:color="auto"/>
            </w:tcBorders>
          </w:tcPr>
          <w:p w14:paraId="09C2FB13" w14:textId="77777777" w:rsidR="0033743B" w:rsidRPr="00DE2860" w:rsidRDefault="0033743B" w:rsidP="0033743B">
            <w:pPr>
              <w:rPr>
                <w:rFonts w:ascii="Arial" w:hAnsi="Arial" w:cs="Arial"/>
                <w:sz w:val="20"/>
                <w:szCs w:val="20"/>
              </w:rPr>
            </w:pPr>
            <w:r w:rsidRPr="00DE2860">
              <w:rPr>
                <w:rFonts w:ascii="Arial" w:hAnsi="Arial" w:cs="Arial"/>
                <w:sz w:val="20"/>
                <w:szCs w:val="20"/>
              </w:rPr>
              <w:t>Environmental-Association Analyses (EAA)</w:t>
            </w:r>
          </w:p>
        </w:tc>
        <w:tc>
          <w:tcPr>
            <w:tcW w:w="2337" w:type="dxa"/>
            <w:tcBorders>
              <w:top w:val="single" w:sz="4" w:space="0" w:color="auto"/>
              <w:bottom w:val="single" w:sz="4" w:space="0" w:color="auto"/>
            </w:tcBorders>
          </w:tcPr>
          <w:p w14:paraId="1826C4D2" w14:textId="77777777" w:rsidR="0033743B" w:rsidRPr="00DE2860" w:rsidRDefault="0033743B" w:rsidP="0033743B">
            <w:pPr>
              <w:rPr>
                <w:rFonts w:ascii="Arial" w:hAnsi="Arial" w:cs="Arial"/>
                <w:color w:val="000000" w:themeColor="text1"/>
              </w:rPr>
            </w:pPr>
            <w:r w:rsidRPr="00DE2860">
              <w:rPr>
                <w:rFonts w:ascii="Arial" w:hAnsi="Arial" w:cs="Arial"/>
                <w:color w:val="000000" w:themeColor="text1"/>
              </w:rPr>
              <w:t>L</w:t>
            </w:r>
            <w:r w:rsidRPr="00DE2860">
              <w:rPr>
                <w:rFonts w:ascii="Arial" w:hAnsi="Arial" w:cs="Arial"/>
                <w:color w:val="000000" w:themeColor="text1"/>
                <w:sz w:val="20"/>
                <w:szCs w:val="20"/>
              </w:rPr>
              <w:t>FMM</w:t>
            </w:r>
            <w:r w:rsidRPr="00DE2860">
              <w:rPr>
                <w:rFonts w:ascii="Arial" w:hAnsi="Arial" w:cs="Arial"/>
                <w:color w:val="000000" w:themeColor="text1"/>
              </w:rPr>
              <w:t xml:space="preserve"> v 1.4</w:t>
            </w:r>
          </w:p>
        </w:tc>
        <w:tc>
          <w:tcPr>
            <w:tcW w:w="4960" w:type="dxa"/>
            <w:tcBorders>
              <w:top w:val="single" w:sz="4" w:space="0" w:color="auto"/>
              <w:bottom w:val="single" w:sz="4" w:space="0" w:color="auto"/>
            </w:tcBorders>
          </w:tcPr>
          <w:p w14:paraId="2259799E" w14:textId="77777777" w:rsidR="0033743B" w:rsidRPr="00DE2860" w:rsidRDefault="0033743B" w:rsidP="0033743B">
            <w:pPr>
              <w:jc w:val="both"/>
              <w:rPr>
                <w:rFonts w:ascii="Arial" w:hAnsi="Arial" w:cs="Arial"/>
                <w:color w:val="000000" w:themeColor="text1"/>
                <w:sz w:val="20"/>
                <w:szCs w:val="20"/>
              </w:rPr>
            </w:pPr>
            <w:r w:rsidRPr="00DE2860">
              <w:rPr>
                <w:rFonts w:ascii="Arial" w:hAnsi="Arial" w:cs="Arial"/>
                <w:color w:val="000000" w:themeColor="text1"/>
                <w:sz w:val="20"/>
                <w:szCs w:val="20"/>
              </w:rPr>
              <w:t>Determines associations between environment and SNPs using environmental variables as fixed effects and neutral genetic structure as a latent or unobserved factor</w:t>
            </w:r>
          </w:p>
        </w:tc>
        <w:tc>
          <w:tcPr>
            <w:tcW w:w="1985" w:type="dxa"/>
            <w:tcBorders>
              <w:top w:val="single" w:sz="4" w:space="0" w:color="auto"/>
              <w:bottom w:val="single" w:sz="4" w:space="0" w:color="auto"/>
            </w:tcBorders>
          </w:tcPr>
          <w:p w14:paraId="5D9B6742" w14:textId="77777777" w:rsidR="0033743B" w:rsidRPr="00DE2860" w:rsidRDefault="0033743B" w:rsidP="0033743B">
            <w:pPr>
              <w:rPr>
                <w:rFonts w:ascii="Arial" w:hAnsi="Arial" w:cs="Arial"/>
                <w:color w:val="000000" w:themeColor="text1"/>
                <w:sz w:val="16"/>
                <w:szCs w:val="16"/>
              </w:rPr>
            </w:pPr>
            <w:proofErr w:type="spellStart"/>
            <w:r w:rsidRPr="00DE2860">
              <w:rPr>
                <w:rFonts w:ascii="Arial" w:hAnsi="Arial" w:cs="Arial"/>
                <w:color w:val="000000" w:themeColor="text1"/>
                <w:sz w:val="16"/>
                <w:szCs w:val="16"/>
              </w:rPr>
              <w:t>Frichot</w:t>
            </w:r>
            <w:proofErr w:type="spellEnd"/>
            <w:r w:rsidRPr="00DE2860">
              <w:rPr>
                <w:rFonts w:ascii="Arial" w:hAnsi="Arial" w:cs="Arial"/>
                <w:color w:val="000000" w:themeColor="text1"/>
                <w:sz w:val="16"/>
                <w:szCs w:val="16"/>
              </w:rPr>
              <w:t xml:space="preserve"> et al., 2013</w:t>
            </w:r>
          </w:p>
        </w:tc>
      </w:tr>
      <w:tr w:rsidR="0033743B" w:rsidRPr="00DE2860" w14:paraId="2DF28EF5" w14:textId="77777777" w:rsidTr="0033743B">
        <w:trPr>
          <w:trHeight w:val="269"/>
        </w:trPr>
        <w:tc>
          <w:tcPr>
            <w:tcW w:w="2337" w:type="dxa"/>
            <w:tcBorders>
              <w:top w:val="single" w:sz="4" w:space="0" w:color="auto"/>
              <w:bottom w:val="single" w:sz="4" w:space="0" w:color="auto"/>
            </w:tcBorders>
          </w:tcPr>
          <w:p w14:paraId="65215061" w14:textId="77777777" w:rsidR="0033743B" w:rsidRPr="00DE2860" w:rsidRDefault="0033743B" w:rsidP="0033743B">
            <w:pPr>
              <w:rPr>
                <w:rFonts w:ascii="Arial" w:hAnsi="Arial" w:cs="Arial"/>
                <w:sz w:val="20"/>
                <w:szCs w:val="20"/>
              </w:rPr>
            </w:pPr>
          </w:p>
        </w:tc>
        <w:tc>
          <w:tcPr>
            <w:tcW w:w="2337" w:type="dxa"/>
            <w:tcBorders>
              <w:top w:val="single" w:sz="4" w:space="0" w:color="auto"/>
              <w:bottom w:val="single" w:sz="4" w:space="0" w:color="auto"/>
            </w:tcBorders>
          </w:tcPr>
          <w:p w14:paraId="4A159804" w14:textId="77777777" w:rsidR="0033743B" w:rsidRPr="00DE2860" w:rsidRDefault="0033743B" w:rsidP="0033743B">
            <w:pPr>
              <w:rPr>
                <w:rFonts w:ascii="Arial" w:hAnsi="Arial" w:cs="Arial"/>
                <w:color w:val="000000" w:themeColor="text1"/>
              </w:rPr>
            </w:pPr>
            <w:r w:rsidRPr="00DE2860">
              <w:rPr>
                <w:rFonts w:ascii="Arial" w:hAnsi="Arial" w:cs="Arial"/>
                <w:color w:val="000000" w:themeColor="text1"/>
              </w:rPr>
              <w:t>B</w:t>
            </w:r>
            <w:r w:rsidRPr="00DE2860">
              <w:rPr>
                <w:rFonts w:ascii="Arial" w:hAnsi="Arial" w:cs="Arial"/>
                <w:color w:val="000000" w:themeColor="text1"/>
                <w:sz w:val="20"/>
              </w:rPr>
              <w:t>AYENV2</w:t>
            </w:r>
          </w:p>
        </w:tc>
        <w:tc>
          <w:tcPr>
            <w:tcW w:w="4960" w:type="dxa"/>
            <w:tcBorders>
              <w:top w:val="single" w:sz="4" w:space="0" w:color="auto"/>
              <w:bottom w:val="single" w:sz="4" w:space="0" w:color="auto"/>
            </w:tcBorders>
          </w:tcPr>
          <w:p w14:paraId="3975B82E" w14:textId="77777777" w:rsidR="0033743B" w:rsidRPr="00DE2860" w:rsidRDefault="0033743B" w:rsidP="0033743B">
            <w:pPr>
              <w:jc w:val="both"/>
              <w:rPr>
                <w:rFonts w:ascii="Arial" w:hAnsi="Arial" w:cs="Arial"/>
                <w:color w:val="000000" w:themeColor="text1"/>
                <w:sz w:val="20"/>
                <w:szCs w:val="20"/>
              </w:rPr>
            </w:pPr>
            <w:r w:rsidRPr="00DE2860">
              <w:rPr>
                <w:rFonts w:ascii="Arial" w:hAnsi="Arial" w:cs="Arial"/>
                <w:color w:val="000000" w:themeColor="text1"/>
                <w:sz w:val="20"/>
                <w:szCs w:val="20"/>
              </w:rPr>
              <w:t>Uses a Bayesian framework to testing whether a model that includes the environmental variable (each variable is evaluated separately) fits the data better than a null model. This null model was represented by a genetic covariance matrix analogous to a F</w:t>
            </w:r>
            <w:r w:rsidRPr="00DE2860">
              <w:rPr>
                <w:rFonts w:ascii="Arial" w:hAnsi="Arial" w:cs="Arial"/>
                <w:color w:val="000000" w:themeColor="text1"/>
                <w:sz w:val="20"/>
                <w:szCs w:val="20"/>
                <w:vertAlign w:val="subscript"/>
              </w:rPr>
              <w:t>ST</w:t>
            </w:r>
            <w:r w:rsidRPr="00DE2860">
              <w:rPr>
                <w:rFonts w:ascii="Arial" w:hAnsi="Arial" w:cs="Arial"/>
                <w:color w:val="000000" w:themeColor="text1"/>
                <w:sz w:val="20"/>
                <w:szCs w:val="20"/>
              </w:rPr>
              <w:t xml:space="preserve"> matrix between pairs of populations, calculated using the estimated allele frequencies of neutral loci.</w:t>
            </w:r>
          </w:p>
        </w:tc>
        <w:tc>
          <w:tcPr>
            <w:tcW w:w="1985" w:type="dxa"/>
            <w:tcBorders>
              <w:top w:val="single" w:sz="4" w:space="0" w:color="auto"/>
              <w:bottom w:val="single" w:sz="4" w:space="0" w:color="auto"/>
            </w:tcBorders>
          </w:tcPr>
          <w:p w14:paraId="742797AC" w14:textId="77777777" w:rsidR="0033743B" w:rsidRPr="00DE2860" w:rsidRDefault="0033743B" w:rsidP="0033743B">
            <w:pPr>
              <w:rPr>
                <w:rFonts w:ascii="Arial" w:hAnsi="Arial" w:cs="Arial"/>
                <w:color w:val="000000" w:themeColor="text1"/>
                <w:sz w:val="16"/>
                <w:szCs w:val="16"/>
              </w:rPr>
            </w:pPr>
            <w:r w:rsidRPr="00DE2860">
              <w:rPr>
                <w:rFonts w:ascii="Arial" w:hAnsi="Arial" w:cs="Arial"/>
                <w:color w:val="000000" w:themeColor="text1"/>
                <w:sz w:val="16"/>
                <w:szCs w:val="16"/>
              </w:rPr>
              <w:t>Guenther &amp; Coop, 2013</w:t>
            </w:r>
          </w:p>
        </w:tc>
      </w:tr>
      <w:tr w:rsidR="0033743B" w:rsidRPr="00DE2860" w14:paraId="10BCD89E" w14:textId="77777777" w:rsidTr="0033743B">
        <w:trPr>
          <w:trHeight w:val="269"/>
        </w:trPr>
        <w:tc>
          <w:tcPr>
            <w:tcW w:w="2337" w:type="dxa"/>
            <w:tcBorders>
              <w:top w:val="single" w:sz="4" w:space="0" w:color="auto"/>
              <w:bottom w:val="single" w:sz="4" w:space="0" w:color="auto"/>
            </w:tcBorders>
          </w:tcPr>
          <w:p w14:paraId="4D630F04" w14:textId="77777777" w:rsidR="0033743B" w:rsidRPr="00DE2860" w:rsidRDefault="0033743B" w:rsidP="0033743B">
            <w:pPr>
              <w:rPr>
                <w:rFonts w:ascii="Arial" w:hAnsi="Arial" w:cs="Arial"/>
                <w:sz w:val="20"/>
                <w:szCs w:val="20"/>
              </w:rPr>
            </w:pPr>
          </w:p>
        </w:tc>
        <w:tc>
          <w:tcPr>
            <w:tcW w:w="2337" w:type="dxa"/>
            <w:tcBorders>
              <w:top w:val="single" w:sz="4" w:space="0" w:color="auto"/>
              <w:bottom w:val="single" w:sz="4" w:space="0" w:color="auto"/>
            </w:tcBorders>
          </w:tcPr>
          <w:p w14:paraId="6C43E744" w14:textId="77777777" w:rsidR="0033743B" w:rsidRPr="00DE2860" w:rsidRDefault="0033743B" w:rsidP="0033743B">
            <w:pPr>
              <w:rPr>
                <w:rFonts w:ascii="Arial" w:hAnsi="Arial" w:cs="Arial"/>
                <w:color w:val="000000" w:themeColor="text1"/>
              </w:rPr>
            </w:pPr>
            <w:r w:rsidRPr="00DE2860">
              <w:rPr>
                <w:rFonts w:ascii="Arial" w:hAnsi="Arial" w:cs="Arial"/>
                <w:color w:val="000000" w:themeColor="text1"/>
              </w:rPr>
              <w:t>S</w:t>
            </w:r>
            <w:r w:rsidRPr="00DE2860">
              <w:rPr>
                <w:rFonts w:ascii="Arial" w:hAnsi="Arial" w:cs="Arial"/>
                <w:color w:val="000000" w:themeColor="text1"/>
                <w:sz w:val="20"/>
              </w:rPr>
              <w:t>AM</w:t>
            </w:r>
            <w:r w:rsidRPr="00DE2860">
              <w:rPr>
                <w:rFonts w:ascii="Arial" w:hAnsi="Arial" w:cs="Arial"/>
                <w:color w:val="000000" w:themeColor="text1"/>
                <w:sz w:val="20"/>
                <w:lang w:val="es-ES_tradnl"/>
              </w:rPr>
              <w:t>β</w:t>
            </w:r>
            <w:r w:rsidRPr="00DE2860">
              <w:rPr>
                <w:rFonts w:ascii="Arial" w:hAnsi="Arial" w:cs="Arial"/>
                <w:color w:val="000000" w:themeColor="text1"/>
                <w:sz w:val="20"/>
              </w:rPr>
              <w:t>ADA</w:t>
            </w:r>
          </w:p>
        </w:tc>
        <w:tc>
          <w:tcPr>
            <w:tcW w:w="4960" w:type="dxa"/>
            <w:tcBorders>
              <w:top w:val="single" w:sz="4" w:space="0" w:color="auto"/>
              <w:bottom w:val="single" w:sz="4" w:space="0" w:color="auto"/>
            </w:tcBorders>
          </w:tcPr>
          <w:p w14:paraId="040BFB3E" w14:textId="77777777" w:rsidR="0033743B" w:rsidRPr="00DE2860" w:rsidRDefault="0033743B" w:rsidP="0033743B">
            <w:pPr>
              <w:jc w:val="both"/>
              <w:rPr>
                <w:rFonts w:ascii="Arial" w:hAnsi="Arial" w:cs="Arial"/>
                <w:color w:val="000000" w:themeColor="text1"/>
                <w:sz w:val="20"/>
                <w:szCs w:val="20"/>
              </w:rPr>
            </w:pPr>
            <w:proofErr w:type="gramStart"/>
            <w:r w:rsidRPr="00DE2860">
              <w:rPr>
                <w:rFonts w:ascii="Arial" w:hAnsi="Arial" w:cs="Arial"/>
                <w:color w:val="000000" w:themeColor="text1"/>
                <w:sz w:val="20"/>
                <w:szCs w:val="20"/>
              </w:rPr>
              <w:t>test</w:t>
            </w:r>
            <w:proofErr w:type="gramEnd"/>
            <w:r w:rsidRPr="00DE2860">
              <w:rPr>
                <w:rFonts w:ascii="Arial" w:hAnsi="Arial" w:cs="Arial"/>
                <w:color w:val="000000" w:themeColor="text1"/>
                <w:sz w:val="20"/>
                <w:szCs w:val="20"/>
              </w:rPr>
              <w:t xml:space="preserve"> for associations between allele frequencies and environmental parameters among sites, considering the neutral structure based both on the number of genetic groups (optimum K determined by DAPC) and the spatial autocorrelation using the information of the geographic coordinates of the studied sites.</w:t>
            </w:r>
          </w:p>
          <w:p w14:paraId="5AB21D6A" w14:textId="77777777" w:rsidR="0033743B" w:rsidRPr="00DE2860" w:rsidRDefault="0033743B" w:rsidP="0033743B">
            <w:pPr>
              <w:jc w:val="both"/>
              <w:rPr>
                <w:rFonts w:ascii="Arial" w:hAnsi="Arial" w:cs="Arial"/>
                <w:color w:val="000000" w:themeColor="text1"/>
                <w:sz w:val="20"/>
                <w:szCs w:val="20"/>
              </w:rPr>
            </w:pPr>
          </w:p>
        </w:tc>
        <w:tc>
          <w:tcPr>
            <w:tcW w:w="1985" w:type="dxa"/>
            <w:tcBorders>
              <w:top w:val="single" w:sz="4" w:space="0" w:color="auto"/>
              <w:bottom w:val="single" w:sz="4" w:space="0" w:color="auto"/>
            </w:tcBorders>
          </w:tcPr>
          <w:p w14:paraId="7E1F4591" w14:textId="77777777" w:rsidR="0033743B" w:rsidRPr="00DE2860" w:rsidRDefault="0033743B" w:rsidP="0033743B">
            <w:pPr>
              <w:rPr>
                <w:rFonts w:ascii="Arial" w:hAnsi="Arial" w:cs="Arial"/>
                <w:color w:val="000000" w:themeColor="text1"/>
                <w:sz w:val="16"/>
                <w:szCs w:val="16"/>
              </w:rPr>
            </w:pPr>
            <w:r w:rsidRPr="00DE2860">
              <w:rPr>
                <w:rFonts w:ascii="Arial" w:hAnsi="Arial" w:cs="Arial"/>
                <w:color w:val="000000" w:themeColor="text1"/>
                <w:sz w:val="16"/>
                <w:szCs w:val="16"/>
              </w:rPr>
              <w:t>Stucki et al., 2016</w:t>
            </w:r>
          </w:p>
        </w:tc>
      </w:tr>
    </w:tbl>
    <w:p w14:paraId="31E91CCE" w14:textId="77777777" w:rsidR="00094A4B" w:rsidRPr="00DE2860" w:rsidRDefault="00094A4B" w:rsidP="00094A4B">
      <w:pPr>
        <w:ind w:left="567"/>
        <w:jc w:val="both"/>
        <w:rPr>
          <w:rFonts w:ascii="Arial" w:hAnsi="Arial" w:cs="Arial"/>
          <w:b/>
          <w:i/>
        </w:rPr>
      </w:pPr>
    </w:p>
    <w:p w14:paraId="475E0F9F" w14:textId="77777777" w:rsidR="004B5605" w:rsidRPr="00DE2860" w:rsidRDefault="004B5605">
      <w:pPr>
        <w:rPr>
          <w:rFonts w:ascii="Arial" w:hAnsi="Arial" w:cs="Arial"/>
        </w:rPr>
        <w:sectPr w:rsidR="004B5605" w:rsidRPr="00DE2860" w:rsidSect="00522412">
          <w:pgSz w:w="12240" w:h="15840"/>
          <w:pgMar w:top="1440" w:right="1440" w:bottom="1440" w:left="1440" w:header="708" w:footer="708" w:gutter="0"/>
          <w:cols w:space="708"/>
          <w:docGrid w:linePitch="360"/>
        </w:sectPr>
      </w:pPr>
    </w:p>
    <w:p w14:paraId="1939EED2" w14:textId="057C67C0" w:rsidR="0033743B" w:rsidRPr="00AB7D66" w:rsidRDefault="002118B3" w:rsidP="0033743B">
      <w:pPr>
        <w:rPr>
          <w:rFonts w:ascii="Arial" w:hAnsi="Arial" w:cs="Arial"/>
          <w:b/>
        </w:rPr>
      </w:pPr>
      <w:r>
        <w:rPr>
          <w:rFonts w:ascii="Arial" w:hAnsi="Arial" w:cs="Arial"/>
          <w:b/>
        </w:rPr>
        <w:t>Appendix 3</w:t>
      </w:r>
      <w:r w:rsidR="003C5C64">
        <w:rPr>
          <w:rFonts w:ascii="Arial" w:hAnsi="Arial" w:cs="Arial"/>
          <w:b/>
        </w:rPr>
        <w:t xml:space="preserve"> </w:t>
      </w:r>
      <w:r w:rsidR="003C5C64" w:rsidRPr="00F6028F">
        <w:rPr>
          <w:rFonts w:ascii="Arial" w:hAnsi="Arial" w:cs="Arial"/>
          <w:color w:val="000000" w:themeColor="text1"/>
        </w:rPr>
        <w:t>Spatial genetic structure correlated with environmental variables.</w:t>
      </w:r>
      <w:bookmarkStart w:id="0" w:name="_GoBack"/>
      <w:bookmarkEnd w:id="0"/>
    </w:p>
    <w:p w14:paraId="2F399D53" w14:textId="77777777" w:rsidR="0033743B" w:rsidRDefault="0033743B" w:rsidP="00E5513E">
      <w:pPr>
        <w:jc w:val="center"/>
        <w:rPr>
          <w:rFonts w:ascii="Arial" w:hAnsi="Arial" w:cs="Arial"/>
        </w:rPr>
      </w:pPr>
    </w:p>
    <w:p w14:paraId="70BCCF26" w14:textId="5E8BAB5B" w:rsidR="00AD3C20" w:rsidRPr="00DE2860" w:rsidRDefault="00CE0346" w:rsidP="00E5513E">
      <w:pPr>
        <w:jc w:val="center"/>
        <w:rPr>
          <w:rFonts w:ascii="Arial" w:hAnsi="Arial" w:cs="Arial"/>
        </w:rPr>
      </w:pPr>
      <w:r>
        <w:rPr>
          <w:rFonts w:ascii="Arial" w:hAnsi="Arial" w:cs="Arial"/>
          <w:noProof/>
          <w:lang w:val="en-IN" w:eastAsia="en-IN"/>
        </w:rPr>
        <w:drawing>
          <wp:inline distT="0" distB="0" distL="0" distR="0" wp14:anchorId="6B1A054A" wp14:editId="4D6503C3">
            <wp:extent cx="4352852" cy="4466596"/>
            <wp:effectExtent l="0" t="0" r="0" b="3810"/>
            <wp:docPr id="2" name="Picture 2" descr="Figuras/figuras/FigureS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as/figuras/FigureS1.pd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53976" cy="4467750"/>
                    </a:xfrm>
                    <a:prstGeom prst="rect">
                      <a:avLst/>
                    </a:prstGeom>
                    <a:noFill/>
                    <a:ln>
                      <a:noFill/>
                    </a:ln>
                  </pic:spPr>
                </pic:pic>
              </a:graphicData>
            </a:graphic>
          </wp:inline>
        </w:drawing>
      </w:r>
    </w:p>
    <w:p w14:paraId="6AF9AD3B" w14:textId="77777777" w:rsidR="00E5513E" w:rsidRPr="00DE2860" w:rsidRDefault="00E5513E">
      <w:pPr>
        <w:rPr>
          <w:rFonts w:ascii="Arial" w:hAnsi="Arial" w:cs="Arial"/>
        </w:rPr>
      </w:pPr>
    </w:p>
    <w:p w14:paraId="077797D7" w14:textId="4ABE5AB9" w:rsidR="00E5513E" w:rsidRDefault="00E5513E">
      <w:pPr>
        <w:rPr>
          <w:rFonts w:ascii="Arial" w:hAnsi="Arial" w:cs="Arial"/>
          <w:color w:val="000000" w:themeColor="text1"/>
        </w:rPr>
      </w:pPr>
      <w:r w:rsidRPr="00DE2860">
        <w:rPr>
          <w:rFonts w:ascii="Arial" w:hAnsi="Arial" w:cs="Arial"/>
          <w:color w:val="000000" w:themeColor="text1"/>
        </w:rPr>
        <w:t xml:space="preserve">Figure S1: Spatial structure of phosphate, nitrate and fluorescence throughout the study zone (Water color represents their respective variations) and values ​​of the </w:t>
      </w:r>
      <w:proofErr w:type="spellStart"/>
      <w:r w:rsidRPr="00DE2860">
        <w:rPr>
          <w:rFonts w:ascii="Arial" w:hAnsi="Arial" w:cs="Arial"/>
          <w:color w:val="000000" w:themeColor="text1"/>
        </w:rPr>
        <w:t>multilocus</w:t>
      </w:r>
      <w:proofErr w:type="spellEnd"/>
      <w:r w:rsidRPr="00DE2860">
        <w:rPr>
          <w:rFonts w:ascii="Arial" w:hAnsi="Arial" w:cs="Arial"/>
          <w:color w:val="000000" w:themeColor="text1"/>
        </w:rPr>
        <w:t xml:space="preserve"> clines for each site. </w:t>
      </w:r>
      <w:proofErr w:type="spellStart"/>
      <w:r w:rsidRPr="00DE2860">
        <w:rPr>
          <w:rFonts w:ascii="Arial" w:hAnsi="Arial" w:cs="Arial"/>
          <w:color w:val="000000" w:themeColor="text1"/>
        </w:rPr>
        <w:t>Multilocus</w:t>
      </w:r>
      <w:proofErr w:type="spellEnd"/>
      <w:r w:rsidRPr="00DE2860">
        <w:rPr>
          <w:rFonts w:ascii="Arial" w:hAnsi="Arial" w:cs="Arial"/>
          <w:color w:val="000000" w:themeColor="text1"/>
        </w:rPr>
        <w:t xml:space="preserve"> clines were measured by the </w:t>
      </w:r>
      <w:r w:rsidRPr="00DE2860">
        <w:rPr>
          <w:rFonts w:ascii="Arial" w:hAnsi="Arial" w:cs="Arial"/>
          <w:i/>
          <w:color w:val="000000" w:themeColor="text1"/>
        </w:rPr>
        <w:t>lagged scores</w:t>
      </w:r>
      <w:r w:rsidRPr="00DE2860">
        <w:rPr>
          <w:rFonts w:ascii="Arial" w:hAnsi="Arial" w:cs="Arial"/>
          <w:color w:val="000000" w:themeColor="text1"/>
        </w:rPr>
        <w:t xml:space="preserve"> of the </w:t>
      </w:r>
      <w:proofErr w:type="spellStart"/>
      <w:proofErr w:type="gramStart"/>
      <w:r w:rsidRPr="00DE2860">
        <w:rPr>
          <w:rFonts w:ascii="Arial" w:hAnsi="Arial" w:cs="Arial"/>
          <w:color w:val="000000" w:themeColor="text1"/>
        </w:rPr>
        <w:t>sPCA</w:t>
      </w:r>
      <w:proofErr w:type="spellEnd"/>
      <w:proofErr w:type="gramEnd"/>
      <w:r w:rsidRPr="00DE2860">
        <w:rPr>
          <w:rFonts w:ascii="Arial" w:hAnsi="Arial" w:cs="Arial"/>
          <w:color w:val="000000" w:themeColor="text1"/>
        </w:rPr>
        <w:t xml:space="preserve"> analysis, which reflect the genetic variability which is linked to the spatial structure between sites</w:t>
      </w:r>
      <w:r w:rsidR="006277B5" w:rsidRPr="00DE2860">
        <w:rPr>
          <w:rFonts w:ascii="Arial" w:hAnsi="Arial" w:cs="Arial"/>
          <w:color w:val="000000" w:themeColor="text1"/>
        </w:rPr>
        <w:t>.</w:t>
      </w:r>
    </w:p>
    <w:p w14:paraId="03AB5203" w14:textId="5E75F8A8" w:rsidR="00E113B4" w:rsidRDefault="00E113B4">
      <w:pPr>
        <w:rPr>
          <w:rFonts w:ascii="Arial" w:hAnsi="Arial" w:cs="Arial"/>
          <w:color w:val="000000" w:themeColor="text1"/>
        </w:rPr>
      </w:pPr>
    </w:p>
    <w:p w14:paraId="6ED12E61" w14:textId="24229E84" w:rsidR="00E113B4" w:rsidRDefault="00E113B4">
      <w:pPr>
        <w:rPr>
          <w:rFonts w:ascii="Arial" w:hAnsi="Arial" w:cs="Arial"/>
        </w:rPr>
      </w:pPr>
    </w:p>
    <w:p w14:paraId="112A444E" w14:textId="450C3192" w:rsidR="00E113B4" w:rsidRDefault="00E113B4">
      <w:pPr>
        <w:rPr>
          <w:rFonts w:ascii="Arial" w:hAnsi="Arial" w:cs="Arial"/>
        </w:rPr>
      </w:pPr>
      <w:r>
        <w:rPr>
          <w:rFonts w:ascii="Arial" w:hAnsi="Arial" w:cs="Arial"/>
          <w:noProof/>
          <w:lang w:val="en-IN" w:eastAsia="en-IN"/>
        </w:rPr>
        <w:drawing>
          <wp:inline distT="0" distB="0" distL="0" distR="0" wp14:anchorId="7FD67B96" wp14:editId="71479FA7">
            <wp:extent cx="5943600" cy="2293620"/>
            <wp:effectExtent l="0" t="0" r="0" b="5080"/>
            <wp:docPr id="3" name="Imagen 3" descr="Imagen que contiene map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2 regression genet clines and latitud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293620"/>
                    </a:xfrm>
                    <a:prstGeom prst="rect">
                      <a:avLst/>
                    </a:prstGeom>
                  </pic:spPr>
                </pic:pic>
              </a:graphicData>
            </a:graphic>
          </wp:inline>
        </w:drawing>
      </w:r>
    </w:p>
    <w:p w14:paraId="1AE3F55B" w14:textId="515F3FB3" w:rsidR="00E113B4" w:rsidRPr="000726E5" w:rsidRDefault="00E113B4" w:rsidP="00E113B4">
      <w:pPr>
        <w:spacing w:line="360" w:lineRule="auto"/>
        <w:rPr>
          <w:rFonts w:ascii="Arial" w:hAnsi="Arial" w:cs="Arial"/>
          <w:color w:val="000000" w:themeColor="text1"/>
        </w:rPr>
      </w:pPr>
      <w:r w:rsidRPr="00DE2860">
        <w:rPr>
          <w:rFonts w:ascii="Arial" w:hAnsi="Arial" w:cs="Arial"/>
          <w:color w:val="000000" w:themeColor="text1"/>
        </w:rPr>
        <w:t>Figure S</w:t>
      </w:r>
      <w:r>
        <w:rPr>
          <w:rFonts w:ascii="Arial" w:hAnsi="Arial" w:cs="Arial"/>
          <w:color w:val="000000" w:themeColor="text1"/>
        </w:rPr>
        <w:t>2</w:t>
      </w:r>
      <w:r w:rsidRPr="00DE2860">
        <w:rPr>
          <w:rFonts w:ascii="Arial" w:hAnsi="Arial" w:cs="Arial"/>
          <w:color w:val="000000" w:themeColor="text1"/>
        </w:rPr>
        <w:t xml:space="preserve">: Spatial structure </w:t>
      </w:r>
      <w:proofErr w:type="gramStart"/>
      <w:r w:rsidRPr="00DE2860">
        <w:rPr>
          <w:rFonts w:ascii="Arial" w:hAnsi="Arial" w:cs="Arial"/>
          <w:color w:val="000000" w:themeColor="text1"/>
        </w:rPr>
        <w:t>of</w:t>
      </w:r>
      <w:r>
        <w:rPr>
          <w:rFonts w:ascii="Arial" w:hAnsi="Arial" w:cs="Arial"/>
          <w:color w:val="000000" w:themeColor="text1"/>
        </w:rPr>
        <w:t xml:space="preserve"> </w:t>
      </w:r>
      <w:r w:rsidRPr="00DE2860">
        <w:rPr>
          <w:rFonts w:ascii="Arial" w:hAnsi="Arial" w:cs="Arial"/>
          <w:color w:val="000000" w:themeColor="text1"/>
        </w:rPr>
        <w:t xml:space="preserve"> phosphate</w:t>
      </w:r>
      <w:proofErr w:type="gramEnd"/>
      <w:r w:rsidRPr="00DE2860">
        <w:rPr>
          <w:rFonts w:ascii="Arial" w:hAnsi="Arial" w:cs="Arial"/>
          <w:color w:val="000000" w:themeColor="text1"/>
        </w:rPr>
        <w:t xml:space="preserve">, nitrate and fluorescence throughout the study zone and values ​​of the </w:t>
      </w:r>
      <w:proofErr w:type="spellStart"/>
      <w:r w:rsidRPr="00DE2860">
        <w:rPr>
          <w:rFonts w:ascii="Arial" w:hAnsi="Arial" w:cs="Arial"/>
          <w:color w:val="000000" w:themeColor="text1"/>
        </w:rPr>
        <w:t>multilocus</w:t>
      </w:r>
      <w:proofErr w:type="spellEnd"/>
      <w:r w:rsidRPr="00DE2860">
        <w:rPr>
          <w:rFonts w:ascii="Arial" w:hAnsi="Arial" w:cs="Arial"/>
          <w:color w:val="000000" w:themeColor="text1"/>
        </w:rPr>
        <w:t xml:space="preserve"> clines for each site. </w:t>
      </w:r>
      <w:proofErr w:type="spellStart"/>
      <w:r w:rsidRPr="00DE2860">
        <w:rPr>
          <w:rFonts w:ascii="Arial" w:hAnsi="Arial" w:cs="Arial"/>
          <w:color w:val="000000" w:themeColor="text1"/>
        </w:rPr>
        <w:t>Multilocus</w:t>
      </w:r>
      <w:proofErr w:type="spellEnd"/>
      <w:r w:rsidRPr="00DE2860">
        <w:rPr>
          <w:rFonts w:ascii="Arial" w:hAnsi="Arial" w:cs="Arial"/>
          <w:color w:val="000000" w:themeColor="text1"/>
        </w:rPr>
        <w:t xml:space="preserve"> clines were measured by the </w:t>
      </w:r>
      <w:r w:rsidRPr="00DE2860">
        <w:rPr>
          <w:rFonts w:ascii="Arial" w:hAnsi="Arial" w:cs="Arial"/>
          <w:i/>
          <w:color w:val="000000" w:themeColor="text1"/>
        </w:rPr>
        <w:t>lagged scores</w:t>
      </w:r>
      <w:r w:rsidRPr="00DE2860">
        <w:rPr>
          <w:rFonts w:ascii="Arial" w:hAnsi="Arial" w:cs="Arial"/>
          <w:color w:val="000000" w:themeColor="text1"/>
        </w:rPr>
        <w:t xml:space="preserve"> of the </w:t>
      </w:r>
      <w:proofErr w:type="spellStart"/>
      <w:proofErr w:type="gramStart"/>
      <w:r w:rsidRPr="00DE2860">
        <w:rPr>
          <w:rFonts w:ascii="Arial" w:hAnsi="Arial" w:cs="Arial"/>
          <w:color w:val="000000" w:themeColor="text1"/>
        </w:rPr>
        <w:t>sPCA</w:t>
      </w:r>
      <w:proofErr w:type="spellEnd"/>
      <w:proofErr w:type="gramEnd"/>
      <w:r w:rsidRPr="00DE2860">
        <w:rPr>
          <w:rFonts w:ascii="Arial" w:hAnsi="Arial" w:cs="Arial"/>
          <w:color w:val="000000" w:themeColor="text1"/>
        </w:rPr>
        <w:t xml:space="preserve"> analysis, which reflect the genetic variability which is linked to the spatial structure between sites.</w:t>
      </w:r>
      <w:r>
        <w:rPr>
          <w:rFonts w:ascii="Arial" w:hAnsi="Arial" w:cs="Arial"/>
          <w:color w:val="000000" w:themeColor="text1"/>
        </w:rPr>
        <w:t xml:space="preserve"> Figures shows the d</w:t>
      </w:r>
      <w:r w:rsidRPr="000726E5">
        <w:rPr>
          <w:rFonts w:ascii="Arial" w:hAnsi="Arial" w:cs="Arial"/>
          <w:color w:val="000000" w:themeColor="text1"/>
        </w:rPr>
        <w:t xml:space="preserve">ispersion of the </w:t>
      </w:r>
      <w:proofErr w:type="spellStart"/>
      <w:r w:rsidRPr="000726E5">
        <w:rPr>
          <w:rFonts w:ascii="Arial" w:hAnsi="Arial" w:cs="Arial"/>
          <w:color w:val="000000" w:themeColor="text1"/>
        </w:rPr>
        <w:t>multilocus</w:t>
      </w:r>
      <w:proofErr w:type="spellEnd"/>
      <w:r w:rsidRPr="000726E5">
        <w:rPr>
          <w:rFonts w:ascii="Arial" w:hAnsi="Arial" w:cs="Arial"/>
          <w:color w:val="000000" w:themeColor="text1"/>
        </w:rPr>
        <w:t xml:space="preserve"> clines determined in the </w:t>
      </w:r>
      <w:proofErr w:type="spellStart"/>
      <w:proofErr w:type="gramStart"/>
      <w:r w:rsidRPr="000726E5">
        <w:rPr>
          <w:rFonts w:ascii="Arial" w:hAnsi="Arial" w:cs="Arial"/>
          <w:color w:val="000000" w:themeColor="text1"/>
        </w:rPr>
        <w:t>sPCA</w:t>
      </w:r>
      <w:proofErr w:type="spellEnd"/>
      <w:proofErr w:type="gramEnd"/>
      <w:r w:rsidRPr="000726E5">
        <w:rPr>
          <w:rFonts w:ascii="Arial" w:hAnsi="Arial" w:cs="Arial"/>
          <w:color w:val="000000" w:themeColor="text1"/>
        </w:rPr>
        <w:t xml:space="preserve"> analysis for each location considering the relationship between latitude and the first axe of the lagged scores using </w:t>
      </w:r>
      <w:r w:rsidRPr="000726E5">
        <w:rPr>
          <w:rFonts w:ascii="Arial" w:hAnsi="Arial" w:cs="Arial"/>
          <w:i/>
          <w:color w:val="000000" w:themeColor="text1"/>
        </w:rPr>
        <w:t>loess smoothing</w:t>
      </w:r>
      <w:r w:rsidRPr="000726E5">
        <w:rPr>
          <w:rFonts w:ascii="Arial" w:hAnsi="Arial" w:cs="Arial"/>
          <w:color w:val="000000" w:themeColor="text1"/>
        </w:rPr>
        <w:t xml:space="preserve"> to fit the trend lines. Lineal models were carried on using the spatial vector associated with latitude (dbMEM2).</w:t>
      </w:r>
    </w:p>
    <w:p w14:paraId="650C96F5" w14:textId="36486C11" w:rsidR="00E113B4" w:rsidRDefault="00E113B4" w:rsidP="00E113B4">
      <w:pPr>
        <w:rPr>
          <w:rFonts w:ascii="Arial" w:hAnsi="Arial" w:cs="Arial"/>
          <w:color w:val="000000" w:themeColor="text1"/>
        </w:rPr>
      </w:pPr>
    </w:p>
    <w:p w14:paraId="6B458502" w14:textId="77777777" w:rsidR="00E113B4" w:rsidRPr="00DE2860" w:rsidRDefault="00E113B4">
      <w:pPr>
        <w:rPr>
          <w:rFonts w:ascii="Arial" w:hAnsi="Arial" w:cs="Arial"/>
        </w:rPr>
      </w:pPr>
    </w:p>
    <w:sectPr w:rsidR="00E113B4" w:rsidRPr="00DE2860" w:rsidSect="00094A4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2C2542"/>
    <w:multiLevelType w:val="hybridMultilevel"/>
    <w:tmpl w:val="373670D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0E7"/>
    <w:rsid w:val="00017222"/>
    <w:rsid w:val="00070278"/>
    <w:rsid w:val="00080AD4"/>
    <w:rsid w:val="0008534C"/>
    <w:rsid w:val="00094A4B"/>
    <w:rsid w:val="000B3C78"/>
    <w:rsid w:val="000F74CB"/>
    <w:rsid w:val="00106A0C"/>
    <w:rsid w:val="001325C3"/>
    <w:rsid w:val="00133C9E"/>
    <w:rsid w:val="00156645"/>
    <w:rsid w:val="00171FAB"/>
    <w:rsid w:val="001E0D88"/>
    <w:rsid w:val="002118B3"/>
    <w:rsid w:val="00266076"/>
    <w:rsid w:val="0030344E"/>
    <w:rsid w:val="00331C41"/>
    <w:rsid w:val="0033743B"/>
    <w:rsid w:val="003706CB"/>
    <w:rsid w:val="00371C11"/>
    <w:rsid w:val="003871E3"/>
    <w:rsid w:val="0039688C"/>
    <w:rsid w:val="003C5C64"/>
    <w:rsid w:val="003C671D"/>
    <w:rsid w:val="003F3FFE"/>
    <w:rsid w:val="0042448E"/>
    <w:rsid w:val="004265D6"/>
    <w:rsid w:val="0046438C"/>
    <w:rsid w:val="00465122"/>
    <w:rsid w:val="004708FA"/>
    <w:rsid w:val="00477E2F"/>
    <w:rsid w:val="004840E7"/>
    <w:rsid w:val="004B188B"/>
    <w:rsid w:val="004B5605"/>
    <w:rsid w:val="00504777"/>
    <w:rsid w:val="0050683F"/>
    <w:rsid w:val="00522412"/>
    <w:rsid w:val="005377CA"/>
    <w:rsid w:val="005913C8"/>
    <w:rsid w:val="005B1E06"/>
    <w:rsid w:val="005E18BF"/>
    <w:rsid w:val="005F0AAB"/>
    <w:rsid w:val="0062355B"/>
    <w:rsid w:val="006277B5"/>
    <w:rsid w:val="00632C0F"/>
    <w:rsid w:val="00641ECE"/>
    <w:rsid w:val="0068766F"/>
    <w:rsid w:val="00716972"/>
    <w:rsid w:val="00717B84"/>
    <w:rsid w:val="00831FFA"/>
    <w:rsid w:val="00840033"/>
    <w:rsid w:val="00874DD8"/>
    <w:rsid w:val="0089117E"/>
    <w:rsid w:val="008B454A"/>
    <w:rsid w:val="008C2F5C"/>
    <w:rsid w:val="008C4038"/>
    <w:rsid w:val="009106F5"/>
    <w:rsid w:val="00935F68"/>
    <w:rsid w:val="00996CF6"/>
    <w:rsid w:val="009A7639"/>
    <w:rsid w:val="009C405F"/>
    <w:rsid w:val="00A04762"/>
    <w:rsid w:val="00A27806"/>
    <w:rsid w:val="00A95855"/>
    <w:rsid w:val="00AA7BA7"/>
    <w:rsid w:val="00AB7D66"/>
    <w:rsid w:val="00AB7D87"/>
    <w:rsid w:val="00AC6E16"/>
    <w:rsid w:val="00AD3C20"/>
    <w:rsid w:val="00B25478"/>
    <w:rsid w:val="00B74802"/>
    <w:rsid w:val="00BD60A4"/>
    <w:rsid w:val="00C1380D"/>
    <w:rsid w:val="00C1585C"/>
    <w:rsid w:val="00C53199"/>
    <w:rsid w:val="00C5777D"/>
    <w:rsid w:val="00CE0346"/>
    <w:rsid w:val="00D519D8"/>
    <w:rsid w:val="00D647A2"/>
    <w:rsid w:val="00D77A4B"/>
    <w:rsid w:val="00DE2860"/>
    <w:rsid w:val="00DF2FC4"/>
    <w:rsid w:val="00DF3426"/>
    <w:rsid w:val="00E113B4"/>
    <w:rsid w:val="00E238C6"/>
    <w:rsid w:val="00E5513E"/>
    <w:rsid w:val="00E84DD0"/>
    <w:rsid w:val="00EA4847"/>
    <w:rsid w:val="00EB278B"/>
    <w:rsid w:val="00F24C5E"/>
    <w:rsid w:val="00F849C8"/>
    <w:rsid w:val="00FA75E6"/>
    <w:rsid w:val="00FF5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A443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840E7"/>
    <w:pPr>
      <w:spacing w:before="100" w:beforeAutospacing="1" w:after="100" w:afterAutospacing="1"/>
      <w:outlineLvl w:val="0"/>
    </w:pPr>
    <w:rPr>
      <w:rFonts w:ascii="Calibri Light" w:eastAsiaTheme="minorEastAsia" w:hAnsi="Calibri Light"/>
      <w:b/>
      <w:color w:val="4472C4" w:themeColor="accent1"/>
      <w:kern w:val="36"/>
      <w:sz w:val="28"/>
      <w:szCs w:val="28"/>
      <w:lang w:eastAsia="es-ES"/>
    </w:rPr>
  </w:style>
  <w:style w:type="paragraph" w:styleId="Heading3">
    <w:name w:val="heading 3"/>
    <w:basedOn w:val="Normal"/>
    <w:next w:val="Normal"/>
    <w:link w:val="Heading3Char"/>
    <w:uiPriority w:val="9"/>
    <w:semiHidden/>
    <w:unhideWhenUsed/>
    <w:qFormat/>
    <w:rsid w:val="00AC6E1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0E7"/>
    <w:rPr>
      <w:rFonts w:ascii="Calibri Light" w:eastAsiaTheme="minorEastAsia" w:hAnsi="Calibri Light"/>
      <w:b/>
      <w:color w:val="4472C4" w:themeColor="accent1"/>
      <w:kern w:val="36"/>
      <w:sz w:val="28"/>
      <w:szCs w:val="28"/>
      <w:lang w:eastAsia="es-ES"/>
    </w:rPr>
  </w:style>
  <w:style w:type="character" w:customStyle="1" w:styleId="Heading3Char">
    <w:name w:val="Heading 3 Char"/>
    <w:basedOn w:val="DefaultParagraphFont"/>
    <w:link w:val="Heading3"/>
    <w:uiPriority w:val="9"/>
    <w:semiHidden/>
    <w:rsid w:val="00AC6E16"/>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4B188B"/>
    <w:rPr>
      <w:rFonts w:eastAsiaTheme="minorEastAsia"/>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F2FC4"/>
    <w:rPr>
      <w:color w:val="0563C1" w:themeColor="hyperlink"/>
      <w:u w:val="single"/>
    </w:rPr>
  </w:style>
  <w:style w:type="paragraph" w:styleId="CommentText">
    <w:name w:val="annotation text"/>
    <w:basedOn w:val="Normal"/>
    <w:link w:val="CommentTextChar"/>
    <w:uiPriority w:val="99"/>
    <w:semiHidden/>
    <w:unhideWhenUsed/>
    <w:rsid w:val="00171FAB"/>
    <w:rPr>
      <w:sz w:val="20"/>
      <w:szCs w:val="20"/>
    </w:rPr>
  </w:style>
  <w:style w:type="character" w:customStyle="1" w:styleId="CommentTextChar">
    <w:name w:val="Comment Text Char"/>
    <w:basedOn w:val="DefaultParagraphFont"/>
    <w:link w:val="CommentText"/>
    <w:uiPriority w:val="99"/>
    <w:semiHidden/>
    <w:rsid w:val="00171FAB"/>
    <w:rPr>
      <w:sz w:val="20"/>
      <w:szCs w:val="20"/>
    </w:rPr>
  </w:style>
  <w:style w:type="character" w:styleId="CommentReference">
    <w:name w:val="annotation reference"/>
    <w:basedOn w:val="DefaultParagraphFont"/>
    <w:uiPriority w:val="99"/>
    <w:semiHidden/>
    <w:unhideWhenUsed/>
    <w:rsid w:val="00171FAB"/>
    <w:rPr>
      <w:sz w:val="18"/>
      <w:szCs w:val="18"/>
    </w:rPr>
  </w:style>
  <w:style w:type="paragraph" w:styleId="BalloonText">
    <w:name w:val="Balloon Text"/>
    <w:basedOn w:val="Normal"/>
    <w:link w:val="BalloonTextChar"/>
    <w:uiPriority w:val="99"/>
    <w:semiHidden/>
    <w:unhideWhenUsed/>
    <w:rsid w:val="00171F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71F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458221">
      <w:bodyDiv w:val="1"/>
      <w:marLeft w:val="0"/>
      <w:marRight w:val="0"/>
      <w:marTop w:val="0"/>
      <w:marBottom w:val="0"/>
      <w:divBdr>
        <w:top w:val="none" w:sz="0" w:space="0" w:color="auto"/>
        <w:left w:val="none" w:sz="0" w:space="0" w:color="auto"/>
        <w:bottom w:val="none" w:sz="0" w:space="0" w:color="auto"/>
        <w:right w:val="none" w:sz="0" w:space="0" w:color="auto"/>
      </w:divBdr>
    </w:div>
    <w:div w:id="1348210795">
      <w:bodyDiv w:val="1"/>
      <w:marLeft w:val="0"/>
      <w:marRight w:val="0"/>
      <w:marTop w:val="0"/>
      <w:marBottom w:val="0"/>
      <w:divBdr>
        <w:top w:val="none" w:sz="0" w:space="0" w:color="auto"/>
        <w:left w:val="none" w:sz="0" w:space="0" w:color="auto"/>
        <w:bottom w:val="none" w:sz="0" w:space="0" w:color="auto"/>
        <w:right w:val="none" w:sz="0" w:space="0" w:color="auto"/>
      </w:divBdr>
    </w:div>
    <w:div w:id="1624770237">
      <w:bodyDiv w:val="1"/>
      <w:marLeft w:val="0"/>
      <w:marRight w:val="0"/>
      <w:marTop w:val="0"/>
      <w:marBottom w:val="0"/>
      <w:divBdr>
        <w:top w:val="none" w:sz="0" w:space="0" w:color="auto"/>
        <w:left w:val="none" w:sz="0" w:space="0" w:color="auto"/>
        <w:bottom w:val="none" w:sz="0" w:space="0" w:color="auto"/>
        <w:right w:val="none" w:sz="0" w:space="0" w:color="auto"/>
      </w:divBdr>
      <w:divsChild>
        <w:div w:id="691303174">
          <w:marLeft w:val="0"/>
          <w:marRight w:val="0"/>
          <w:marTop w:val="0"/>
          <w:marBottom w:val="0"/>
          <w:divBdr>
            <w:top w:val="none" w:sz="0" w:space="0" w:color="auto"/>
            <w:left w:val="none" w:sz="0" w:space="0" w:color="auto"/>
            <w:bottom w:val="none" w:sz="0" w:space="0" w:color="auto"/>
            <w:right w:val="none" w:sz="0" w:space="0" w:color="auto"/>
          </w:divBdr>
          <w:divsChild>
            <w:div w:id="1504971704">
              <w:marLeft w:val="0"/>
              <w:marRight w:val="60"/>
              <w:marTop w:val="0"/>
              <w:marBottom w:val="0"/>
              <w:divBdr>
                <w:top w:val="none" w:sz="0" w:space="0" w:color="auto"/>
                <w:left w:val="none" w:sz="0" w:space="0" w:color="auto"/>
                <w:bottom w:val="none" w:sz="0" w:space="0" w:color="auto"/>
                <w:right w:val="none" w:sz="0" w:space="0" w:color="auto"/>
              </w:divBdr>
              <w:divsChild>
                <w:div w:id="930816859">
                  <w:marLeft w:val="0"/>
                  <w:marRight w:val="0"/>
                  <w:marTop w:val="0"/>
                  <w:marBottom w:val="120"/>
                  <w:divBdr>
                    <w:top w:val="single" w:sz="6" w:space="0" w:color="C0C0C0"/>
                    <w:left w:val="single" w:sz="6" w:space="0" w:color="D9D9D9"/>
                    <w:bottom w:val="single" w:sz="6" w:space="0" w:color="D9D9D9"/>
                    <w:right w:val="single" w:sz="6" w:space="0" w:color="D9D9D9"/>
                  </w:divBdr>
                  <w:divsChild>
                    <w:div w:id="40253989">
                      <w:marLeft w:val="0"/>
                      <w:marRight w:val="0"/>
                      <w:marTop w:val="0"/>
                      <w:marBottom w:val="0"/>
                      <w:divBdr>
                        <w:top w:val="none" w:sz="0" w:space="0" w:color="auto"/>
                        <w:left w:val="none" w:sz="0" w:space="0" w:color="auto"/>
                        <w:bottom w:val="none" w:sz="0" w:space="0" w:color="auto"/>
                        <w:right w:val="none" w:sz="0" w:space="0" w:color="auto"/>
                      </w:divBdr>
                    </w:div>
                    <w:div w:id="113714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26097">
          <w:marLeft w:val="0"/>
          <w:marRight w:val="0"/>
          <w:marTop w:val="0"/>
          <w:marBottom w:val="0"/>
          <w:divBdr>
            <w:top w:val="none" w:sz="0" w:space="0" w:color="auto"/>
            <w:left w:val="none" w:sz="0" w:space="0" w:color="auto"/>
            <w:bottom w:val="none" w:sz="0" w:space="0" w:color="auto"/>
            <w:right w:val="none" w:sz="0" w:space="0" w:color="auto"/>
          </w:divBdr>
          <w:divsChild>
            <w:div w:id="18892347">
              <w:marLeft w:val="60"/>
              <w:marRight w:val="0"/>
              <w:marTop w:val="0"/>
              <w:marBottom w:val="0"/>
              <w:divBdr>
                <w:top w:val="none" w:sz="0" w:space="0" w:color="auto"/>
                <w:left w:val="none" w:sz="0" w:space="0" w:color="auto"/>
                <w:bottom w:val="none" w:sz="0" w:space="0" w:color="auto"/>
                <w:right w:val="none" w:sz="0" w:space="0" w:color="auto"/>
              </w:divBdr>
              <w:divsChild>
                <w:div w:id="1456488459">
                  <w:marLeft w:val="0"/>
                  <w:marRight w:val="0"/>
                  <w:marTop w:val="0"/>
                  <w:marBottom w:val="0"/>
                  <w:divBdr>
                    <w:top w:val="none" w:sz="0" w:space="0" w:color="auto"/>
                    <w:left w:val="none" w:sz="0" w:space="0" w:color="auto"/>
                    <w:bottom w:val="none" w:sz="0" w:space="0" w:color="auto"/>
                    <w:right w:val="none" w:sz="0" w:space="0" w:color="auto"/>
                  </w:divBdr>
                  <w:divsChild>
                    <w:div w:id="569925314">
                      <w:marLeft w:val="0"/>
                      <w:marRight w:val="0"/>
                      <w:marTop w:val="0"/>
                      <w:marBottom w:val="120"/>
                      <w:divBdr>
                        <w:top w:val="single" w:sz="6" w:space="0" w:color="F5F5F5"/>
                        <w:left w:val="single" w:sz="6" w:space="0" w:color="F5F5F5"/>
                        <w:bottom w:val="single" w:sz="6" w:space="0" w:color="F5F5F5"/>
                        <w:right w:val="single" w:sz="6" w:space="0" w:color="F5F5F5"/>
                      </w:divBdr>
                      <w:divsChild>
                        <w:div w:id="1883402706">
                          <w:marLeft w:val="0"/>
                          <w:marRight w:val="0"/>
                          <w:marTop w:val="0"/>
                          <w:marBottom w:val="0"/>
                          <w:divBdr>
                            <w:top w:val="none" w:sz="0" w:space="0" w:color="auto"/>
                            <w:left w:val="none" w:sz="0" w:space="0" w:color="auto"/>
                            <w:bottom w:val="none" w:sz="0" w:space="0" w:color="auto"/>
                            <w:right w:val="none" w:sz="0" w:space="0" w:color="auto"/>
                          </w:divBdr>
                          <w:divsChild>
                            <w:div w:id="177493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509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haye@ucn.c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2410</Words>
  <Characters>13742</Characters>
  <Application>Microsoft Office Word</Application>
  <DocSecurity>0</DocSecurity>
  <Lines>114</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Nicolás Segovia C.</dc:creator>
  <cp:keywords/>
  <dc:description/>
  <cp:lastModifiedBy>Anbu Tamil Selvan E.</cp:lastModifiedBy>
  <cp:revision>3</cp:revision>
  <dcterms:created xsi:type="dcterms:W3CDTF">2020-07-17T15:32:00Z</dcterms:created>
  <dcterms:modified xsi:type="dcterms:W3CDTF">2020-08-06T04:59:00Z</dcterms:modified>
</cp:coreProperties>
</file>