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  <w:bookmarkStart w:id="0" w:name="_heading=h.gjdgxs" w:colFirst="0" w:colLast="0"/>
      <w:bookmarkEnd w:id="0"/>
      <w:r>
        <w:rPr>
          <w:b/>
          <w:color w:val="000000"/>
        </w:rPr>
        <w:t>Supplementary Material</w:t>
      </w: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  <w:r>
        <w:rPr>
          <w:b/>
          <w:color w:val="000000"/>
        </w:rPr>
        <w:t>Tile:</w:t>
      </w:r>
    </w:p>
    <w:p w:rsidR="003F75FA" w:rsidRDefault="0023236C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 w:rsidRPr="0023236C">
        <w:rPr>
          <w:color w:val="000000"/>
        </w:rPr>
        <w:t>Transcriptional analysis of cleft palate in TGFβ3 mutant mice</w:t>
      </w:r>
    </w:p>
    <w:p w:rsidR="0023236C" w:rsidRDefault="0023236C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  <w:r>
        <w:rPr>
          <w:b/>
          <w:color w:val="000000"/>
        </w:rPr>
        <w:t>Authors:</w:t>
      </w: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Liu J</w:t>
      </w:r>
      <w:r>
        <w:rPr>
          <w:color w:val="000000"/>
          <w:vertAlign w:val="superscript"/>
        </w:rPr>
        <w:t>*</w:t>
      </w:r>
      <w:r>
        <w:rPr>
          <w:rFonts w:ascii="Symbol" w:eastAsia="Symbol" w:hAnsi="Symbol" w:cs="Symbol"/>
          <w:color w:val="000000"/>
          <w:vertAlign w:val="superscript"/>
        </w:rPr>
        <w:t>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Chanumolu</w:t>
      </w:r>
      <w:proofErr w:type="spellEnd"/>
      <w:r>
        <w:rPr>
          <w:color w:val="000000"/>
        </w:rPr>
        <w:t xml:space="preserve"> SK</w:t>
      </w:r>
      <w:r>
        <w:rPr>
          <w:color w:val="000000"/>
          <w:vertAlign w:val="superscript"/>
        </w:rPr>
        <w:t>#</w:t>
      </w:r>
      <w:r>
        <w:rPr>
          <w:rFonts w:ascii="Symbol" w:eastAsia="Symbol" w:hAnsi="Symbol" w:cs="Symbol"/>
          <w:color w:val="000000"/>
          <w:vertAlign w:val="superscript"/>
        </w:rPr>
        <w:t></w:t>
      </w:r>
      <w:r>
        <w:rPr>
          <w:color w:val="000000"/>
        </w:rPr>
        <w:t>, White KM</w:t>
      </w:r>
      <w:r>
        <w:rPr>
          <w:color w:val="000000"/>
          <w:vertAlign w:val="superscript"/>
        </w:rPr>
        <w:t>^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Albahrani</w:t>
      </w:r>
      <w:proofErr w:type="spellEnd"/>
      <w:r>
        <w:rPr>
          <w:color w:val="000000"/>
        </w:rPr>
        <w:t xml:space="preserve"> M</w:t>
      </w:r>
      <w:r>
        <w:rPr>
          <w:color w:val="000000"/>
          <w:vertAlign w:val="superscript"/>
        </w:rPr>
        <w:t>#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Otu</w:t>
      </w:r>
      <w:proofErr w:type="spellEnd"/>
      <w:r>
        <w:rPr>
          <w:color w:val="000000"/>
        </w:rPr>
        <w:t xml:space="preserve"> HH</w:t>
      </w:r>
      <w:r>
        <w:rPr>
          <w:color w:val="000000"/>
          <w:vertAlign w:val="superscript"/>
        </w:rPr>
        <w:t>#</w:t>
      </w:r>
      <w:r>
        <w:rPr>
          <w:color w:val="000000"/>
        </w:rPr>
        <w:t xml:space="preserve"> and Nawshad A</w:t>
      </w:r>
      <w:r>
        <w:rPr>
          <w:rFonts w:ascii="Symbol" w:eastAsia="Symbol" w:hAnsi="Symbol" w:cs="Symbol"/>
          <w:color w:val="000000"/>
          <w:vertAlign w:val="superscript"/>
        </w:rPr>
        <w:t></w:t>
      </w:r>
      <w:r>
        <w:rPr>
          <w:color w:val="000000"/>
          <w:vertAlign w:val="superscript"/>
        </w:rPr>
        <w:t>*</w:t>
      </w:r>
      <w:r>
        <w:rPr>
          <w:color w:val="000000"/>
        </w:rPr>
        <w:t xml:space="preserve"> </w:t>
      </w: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  <w:r>
        <w:rPr>
          <w:b/>
          <w:color w:val="000000"/>
        </w:rPr>
        <w:t>Authors Affiliations:</w:t>
      </w: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  <w:vertAlign w:val="superscript"/>
        </w:rPr>
        <w:t xml:space="preserve">* </w:t>
      </w:r>
      <w:r>
        <w:rPr>
          <w:color w:val="000000"/>
        </w:rPr>
        <w:t>Department of Oral Biology, College of Dentistry, University of Nebraska Medical Center, Lincoln NE-68583</w:t>
      </w: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  <w:vertAlign w:val="superscript"/>
        </w:rPr>
        <w:t xml:space="preserve">^ </w:t>
      </w:r>
      <w:r>
        <w:rPr>
          <w:color w:val="000000"/>
        </w:rPr>
        <w:t>Department of Growth and Development, College of Dentistry, University of Nebraska Medical Center College of Dentistry, Lincoln, NE-68583.</w:t>
      </w: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  <w:vertAlign w:val="superscript"/>
        </w:rPr>
        <w:t xml:space="preserve"># </w:t>
      </w:r>
      <w:r>
        <w:rPr>
          <w:color w:val="000000"/>
        </w:rPr>
        <w:t>Department of Electrical and Computer Engineering, University of Nebraska-Lincoln, Lincoln, NE-68588.</w:t>
      </w: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rFonts w:ascii="Symbol" w:eastAsia="Symbol" w:hAnsi="Symbol" w:cs="Symbol"/>
          <w:color w:val="000000"/>
          <w:vertAlign w:val="superscript"/>
        </w:rPr>
        <w:t></w:t>
      </w:r>
      <w:r>
        <w:rPr>
          <w:color w:val="000000"/>
          <w:vertAlign w:val="superscript"/>
        </w:rPr>
        <w:t xml:space="preserve"> </w:t>
      </w:r>
      <w:r>
        <w:rPr>
          <w:color w:val="000000"/>
        </w:rPr>
        <w:t>Co-first authors</w:t>
      </w: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  <w:r>
        <w:rPr>
          <w:rFonts w:ascii="Symbol" w:eastAsia="Symbol" w:hAnsi="Symbol" w:cs="Symbol"/>
          <w:b/>
          <w:color w:val="000000"/>
          <w:vertAlign w:val="superscript"/>
        </w:rPr>
        <w:t></w:t>
      </w:r>
      <w:r>
        <w:rPr>
          <w:b/>
          <w:color w:val="000000"/>
        </w:rPr>
        <w:t>Corresponding author:</w:t>
      </w: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Ali Nawshad, PhD</w:t>
      </w: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Associate Professor</w:t>
      </w: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Department of Oral Biology,</w:t>
      </w: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 xml:space="preserve">College of Dentistry </w:t>
      </w: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University of Nebraska Medical Center,</w:t>
      </w: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4000 E Campus loop</w:t>
      </w: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Lincoln, NE- 68583</w:t>
      </w: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Tel: 402-472-1378</w:t>
      </w: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Fax: 402-471-2551</w:t>
      </w: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 xml:space="preserve">Email: </w:t>
      </w:r>
      <w:hyperlink r:id="rId8">
        <w:r>
          <w:rPr>
            <w:color w:val="0000FF"/>
            <w:u w:val="single"/>
          </w:rPr>
          <w:t>anawshad@unmc.edu</w:t>
        </w:r>
      </w:hyperlink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7F0865" w:rsidRDefault="007F0865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71002F" w:rsidRPr="00F039A3" w:rsidRDefault="0071002F" w:rsidP="00F039A3">
      <w:pPr>
        <w:rPr>
          <w:color w:val="0D0D0D" w:themeColor="text1" w:themeTint="F2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71002F" w:rsidRDefault="0071002F" w:rsidP="0071002F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</w:rPr>
      </w:pPr>
      <w:r>
        <w:rPr>
          <w:b/>
          <w:color w:val="000000"/>
        </w:rPr>
        <w:lastRenderedPageBreak/>
        <w:t>Supplementary Figure 1.</w:t>
      </w:r>
      <w:r>
        <w:rPr>
          <w:color w:val="000000"/>
        </w:rPr>
        <w:t xml:space="preserve">  </w:t>
      </w:r>
      <w:r>
        <w:rPr>
          <w:b/>
          <w:color w:val="000000"/>
        </w:rPr>
        <w:t>(A)</w:t>
      </w:r>
      <w:r>
        <w:rPr>
          <w:color w:val="000000"/>
        </w:rPr>
        <w:t xml:space="preserve"> Total number of paired-end reads (in logarithmic scale), </w:t>
      </w:r>
      <w:r>
        <w:rPr>
          <w:b/>
          <w:color w:val="000000"/>
        </w:rPr>
        <w:t>(B)</w:t>
      </w:r>
      <w:r>
        <w:rPr>
          <w:color w:val="000000"/>
        </w:rPr>
        <w:t xml:space="preserve"> average read length in base pairs (bp), </w:t>
      </w:r>
      <w:r>
        <w:rPr>
          <w:b/>
          <w:color w:val="000000"/>
        </w:rPr>
        <w:t>(C)</w:t>
      </w:r>
      <w:r>
        <w:rPr>
          <w:color w:val="000000"/>
        </w:rPr>
        <w:t xml:space="preserve"> average read quality, and </w:t>
      </w:r>
      <w:r>
        <w:rPr>
          <w:b/>
          <w:color w:val="000000"/>
        </w:rPr>
        <w:t xml:space="preserve">(D) </w:t>
      </w:r>
      <w:r>
        <w:rPr>
          <w:color w:val="000000"/>
        </w:rPr>
        <w:t>% of bp in the ensemble of reads that exceed a quality score of 20.</w:t>
      </w:r>
      <w:r w:rsidRPr="0071002F">
        <w:rPr>
          <w:noProof/>
          <w:color w:val="000000"/>
        </w:rPr>
        <w:t xml:space="preserve"> </w:t>
      </w: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C012C2" w:rsidRDefault="00C012C2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C012C2" w:rsidRDefault="00C012C2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71002F" w:rsidRDefault="0071002F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943600" cy="3083560"/>
            <wp:effectExtent l="0" t="0" r="0" b="2540"/>
            <wp:docPr id="2" name="image6.png" descr="A picture containing drawing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3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1002F" w:rsidRPr="00946A6B" w:rsidRDefault="0071002F" w:rsidP="0071002F">
      <w:pPr>
        <w:rPr>
          <w:color w:val="0D0D0D" w:themeColor="text1" w:themeTint="F2"/>
        </w:rPr>
      </w:pPr>
      <w:r>
        <w:rPr>
          <w:b/>
          <w:color w:val="000000"/>
        </w:rPr>
        <w:t xml:space="preserve">Supplementary Figure </w:t>
      </w:r>
      <w:r>
        <w:rPr>
          <w:b/>
          <w:bCs/>
          <w:color w:val="0D0D0D" w:themeColor="text1" w:themeTint="F2"/>
        </w:rPr>
        <w:t>2</w:t>
      </w:r>
      <w:r w:rsidRPr="00EA6455">
        <w:rPr>
          <w:b/>
          <w:bCs/>
          <w:color w:val="0D0D0D" w:themeColor="text1" w:themeTint="F2"/>
        </w:rPr>
        <w:t>:</w:t>
      </w:r>
      <w:r w:rsidRPr="00EA6455">
        <w:rPr>
          <w:color w:val="0D0D0D" w:themeColor="text1" w:themeTint="F2"/>
        </w:rPr>
        <w:t xml:space="preserve"> </w:t>
      </w:r>
      <w:r>
        <w:rPr>
          <w:color w:val="0D0D0D" w:themeColor="text1" w:themeTint="F2"/>
        </w:rPr>
        <w:t xml:space="preserve"> </w:t>
      </w:r>
      <w:r w:rsidRPr="00EA6455">
        <w:rPr>
          <w:color w:val="0D0D0D" w:themeColor="text1" w:themeTint="F2"/>
        </w:rPr>
        <w:t xml:space="preserve">Hierarchical clustering of all </w:t>
      </w:r>
      <w:r>
        <w:rPr>
          <w:color w:val="0D0D0D" w:themeColor="text1" w:themeTint="F2"/>
        </w:rPr>
        <w:t xml:space="preserve">of </w:t>
      </w:r>
      <w:r w:rsidRPr="00EA6455">
        <w:rPr>
          <w:color w:val="0D0D0D" w:themeColor="text1" w:themeTint="F2"/>
        </w:rPr>
        <w:t>the samples using all 52,475 transcripts measured with TPM&gt;1 in at least one sample group.</w:t>
      </w:r>
    </w:p>
    <w:p w:rsidR="0071002F" w:rsidRDefault="0071002F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71002F" w:rsidRDefault="0071002F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71002F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943600" cy="2823210"/>
            <wp:effectExtent l="0" t="0" r="0" b="0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 1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2C2" w:rsidRDefault="00C012C2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2C55EE" w:rsidRDefault="001B4928" w:rsidP="00F039A3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b/>
          <w:color w:val="000000"/>
        </w:rPr>
        <w:lastRenderedPageBreak/>
        <w:t xml:space="preserve">Supplementary Figure </w:t>
      </w:r>
      <w:r w:rsidR="00C012C2">
        <w:rPr>
          <w:b/>
          <w:color w:val="000000"/>
        </w:rPr>
        <w:t>3</w:t>
      </w:r>
      <w:r>
        <w:rPr>
          <w:b/>
          <w:color w:val="000000"/>
        </w:rPr>
        <w:t>.</w:t>
      </w:r>
      <w:r>
        <w:rPr>
          <w:color w:val="000000"/>
        </w:rPr>
        <w:t xml:space="preserve"> IPA Interaction Network Analysis for the WT specific gene list: genes significantly differentially expressed (adjusted p&lt;0.05) with a |FC| &gt; 2.0 uniquely in WT, E16.5 vs. E14.5. Genes are color coded such that pink implies upregulation and green implies downregulation. Genes that are also involved in major non-</w:t>
      </w:r>
      <w:proofErr w:type="spellStart"/>
      <w:r>
        <w:rPr>
          <w:color w:val="000000"/>
        </w:rPr>
        <w:t>Smad</w:t>
      </w:r>
      <w:proofErr w:type="spellEnd"/>
      <w:r>
        <w:rPr>
          <w:color w:val="000000"/>
        </w:rPr>
        <w:t xml:space="preserve"> pathways (ERK/MAPK, p38MAPK and PI3-AKT) in palatogenesis are indicated with links to the corresponding pathways. The p38MAPK gene appears as a central hub node that has been upregulated in E16.5.</w:t>
      </w:r>
      <w:r w:rsidR="002C55EE" w:rsidRPr="002C55EE">
        <w:t xml:space="preserve"> </w:t>
      </w:r>
      <w:r w:rsidR="002C55EE" w:rsidRPr="002C55EE">
        <w:rPr>
          <w:color w:val="000000"/>
        </w:rPr>
        <w:t>A solid line implies a direct interaction while a dashed line implies an indirect interaction</w:t>
      </w: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</w:rPr>
      </w:pP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944528" cy="4731846"/>
            <wp:effectExtent l="0" t="0" r="0" b="0"/>
            <wp:docPr id="60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4528" cy="47318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C54221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  <w:r>
        <w:rPr>
          <w:b/>
          <w:color w:val="000000"/>
        </w:rPr>
        <w:lastRenderedPageBreak/>
        <w:t xml:space="preserve">Supplementary Figure </w:t>
      </w:r>
      <w:r w:rsidR="00C012C2">
        <w:rPr>
          <w:b/>
          <w:color w:val="000000"/>
        </w:rPr>
        <w:t>4</w:t>
      </w:r>
      <w:r w:rsidR="00B861CF">
        <w:rPr>
          <w:b/>
          <w:color w:val="000000"/>
        </w:rPr>
        <w:t>a</w:t>
      </w:r>
    </w:p>
    <w:p w:rsidR="002C55EE" w:rsidRDefault="001B4928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</w:rPr>
      </w:pPr>
      <w:r>
        <w:rPr>
          <w:b/>
          <w:color w:val="000000"/>
        </w:rPr>
        <w:t>a.</w:t>
      </w:r>
      <w:r>
        <w:rPr>
          <w:color w:val="000000"/>
        </w:rPr>
        <w:t xml:space="preserve"> IPA upstream regulator analysis of TGF-β 1 and 3 for the WT specific gene list: genes significantly differentially expressed (adjusted p&lt;0.05) with a |FC| &gt; 2.0 uniquely in WT, E16.5 vs. E14.5. Shades of red implies upregulation and shades of green implies downregulation. Arrows highlight the WT specific genes regulated by TGF-β 1 and/or 3. Genes that are involved in Epithelial-Mesenchymal Transition (EMT) are highlighted.</w:t>
      </w:r>
      <w:r w:rsidR="002C55EE" w:rsidRPr="002C55EE">
        <w:rPr>
          <w:color w:val="000000"/>
        </w:rPr>
        <w:t xml:space="preserve"> A solid line implies a direct interaction while a dashed line implies an indirect interaction</w:t>
      </w: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</w:rPr>
      </w:pP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745064" cy="4150580"/>
            <wp:effectExtent l="0" t="0" r="1905" b="2540"/>
            <wp:docPr id="62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82492" cy="4192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54221" w:rsidRDefault="00C54221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7317" cy="2092377"/>
            <wp:effectExtent l="0" t="0" r="0" b="0"/>
            <wp:docPr id="1" name="image3.png" descr="A screenshot of a cell phon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7317" cy="20923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4F07F5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  <w:r>
        <w:rPr>
          <w:b/>
          <w:color w:val="000000"/>
        </w:rPr>
        <w:lastRenderedPageBreak/>
        <w:t xml:space="preserve">Supplementary Figure </w:t>
      </w:r>
      <w:r w:rsidR="00C012C2">
        <w:rPr>
          <w:b/>
          <w:color w:val="000000"/>
        </w:rPr>
        <w:t>4</w:t>
      </w:r>
      <w:r w:rsidR="00B861CF">
        <w:rPr>
          <w:b/>
          <w:color w:val="000000"/>
        </w:rPr>
        <w:t>b</w:t>
      </w:r>
    </w:p>
    <w:p w:rsidR="002C55EE" w:rsidRDefault="00C54221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</w:rPr>
      </w:pPr>
      <w:r>
        <w:rPr>
          <w:b/>
          <w:color w:val="000000"/>
        </w:rPr>
        <w:t>b</w:t>
      </w:r>
      <w:r w:rsidR="001B4928">
        <w:rPr>
          <w:b/>
          <w:color w:val="000000"/>
        </w:rPr>
        <w:t>.</w:t>
      </w:r>
      <w:r w:rsidR="001B4928">
        <w:rPr>
          <w:color w:val="000000"/>
        </w:rPr>
        <w:t xml:space="preserve"> IPA mechanistic network depicting the interaction between upstream regulators that explain the observed changes in the WT specific gene list: genes significantly differentially expressed (adjusted p&lt;0.05) with a |FC| &gt; 2.0 uniquely in WT, E16.5 vs. E14.5. Regulators that are involved in Epithelial-Mesenchymal Transition (EMT) are highlighted (none observed, no purple border).</w:t>
      </w:r>
      <w:r w:rsidR="002C55EE" w:rsidRPr="002C55EE">
        <w:rPr>
          <w:color w:val="000000"/>
        </w:rPr>
        <w:t xml:space="preserve"> A solid line implies a direct interaction while a dashed line implies an indirect interaction</w:t>
      </w: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</w:rPr>
      </w:pPr>
    </w:p>
    <w:p w:rsidR="004F07F5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814364" cy="2846567"/>
            <wp:effectExtent l="0" t="0" r="2540" b="0"/>
            <wp:docPr id="64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69989" cy="2873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F07F5" w:rsidRDefault="004F07F5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2897" cy="2353586"/>
            <wp:effectExtent l="0" t="0" r="3810" b="0"/>
            <wp:docPr id="6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9105" cy="23616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F07F5" w:rsidRDefault="004F07F5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C54221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  <w:r>
        <w:rPr>
          <w:b/>
          <w:color w:val="000000"/>
        </w:rPr>
        <w:t xml:space="preserve">Supplementary Figure </w:t>
      </w:r>
      <w:r w:rsidR="00C012C2">
        <w:rPr>
          <w:b/>
          <w:color w:val="000000"/>
        </w:rPr>
        <w:t>5</w:t>
      </w:r>
      <w:r w:rsidR="00B861CF">
        <w:rPr>
          <w:b/>
          <w:color w:val="000000"/>
        </w:rPr>
        <w:t>a</w:t>
      </w:r>
    </w:p>
    <w:p w:rsidR="002C55EE" w:rsidRDefault="001B4928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</w:rPr>
      </w:pPr>
      <w:r>
        <w:rPr>
          <w:b/>
          <w:color w:val="000000"/>
        </w:rPr>
        <w:t>a.</w:t>
      </w:r>
      <w:r>
        <w:rPr>
          <w:color w:val="000000"/>
        </w:rPr>
        <w:t xml:space="preserve"> IPA upstream regulator analysis of TGF-β 1 and 3 for the WT specific gene list: genes significantly differentially expressed (adjusted p&lt;0.05) with a |FC| &gt; 2.0 uniquely in WT, E16.5 vs. E14.5. Shades of red implies upregulation and shades of green implies downregulation. Arrows highlight the WT specific genes regulated by TGF-β 1 and/or 3. Genes that are involved in the “cell death” functional category are highlighted (in purple border).</w:t>
      </w:r>
      <w:r w:rsidR="002C55EE" w:rsidRPr="002C55EE">
        <w:rPr>
          <w:color w:val="000000"/>
        </w:rPr>
        <w:t xml:space="preserve"> A solid line implies a direct interaction while a dashed line implies an indirect interaction</w:t>
      </w: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4627659" cy="4182386"/>
            <wp:effectExtent l="0" t="0" r="0" b="0"/>
            <wp:docPr id="66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2662" cy="42140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1796995" cy="2305879"/>
            <wp:effectExtent l="0" t="0" r="0" b="5715"/>
            <wp:docPr id="7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1006" cy="23238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54221" w:rsidRDefault="004F07F5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  <w:r>
        <w:rPr>
          <w:b/>
          <w:color w:val="000000"/>
        </w:rPr>
        <w:t xml:space="preserve">Supplementary Figure </w:t>
      </w:r>
      <w:r w:rsidR="00C012C2">
        <w:rPr>
          <w:b/>
          <w:color w:val="000000"/>
        </w:rPr>
        <w:t>5</w:t>
      </w:r>
      <w:r w:rsidR="00B861CF">
        <w:rPr>
          <w:b/>
          <w:color w:val="000000"/>
        </w:rPr>
        <w:t>b</w:t>
      </w:r>
    </w:p>
    <w:p w:rsidR="002C55EE" w:rsidRDefault="001B4928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</w:rPr>
      </w:pPr>
      <w:r>
        <w:rPr>
          <w:b/>
          <w:color w:val="000000"/>
        </w:rPr>
        <w:t>b.</w:t>
      </w:r>
      <w:r>
        <w:rPr>
          <w:color w:val="000000"/>
        </w:rPr>
        <w:t xml:space="preserve"> IPA mechanistic network depicting the interaction between upstream regulators that explain the observed changes in the WT specific gene list: genes significantly differentially expressed (adjusted p&lt;0.05) with a |FC| &gt; 2.0 uniquely in WT, E16.5 vs. E14.5. Regulators that are involved in the “cell death” functional category are highlighted (in purple border).</w:t>
      </w:r>
      <w:r w:rsidR="002C55EE" w:rsidRPr="002C55EE">
        <w:rPr>
          <w:color w:val="000000"/>
        </w:rPr>
        <w:t xml:space="preserve"> A solid line implies a direct interaction while a dashed line implies an indirect interaction</w:t>
      </w: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</w:rPr>
      </w:pP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4418532" cy="1905729"/>
            <wp:effectExtent l="0" t="0" r="0" b="0"/>
            <wp:docPr id="6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8532" cy="19057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1447138" cy="2057096"/>
            <wp:effectExtent l="0" t="0" r="1270" b="635"/>
            <wp:docPr id="6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3351" cy="20801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54221" w:rsidRDefault="00C5422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C54221" w:rsidRDefault="00C5422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4F07F5" w:rsidRDefault="004F07F5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2C55EE" w:rsidRDefault="001B4928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</w:rPr>
      </w:pPr>
      <w:r>
        <w:rPr>
          <w:b/>
          <w:color w:val="000000"/>
        </w:rPr>
        <w:t xml:space="preserve">Supplementary Figure </w:t>
      </w:r>
      <w:r w:rsidR="00C012C2">
        <w:rPr>
          <w:b/>
          <w:color w:val="000000"/>
        </w:rPr>
        <w:t>6</w:t>
      </w:r>
      <w:r>
        <w:rPr>
          <w:b/>
          <w:color w:val="000000"/>
        </w:rPr>
        <w:t xml:space="preserve">. </w:t>
      </w:r>
      <w:r>
        <w:rPr>
          <w:color w:val="000000"/>
        </w:rPr>
        <w:t>Target molecules (upstream analysis) of TGF-β3 signaling pathways in WT palates that are up (pink) /down (green) regulated in response to TGF-β3.</w:t>
      </w:r>
      <w:r w:rsidR="002C55EE" w:rsidRPr="002C55EE">
        <w:rPr>
          <w:color w:val="000000"/>
        </w:rPr>
        <w:t xml:space="preserve"> A solid line implies a direct interaction while a dashed line implies an indirect interaction</w:t>
      </w: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  <w:r>
        <w:rPr>
          <w:b/>
          <w:noProof/>
          <w:color w:val="000000"/>
        </w:rPr>
        <w:lastRenderedPageBreak/>
        <w:drawing>
          <wp:inline distT="0" distB="0" distL="0" distR="0">
            <wp:extent cx="3578662" cy="3450853"/>
            <wp:effectExtent l="0" t="0" r="0" b="0"/>
            <wp:docPr id="7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8662" cy="34508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noProof/>
          <w:color w:val="000000"/>
        </w:rPr>
        <w:drawing>
          <wp:inline distT="0" distB="0" distL="0" distR="0">
            <wp:extent cx="1597638" cy="2770276"/>
            <wp:effectExtent l="0" t="0" r="0" b="0"/>
            <wp:docPr id="7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7638" cy="27702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C54221" w:rsidRDefault="00C5422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C54221" w:rsidRDefault="00C5422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C54221" w:rsidRDefault="00C5422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C54221" w:rsidRDefault="00C5422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C54221" w:rsidRDefault="00C5422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C54221" w:rsidRDefault="00C5422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C54221" w:rsidRDefault="00C5422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C54221" w:rsidRDefault="00C5422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C54221" w:rsidRDefault="00C5422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C54221" w:rsidRDefault="00C5422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C54221" w:rsidRDefault="00C5422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C54221" w:rsidRDefault="00C5422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C54221" w:rsidRDefault="00C5422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C54221" w:rsidRDefault="00C5422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C54221" w:rsidRDefault="00C5422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C54221" w:rsidRDefault="00C5422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color w:val="000000"/>
        </w:rPr>
      </w:pPr>
    </w:p>
    <w:p w:rsidR="002C55EE" w:rsidRDefault="001B4928" w:rsidP="002C55E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</w:rPr>
      </w:pPr>
      <w:r>
        <w:rPr>
          <w:b/>
          <w:color w:val="000000"/>
        </w:rPr>
        <w:t xml:space="preserve">Supplementary Figure </w:t>
      </w:r>
      <w:r w:rsidR="00C012C2">
        <w:rPr>
          <w:b/>
          <w:color w:val="000000"/>
        </w:rPr>
        <w:t>7</w:t>
      </w:r>
      <w:r>
        <w:rPr>
          <w:b/>
          <w:color w:val="000000"/>
        </w:rPr>
        <w:t xml:space="preserve">. </w:t>
      </w:r>
      <w:r>
        <w:rPr>
          <w:color w:val="000000"/>
        </w:rPr>
        <w:t>IPA Interaction Network Analysis for the HM specific gene list: genes significantly differentially expressed (adjusted p&lt;0.05) with a |FC| &gt; 2.0 uniquely in HM, E16.5 vs. E14.5. Shades of red implies upregulation and shades of green implies downregulation. Genes that are also involved in major non-</w:t>
      </w:r>
      <w:proofErr w:type="spellStart"/>
      <w:r>
        <w:rPr>
          <w:color w:val="000000"/>
        </w:rPr>
        <w:t>Smad</w:t>
      </w:r>
      <w:proofErr w:type="spellEnd"/>
      <w:r>
        <w:rPr>
          <w:color w:val="000000"/>
        </w:rPr>
        <w:t xml:space="preserve"> pathways (ERK/MAPK, p38MAPK and PI3-AKT) in palatogenesis are indicated with links to the corresponding pathways. The p38MAPK </w:t>
      </w:r>
      <w:r>
        <w:rPr>
          <w:color w:val="000000"/>
        </w:rPr>
        <w:lastRenderedPageBreak/>
        <w:t>gene does not appear in the network.</w:t>
      </w:r>
      <w:r w:rsidR="002C55EE" w:rsidRPr="002C55EE">
        <w:rPr>
          <w:color w:val="000000"/>
        </w:rPr>
        <w:t xml:space="preserve"> A solid line implies a direct interaction while a dashed line implies an indirect interaction</w:t>
      </w: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</w:rPr>
      </w:pPr>
    </w:p>
    <w:p w:rsidR="003F75FA" w:rsidRDefault="001B492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925303" cy="4775796"/>
            <wp:effectExtent l="0" t="0" r="0" b="0"/>
            <wp:docPr id="73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25303" cy="47757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6409F4" w:rsidRDefault="006409F4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6409F4" w:rsidRDefault="006409F4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6409F4" w:rsidRDefault="006409F4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6409F4" w:rsidRDefault="006409F4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6409F4" w:rsidRDefault="006409F4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6409F4" w:rsidRPr="006409F4" w:rsidRDefault="006409F4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b/>
          <w:bCs/>
          <w:color w:val="0D0D0D" w:themeColor="text1" w:themeTint="F2"/>
        </w:rPr>
      </w:pPr>
      <w:r w:rsidRPr="006409F4">
        <w:rPr>
          <w:b/>
          <w:bCs/>
          <w:color w:val="0D0D0D" w:themeColor="text1" w:themeTint="F2"/>
        </w:rPr>
        <w:t>Supplementary data: (attached excel file):</w:t>
      </w:r>
    </w:p>
    <w:p w:rsidR="006409F4" w:rsidRDefault="006409F4" w:rsidP="006409F4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color w:val="000000"/>
        </w:rPr>
      </w:pPr>
      <w:r w:rsidRPr="006132AF">
        <w:rPr>
          <w:color w:val="0D0D0D" w:themeColor="text1" w:themeTint="F2"/>
        </w:rPr>
        <w:t xml:space="preserve">A complete list of differential expression </w:t>
      </w:r>
      <w:r>
        <w:rPr>
          <w:color w:val="0D0D0D" w:themeColor="text1" w:themeTint="F2"/>
        </w:rPr>
        <w:t xml:space="preserve">and </w:t>
      </w:r>
      <w:r w:rsidRPr="006132AF">
        <w:rPr>
          <w:color w:val="0D0D0D" w:themeColor="text1" w:themeTint="F2"/>
        </w:rPr>
        <w:t>analysis SDEGs, enriched GO categories and KEGG pathways</w:t>
      </w:r>
      <w:r>
        <w:rPr>
          <w:color w:val="0D0D0D" w:themeColor="text1" w:themeTint="F2"/>
        </w:rPr>
        <w:t xml:space="preserve">. </w:t>
      </w: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</w:p>
    <w:p w:rsidR="003F75FA" w:rsidRDefault="003F75FA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color w:val="000000"/>
        </w:rPr>
      </w:pPr>
    </w:p>
    <w:sectPr w:rsidR="003F75FA" w:rsidSect="00663D2B">
      <w:footerReference w:type="default" r:id="rId19"/>
      <w:headerReference w:type="first" r:id="rId20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1F45" w:rsidRDefault="00401F45">
      <w:pPr>
        <w:spacing w:before="0" w:after="0"/>
      </w:pPr>
      <w:r>
        <w:separator/>
      </w:r>
    </w:p>
  </w:endnote>
  <w:endnote w:type="continuationSeparator" w:id="0">
    <w:p w:rsidR="00401F45" w:rsidRDefault="00401F45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5FA" w:rsidRDefault="003F75FA">
    <w:pPr>
      <w:rPr>
        <w:b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1F45" w:rsidRDefault="00401F45">
      <w:pPr>
        <w:spacing w:before="0" w:after="0"/>
      </w:pPr>
      <w:r>
        <w:separator/>
      </w:r>
    </w:p>
  </w:footnote>
  <w:footnote w:type="continuationSeparator" w:id="0">
    <w:p w:rsidR="00401F45" w:rsidRDefault="00401F45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5FA" w:rsidRDefault="001B4928"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27CC9"/>
    <w:multiLevelType w:val="multilevel"/>
    <w:tmpl w:val="EA50B35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3F75FA"/>
    <w:rsid w:val="00075404"/>
    <w:rsid w:val="001B4928"/>
    <w:rsid w:val="001D0B2E"/>
    <w:rsid w:val="002305DB"/>
    <w:rsid w:val="0023236C"/>
    <w:rsid w:val="002C55EE"/>
    <w:rsid w:val="003F75FA"/>
    <w:rsid w:val="00401F45"/>
    <w:rsid w:val="00482AD7"/>
    <w:rsid w:val="004F07F5"/>
    <w:rsid w:val="00502E15"/>
    <w:rsid w:val="005A1F31"/>
    <w:rsid w:val="00634B35"/>
    <w:rsid w:val="006409F4"/>
    <w:rsid w:val="00663D2B"/>
    <w:rsid w:val="0071002F"/>
    <w:rsid w:val="00744B3C"/>
    <w:rsid w:val="00757311"/>
    <w:rsid w:val="007F0865"/>
    <w:rsid w:val="007F67BF"/>
    <w:rsid w:val="00855911"/>
    <w:rsid w:val="00944030"/>
    <w:rsid w:val="00AF630B"/>
    <w:rsid w:val="00B2700E"/>
    <w:rsid w:val="00B861CF"/>
    <w:rsid w:val="00C012C2"/>
    <w:rsid w:val="00C32FFB"/>
    <w:rsid w:val="00C54221"/>
    <w:rsid w:val="00CB0C3A"/>
    <w:rsid w:val="00D87178"/>
    <w:rsid w:val="00E60235"/>
    <w:rsid w:val="00EB3DFC"/>
    <w:rsid w:val="00EF1D4F"/>
    <w:rsid w:val="00EF751F"/>
    <w:rsid w:val="00F03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before="120" w:after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715"/>
  </w:style>
  <w:style w:type="paragraph" w:styleId="Heading1">
    <w:name w:val="heading 1"/>
    <w:basedOn w:val="ListParagraph"/>
    <w:next w:val="Normal"/>
    <w:link w:val="Heading1Char"/>
    <w:uiPriority w:val="9"/>
    <w:qFormat/>
    <w:rsid w:val="00AB6715"/>
    <w:pPr>
      <w:numPr>
        <w:numId w:val="1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9"/>
    <w:semiHidden/>
    <w:unhideWhenUsed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715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</w:rPr>
  </w:style>
  <w:style w:type="paragraph" w:styleId="Heading4">
    <w:name w:val="heading 4"/>
    <w:basedOn w:val="Heading3"/>
    <w:next w:val="Normal"/>
    <w:link w:val="Heading4Char"/>
    <w:uiPriority w:val="9"/>
    <w:semiHidden/>
    <w:unhideWhenUsed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AB6715"/>
    <w:pPr>
      <w:numPr>
        <w:ilvl w:val="4"/>
      </w:numPr>
      <w:outlineLvl w:val="4"/>
    </w:pPr>
  </w:style>
  <w:style w:type="paragraph" w:styleId="Heading6">
    <w:name w:val="heading 6"/>
    <w:basedOn w:val="Normal"/>
    <w:next w:val="Normal"/>
    <w:uiPriority w:val="9"/>
    <w:semiHidden/>
    <w:unhideWhenUsed/>
    <w:qFormat/>
    <w:rsid w:val="00663D2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B6715"/>
    <w:pPr>
      <w:suppressLineNumbers/>
      <w:spacing w:before="240" w:after="360"/>
      <w:jc w:val="center"/>
    </w:pPr>
    <w:rPr>
      <w:b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D2B"/>
    <w:pPr>
      <w:spacing w:before="240"/>
    </w:pPr>
    <w:rPr>
      <w:b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b/>
      <w:bCs/>
    </w:rPr>
  </w:style>
  <w:style w:type="paragraph" w:styleId="NoSpacing">
    <w:name w:val="No Spacing"/>
    <w:uiPriority w:val="99"/>
    <w:unhideWhenUsed/>
    <w:qFormat/>
    <w:rsid w:val="00AB6715"/>
    <w:pPr>
      <w:spacing w:after="0"/>
    </w:p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AB6715"/>
    <w:pPr>
      <w:tabs>
        <w:tab w:val="num" w:pos="720"/>
      </w:tabs>
      <w:ind w:left="720" w:hanging="720"/>
      <w:contextualSpacing/>
    </w:pPr>
    <w:rPr>
      <w:rFonts w:eastAsia="Cambria"/>
    </w:rPr>
  </w:style>
  <w:style w:type="numbering" w:customStyle="1" w:styleId="Headings">
    <w:name w:val="Headings"/>
    <w:uiPriority w:val="99"/>
    <w:rsid w:val="00AB6715"/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/>
    </w:pPr>
    <w:rPr>
      <w:rFonts w:asciiTheme="majorHAnsi" w:hAnsiTheme="maj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character" w:styleId="PlaceholderText">
    <w:name w:val="Placeholder Text"/>
    <w:basedOn w:val="DefaultParagraphFont"/>
    <w:uiPriority w:val="99"/>
    <w:semiHidden/>
    <w:rsid w:val="002044FD"/>
    <w:rPr>
      <w:color w:val="808080"/>
    </w:rPr>
  </w:style>
  <w:style w:type="character" w:customStyle="1" w:styleId="current-selection">
    <w:name w:val="current-selection"/>
    <w:basedOn w:val="DefaultParagraphFont"/>
    <w:rsid w:val="009B6553"/>
  </w:style>
  <w:style w:type="character" w:customStyle="1" w:styleId="a">
    <w:name w:val="_"/>
    <w:basedOn w:val="DefaultParagraphFont"/>
    <w:rsid w:val="009B6553"/>
  </w:style>
  <w:style w:type="character" w:customStyle="1" w:styleId="ff7">
    <w:name w:val="ff7"/>
    <w:basedOn w:val="DefaultParagraphFont"/>
    <w:rsid w:val="009B6553"/>
  </w:style>
  <w:style w:type="character" w:customStyle="1" w:styleId="ff11">
    <w:name w:val="ff11"/>
    <w:basedOn w:val="DefaultParagraphFont"/>
    <w:rsid w:val="009B6553"/>
  </w:style>
  <w:style w:type="character" w:customStyle="1" w:styleId="ff2">
    <w:name w:val="ff2"/>
    <w:basedOn w:val="DefaultParagraphFont"/>
    <w:rsid w:val="009B6553"/>
  </w:style>
  <w:style w:type="character" w:customStyle="1" w:styleId="ffe">
    <w:name w:val="ffe"/>
    <w:basedOn w:val="DefaultParagraphFont"/>
    <w:rsid w:val="009B6553"/>
  </w:style>
  <w:style w:type="paragraph" w:styleId="Revision">
    <w:name w:val="Revision"/>
    <w:hidden/>
    <w:uiPriority w:val="99"/>
    <w:semiHidden/>
    <w:rsid w:val="00937016"/>
    <w:pPr>
      <w:spacing w:after="0"/>
    </w:pPr>
  </w:style>
  <w:style w:type="character" w:customStyle="1" w:styleId="apple-converted-space">
    <w:name w:val="apple-converted-space"/>
    <w:basedOn w:val="DefaultParagraphFont"/>
    <w:rsid w:val="007649A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awshad@unmc.edu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tif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YjYR8U14krqGM+9GL9p1IMvZiQ==">AMUW2mXSqh76UrfFWhhE7nXQo+SNAGrxQuEZFMGs69rnqdbeyv+57TXjf2Nj/cm5c66KcWCekepshtnOidNKyMW4N06tyiip88XHgHs6i1weCvRx4salkbtce6m2PA4yhSLDSCipsJx/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0012528</cp:lastModifiedBy>
  <cp:revision>3</cp:revision>
  <dcterms:created xsi:type="dcterms:W3CDTF">2020-07-31T13:14:00Z</dcterms:created>
  <dcterms:modified xsi:type="dcterms:W3CDTF">2020-08-20T09:31:00Z</dcterms:modified>
</cp:coreProperties>
</file>