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B887E" w14:textId="3CFCC4B7" w:rsidR="0018250C" w:rsidRPr="00402D1C" w:rsidRDefault="0018250C">
      <w:pPr>
        <w:rPr>
          <w:lang w:val="en-US"/>
        </w:rPr>
      </w:pPr>
      <w:bookmarkStart w:id="0" w:name="_GoBack"/>
      <w:bookmarkEnd w:id="0"/>
      <w:r w:rsidRPr="00402D1C">
        <w:rPr>
          <w:lang w:val="en-US"/>
        </w:rPr>
        <w:t>Supplementary Information for:</w:t>
      </w:r>
    </w:p>
    <w:p w14:paraId="48137466" w14:textId="2D6557AE" w:rsidR="0018250C" w:rsidRPr="00402D1C" w:rsidRDefault="0018250C">
      <w:pPr>
        <w:rPr>
          <w:lang w:val="en-US"/>
        </w:rPr>
      </w:pPr>
    </w:p>
    <w:p w14:paraId="6A9E8708" w14:textId="07D2B6FC" w:rsidR="0018250C" w:rsidRPr="00402D1C" w:rsidRDefault="0018250C" w:rsidP="0018250C">
      <w:pPr>
        <w:pStyle w:val="Heading1"/>
        <w:rPr>
          <w:lang w:val="en-US"/>
        </w:rPr>
      </w:pPr>
      <w:proofErr w:type="spellStart"/>
      <w:r w:rsidRPr="00402D1C">
        <w:rPr>
          <w:lang w:val="en-US"/>
        </w:rPr>
        <w:t>ODiNPred</w:t>
      </w:r>
      <w:proofErr w:type="spellEnd"/>
      <w:r w:rsidRPr="00402D1C">
        <w:rPr>
          <w:lang w:val="en-US"/>
        </w:rPr>
        <w:t xml:space="preserve">: </w:t>
      </w:r>
      <w:r w:rsidR="00C771B8">
        <w:rPr>
          <w:lang w:val="en-US"/>
        </w:rPr>
        <w:t xml:space="preserve">Comprehensive </w:t>
      </w:r>
      <w:r w:rsidRPr="00402D1C">
        <w:rPr>
          <w:lang w:val="en-US"/>
        </w:rPr>
        <w:t>Prediction of Protein Order and Disorder</w:t>
      </w:r>
    </w:p>
    <w:p w14:paraId="7260C604" w14:textId="77777777" w:rsidR="0018250C" w:rsidRPr="00402D1C" w:rsidRDefault="0018250C" w:rsidP="0018250C">
      <w:pPr>
        <w:spacing w:line="360" w:lineRule="auto"/>
        <w:jc w:val="both"/>
        <w:rPr>
          <w:b/>
          <w:lang w:val="en-US"/>
        </w:rPr>
      </w:pPr>
    </w:p>
    <w:p w14:paraId="5EAF2BAD" w14:textId="77777777" w:rsidR="0018250C" w:rsidRPr="00402D1C" w:rsidRDefault="0018250C" w:rsidP="0018250C">
      <w:pPr>
        <w:spacing w:line="360" w:lineRule="auto"/>
        <w:jc w:val="both"/>
        <w:rPr>
          <w:lang w:val="en-US"/>
        </w:rPr>
      </w:pPr>
      <w:proofErr w:type="spellStart"/>
      <w:r w:rsidRPr="00402D1C">
        <w:rPr>
          <w:lang w:val="en-US"/>
        </w:rPr>
        <w:t>Rupashree</w:t>
      </w:r>
      <w:proofErr w:type="spellEnd"/>
      <w:r w:rsidRPr="00402D1C">
        <w:rPr>
          <w:lang w:val="en-US"/>
        </w:rPr>
        <w:t xml:space="preserve"> Dass</w:t>
      </w:r>
      <w:r w:rsidRPr="00402D1C">
        <w:rPr>
          <w:vertAlign w:val="superscript"/>
          <w:lang w:val="en-US"/>
        </w:rPr>
        <w:t>1</w:t>
      </w:r>
      <w:r w:rsidRPr="00402D1C">
        <w:rPr>
          <w:lang w:val="en-US"/>
        </w:rPr>
        <w:t>, Frans A. A. Mulder</w:t>
      </w:r>
      <w:r w:rsidRPr="00402D1C">
        <w:rPr>
          <w:vertAlign w:val="superscript"/>
          <w:lang w:val="en-US"/>
        </w:rPr>
        <w:t>1,2</w:t>
      </w:r>
      <w:r w:rsidRPr="00402D1C">
        <w:rPr>
          <w:lang w:val="en-US"/>
        </w:rPr>
        <w:t>, Jakob Toudahl Nielsen</w:t>
      </w:r>
      <w:r w:rsidRPr="00402D1C">
        <w:rPr>
          <w:vertAlign w:val="superscript"/>
          <w:lang w:val="en-US"/>
        </w:rPr>
        <w:t>1,2</w:t>
      </w:r>
    </w:p>
    <w:p w14:paraId="012B69A9" w14:textId="77777777" w:rsidR="0018250C" w:rsidRPr="00402D1C" w:rsidRDefault="0018250C" w:rsidP="0018250C">
      <w:pPr>
        <w:spacing w:line="360" w:lineRule="auto"/>
        <w:jc w:val="both"/>
        <w:rPr>
          <w:lang w:val="en-US"/>
        </w:rPr>
      </w:pPr>
      <w:r w:rsidRPr="00402D1C">
        <w:rPr>
          <w:vertAlign w:val="superscript"/>
          <w:lang w:val="en-US"/>
        </w:rPr>
        <w:t>1</w:t>
      </w:r>
      <w:r w:rsidRPr="00402D1C">
        <w:rPr>
          <w:lang w:val="en-US"/>
        </w:rPr>
        <w:t xml:space="preserve">Interdisciplinary Nanoscience Center (iNANO), Aarhus University, Gustav </w:t>
      </w:r>
      <w:proofErr w:type="spellStart"/>
      <w:r w:rsidRPr="00402D1C">
        <w:rPr>
          <w:lang w:val="en-US"/>
        </w:rPr>
        <w:t>Wieds</w:t>
      </w:r>
      <w:proofErr w:type="spellEnd"/>
      <w:r w:rsidRPr="00402D1C">
        <w:rPr>
          <w:lang w:val="en-US"/>
        </w:rPr>
        <w:t xml:space="preserve"> </w:t>
      </w:r>
      <w:proofErr w:type="spellStart"/>
      <w:r w:rsidRPr="00402D1C">
        <w:rPr>
          <w:lang w:val="en-US"/>
        </w:rPr>
        <w:t>Vej</w:t>
      </w:r>
      <w:proofErr w:type="spellEnd"/>
      <w:r w:rsidRPr="00402D1C">
        <w:rPr>
          <w:lang w:val="en-US"/>
        </w:rPr>
        <w:t xml:space="preserve"> 14, 8000, Aarhus C, Denmark.</w:t>
      </w:r>
    </w:p>
    <w:p w14:paraId="79813BC0" w14:textId="77777777" w:rsidR="0018250C" w:rsidRPr="00402D1C" w:rsidRDefault="0018250C" w:rsidP="0018250C">
      <w:pPr>
        <w:spacing w:line="360" w:lineRule="auto"/>
        <w:jc w:val="both"/>
        <w:rPr>
          <w:lang w:val="en-US"/>
        </w:rPr>
      </w:pPr>
      <w:r w:rsidRPr="00402D1C">
        <w:rPr>
          <w:vertAlign w:val="superscript"/>
          <w:lang w:val="en-US"/>
        </w:rPr>
        <w:t>2</w:t>
      </w:r>
      <w:r w:rsidRPr="00402D1C">
        <w:rPr>
          <w:lang w:val="en-US"/>
        </w:rPr>
        <w:t xml:space="preserve">Department of Chemistry, Aarhus University, </w:t>
      </w:r>
      <w:proofErr w:type="spellStart"/>
      <w:r w:rsidRPr="00402D1C">
        <w:rPr>
          <w:lang w:val="en-US"/>
        </w:rPr>
        <w:t>Langelandsgade</w:t>
      </w:r>
      <w:proofErr w:type="spellEnd"/>
      <w:r w:rsidRPr="00402D1C">
        <w:rPr>
          <w:lang w:val="en-US"/>
        </w:rPr>
        <w:t xml:space="preserve"> 140, 8000, Aarhus C, Denmark.</w:t>
      </w:r>
    </w:p>
    <w:p w14:paraId="23E173E5" w14:textId="207962E2" w:rsidR="0018250C" w:rsidRDefault="0018250C">
      <w:pPr>
        <w:rPr>
          <w:lang w:val="en-US"/>
        </w:rPr>
      </w:pPr>
    </w:p>
    <w:p w14:paraId="6BD32D00" w14:textId="77777777" w:rsidR="00A025D8" w:rsidRPr="00402D1C" w:rsidRDefault="00A025D8">
      <w:pPr>
        <w:rPr>
          <w:lang w:val="en-US"/>
        </w:rPr>
      </w:pPr>
    </w:p>
    <w:p w14:paraId="0CC9AF39" w14:textId="152FE7F1" w:rsidR="001573FC" w:rsidRDefault="0018250C" w:rsidP="001573FC">
      <w:pPr>
        <w:pStyle w:val="Heading2"/>
        <w:rPr>
          <w:lang w:val="en-US"/>
        </w:rPr>
      </w:pPr>
      <w:r w:rsidRPr="00402D1C">
        <w:rPr>
          <w:lang w:val="en-US"/>
        </w:rPr>
        <w:t>Supplementary Figures</w:t>
      </w:r>
    </w:p>
    <w:p w14:paraId="69E1D5CD" w14:textId="17D3FDBB" w:rsidR="00563A49" w:rsidRDefault="00563A49" w:rsidP="00563A49">
      <w:pPr>
        <w:rPr>
          <w:lang w:val="en-US"/>
        </w:rPr>
      </w:pPr>
    </w:p>
    <w:p w14:paraId="7ECC257C" w14:textId="20546A4B" w:rsidR="00563A49" w:rsidRPr="00402D1C" w:rsidRDefault="00563A49" w:rsidP="00563A49">
      <w:pPr>
        <w:spacing w:line="360" w:lineRule="auto"/>
        <w:jc w:val="both"/>
        <w:rPr>
          <w:lang w:val="en-US"/>
        </w:rPr>
      </w:pPr>
      <w:r w:rsidRPr="00402D1C">
        <w:rPr>
          <w:noProof/>
          <w:lang w:val="en-US"/>
        </w:rPr>
        <w:drawing>
          <wp:inline distT="0" distB="0" distL="0" distR="0" wp14:anchorId="78C70858" wp14:editId="06981361">
            <wp:extent cx="6120130" cy="3197860"/>
            <wp:effectExtent l="0" t="0" r="127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istzimcols1325new.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3197860"/>
                    </a:xfrm>
                    <a:prstGeom prst="rect">
                      <a:avLst/>
                    </a:prstGeom>
                  </pic:spPr>
                </pic:pic>
              </a:graphicData>
            </a:graphic>
          </wp:inline>
        </w:drawing>
      </w:r>
      <w:r w:rsidRPr="00402D1C">
        <w:rPr>
          <w:b/>
          <w:lang w:val="en-US"/>
        </w:rPr>
        <w:t>Figure S</w:t>
      </w:r>
      <w:r>
        <w:rPr>
          <w:b/>
          <w:lang w:val="en-US"/>
        </w:rPr>
        <w:t>1</w:t>
      </w:r>
      <w:r w:rsidRPr="00402D1C">
        <w:rPr>
          <w:lang w:val="en-US"/>
        </w:rPr>
        <w:t xml:space="preserve">: Visualization of Z-scores </w:t>
      </w:r>
      <w:r>
        <w:rPr>
          <w:lang w:val="en-US"/>
        </w:rPr>
        <w:t>for</w:t>
      </w:r>
      <w:r w:rsidRPr="00402D1C">
        <w:rPr>
          <w:lang w:val="en-US"/>
        </w:rPr>
        <w:t xml:space="preserve"> the </w:t>
      </w:r>
      <w:r>
        <w:rPr>
          <w:lang w:val="en-US"/>
        </w:rPr>
        <w:t>"</w:t>
      </w:r>
      <w:r w:rsidRPr="00402D1C">
        <w:rPr>
          <w:lang w:val="en-US"/>
        </w:rPr>
        <w:t>1325</w:t>
      </w:r>
      <w:r>
        <w:rPr>
          <w:lang w:val="en-US"/>
        </w:rPr>
        <w:t>"</w:t>
      </w:r>
      <w:r w:rsidRPr="00402D1C">
        <w:rPr>
          <w:lang w:val="en-US"/>
        </w:rPr>
        <w:t xml:space="preserve"> </w:t>
      </w:r>
      <w:proofErr w:type="spellStart"/>
      <w:r w:rsidRPr="00402D1C">
        <w:rPr>
          <w:lang w:val="en-US"/>
        </w:rPr>
        <w:t>CheZOD</w:t>
      </w:r>
      <w:proofErr w:type="spellEnd"/>
      <w:r w:rsidRPr="00402D1C">
        <w:rPr>
          <w:lang w:val="en-US"/>
        </w:rPr>
        <w:t xml:space="preserve"> database. Each row represents a single protein and Z-scores are visualized using a color ramp from disordered residues </w:t>
      </w:r>
      <w:r>
        <w:rPr>
          <w:lang w:val="en-US"/>
        </w:rPr>
        <w:t>(</w:t>
      </w:r>
      <w:r w:rsidRPr="00402D1C">
        <w:rPr>
          <w:lang w:val="en-US"/>
        </w:rPr>
        <w:t>blue-</w:t>
      </w:r>
      <w:r>
        <w:rPr>
          <w:lang w:val="en-US"/>
        </w:rPr>
        <w:t>to-</w:t>
      </w:r>
      <w:r w:rsidRPr="00402D1C">
        <w:rPr>
          <w:lang w:val="en-US"/>
        </w:rPr>
        <w:t>green</w:t>
      </w:r>
      <w:r>
        <w:rPr>
          <w:lang w:val="en-US"/>
        </w:rPr>
        <w:t>) through</w:t>
      </w:r>
      <w:r w:rsidRPr="00402D1C">
        <w:rPr>
          <w:lang w:val="en-US"/>
        </w:rPr>
        <w:t xml:space="preserve"> to ordered residues </w:t>
      </w:r>
      <w:r>
        <w:rPr>
          <w:lang w:val="en-US"/>
        </w:rPr>
        <w:t>(</w:t>
      </w:r>
      <w:r w:rsidRPr="00402D1C">
        <w:rPr>
          <w:lang w:val="en-US"/>
        </w:rPr>
        <w:t>orange-</w:t>
      </w:r>
      <w:r>
        <w:rPr>
          <w:lang w:val="en-US"/>
        </w:rPr>
        <w:t>to-</w:t>
      </w:r>
      <w:r w:rsidRPr="00402D1C">
        <w:rPr>
          <w:lang w:val="en-US"/>
        </w:rPr>
        <w:t>red</w:t>
      </w:r>
      <w:r>
        <w:rPr>
          <w:lang w:val="en-US"/>
        </w:rPr>
        <w:t>)</w:t>
      </w:r>
      <w:r w:rsidRPr="00402D1C">
        <w:rPr>
          <w:lang w:val="en-US"/>
        </w:rPr>
        <w:t xml:space="preserve">. Entries </w:t>
      </w:r>
      <w:r>
        <w:rPr>
          <w:lang w:val="en-US"/>
        </w:rPr>
        <w:t>a</w:t>
      </w:r>
      <w:r w:rsidRPr="00402D1C">
        <w:rPr>
          <w:lang w:val="en-US"/>
        </w:rPr>
        <w:t>re ranked from top to bottom</w:t>
      </w:r>
      <w:r>
        <w:rPr>
          <w:lang w:val="en-US"/>
        </w:rPr>
        <w:t xml:space="preserve"> according to the </w:t>
      </w:r>
      <w:r w:rsidRPr="00402D1C">
        <w:rPr>
          <w:lang w:val="en-US"/>
        </w:rPr>
        <w:t xml:space="preserve">average Z-score </w:t>
      </w:r>
      <w:r>
        <w:rPr>
          <w:lang w:val="en-US"/>
        </w:rPr>
        <w:t>for</w:t>
      </w:r>
      <w:r w:rsidRPr="00402D1C">
        <w:rPr>
          <w:lang w:val="en-US"/>
        </w:rPr>
        <w:t xml:space="preserve"> </w:t>
      </w:r>
      <w:r>
        <w:rPr>
          <w:lang w:val="en-US"/>
        </w:rPr>
        <w:t>each</w:t>
      </w:r>
      <w:r w:rsidRPr="00402D1C">
        <w:rPr>
          <w:lang w:val="en-US"/>
        </w:rPr>
        <w:t xml:space="preserve"> sequence, </w:t>
      </w:r>
      <w:r>
        <w:rPr>
          <w:lang w:val="en-US"/>
        </w:rPr>
        <w:t>and shown in one continuous panel that is displayed</w:t>
      </w:r>
      <w:r w:rsidRPr="00402D1C">
        <w:rPr>
          <w:lang w:val="en-US"/>
        </w:rPr>
        <w:t xml:space="preserve"> </w:t>
      </w:r>
      <w:r>
        <w:rPr>
          <w:lang w:val="en-US"/>
        </w:rPr>
        <w:t xml:space="preserve">in three parts </w:t>
      </w:r>
      <w:r w:rsidRPr="00402D1C">
        <w:rPr>
          <w:lang w:val="en-US"/>
        </w:rPr>
        <w:t>from left to right.</w:t>
      </w:r>
      <w:r>
        <w:rPr>
          <w:lang w:val="en-US"/>
        </w:rPr>
        <w:t xml:space="preserve"> The x-axis represents sequence numbering.</w:t>
      </w:r>
    </w:p>
    <w:p w14:paraId="3AB9A3C2" w14:textId="77777777" w:rsidR="00563A49" w:rsidRPr="00563A49" w:rsidRDefault="00563A49" w:rsidP="00563A49">
      <w:pPr>
        <w:rPr>
          <w:lang w:val="en-US"/>
        </w:rPr>
      </w:pPr>
    </w:p>
    <w:p w14:paraId="332C293C" w14:textId="77777777" w:rsidR="001573FC" w:rsidRPr="001573FC" w:rsidRDefault="001573FC" w:rsidP="001573FC">
      <w:pPr>
        <w:rPr>
          <w:lang w:val="en-US"/>
        </w:rPr>
      </w:pPr>
    </w:p>
    <w:p w14:paraId="59A43D1F" w14:textId="77777777" w:rsidR="001573FC" w:rsidRPr="00402D1C" w:rsidRDefault="001573FC">
      <w:pPr>
        <w:rPr>
          <w:lang w:val="en-US"/>
        </w:rPr>
      </w:pPr>
    </w:p>
    <w:p w14:paraId="4AA0AAD3" w14:textId="300AE50C" w:rsidR="009B4DB2" w:rsidRDefault="009B4DB2" w:rsidP="004139C3">
      <w:pPr>
        <w:spacing w:line="360" w:lineRule="auto"/>
        <w:jc w:val="both"/>
        <w:rPr>
          <w:lang w:val="en-US"/>
        </w:rPr>
      </w:pPr>
      <w:r>
        <w:rPr>
          <w:noProof/>
          <w:lang w:val="en-US"/>
        </w:rPr>
        <w:lastRenderedPageBreak/>
        <w:drawing>
          <wp:inline distT="0" distB="0" distL="0" distR="0" wp14:anchorId="2D01DC72" wp14:editId="513D35CA">
            <wp:extent cx="6120130" cy="3004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portance_per_feature_2x.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3004820"/>
                    </a:xfrm>
                    <a:prstGeom prst="rect">
                      <a:avLst/>
                    </a:prstGeom>
                  </pic:spPr>
                </pic:pic>
              </a:graphicData>
            </a:graphic>
          </wp:inline>
        </w:drawing>
      </w:r>
    </w:p>
    <w:p w14:paraId="05913A70" w14:textId="7C298C31" w:rsidR="00C35A74" w:rsidRDefault="009B4DB2" w:rsidP="004139C3">
      <w:pPr>
        <w:spacing w:line="360" w:lineRule="auto"/>
        <w:jc w:val="both"/>
        <w:rPr>
          <w:lang w:val="en-US"/>
        </w:rPr>
      </w:pPr>
      <w:r w:rsidRPr="000126F9">
        <w:rPr>
          <w:b/>
          <w:lang w:val="en-US"/>
        </w:rPr>
        <w:t>Figure S</w:t>
      </w:r>
      <w:r w:rsidR="00C35A74">
        <w:rPr>
          <w:b/>
          <w:lang w:val="en-US"/>
        </w:rPr>
        <w:t>2</w:t>
      </w:r>
      <w:r w:rsidRPr="000126F9">
        <w:rPr>
          <w:b/>
          <w:lang w:val="en-US"/>
        </w:rPr>
        <w:t>: Feature importance.</w:t>
      </w:r>
      <w:r>
        <w:rPr>
          <w:lang w:val="en-US"/>
        </w:rPr>
        <w:t xml:space="preserve"> The size of the bar is the decrease in squared Pearson </w:t>
      </w:r>
      <w:r w:rsidR="00D7604E">
        <w:rPr>
          <w:lang w:val="en-US"/>
        </w:rPr>
        <w:t>c</w:t>
      </w:r>
      <w:r>
        <w:rPr>
          <w:lang w:val="en-US"/>
        </w:rPr>
        <w:t xml:space="preserve">orrelation coefficient after permutating all values for the corresponding feature (see main text). Higher values correspond to higher importance and vice versa. The specific groups of features, as described in Online Methods and summarized in Table </w:t>
      </w:r>
      <w:r w:rsidR="00BF5302">
        <w:rPr>
          <w:lang w:val="en-US"/>
        </w:rPr>
        <w:t>S</w:t>
      </w:r>
      <w:r>
        <w:rPr>
          <w:lang w:val="en-US"/>
        </w:rPr>
        <w:t>1</w:t>
      </w:r>
      <w:r w:rsidR="00C5530D">
        <w:rPr>
          <w:lang w:val="en-US"/>
        </w:rPr>
        <w:t>,</w:t>
      </w:r>
      <w:r>
        <w:rPr>
          <w:lang w:val="en-US"/>
        </w:rPr>
        <w:t xml:space="preserve"> are shown with same colors as </w:t>
      </w:r>
      <w:r w:rsidR="00BF5302">
        <w:rPr>
          <w:lang w:val="en-US"/>
        </w:rPr>
        <w:t>given</w:t>
      </w:r>
      <w:r>
        <w:rPr>
          <w:lang w:val="en-US"/>
        </w:rPr>
        <w:t xml:space="preserve"> in the legend.</w:t>
      </w:r>
    </w:p>
    <w:p w14:paraId="60F4331A" w14:textId="13595DAA" w:rsidR="002E6BF6" w:rsidRDefault="002E6BF6" w:rsidP="004139C3">
      <w:pPr>
        <w:spacing w:line="360" w:lineRule="auto"/>
        <w:jc w:val="both"/>
        <w:rPr>
          <w:lang w:val="en-US"/>
        </w:rPr>
      </w:pPr>
    </w:p>
    <w:p w14:paraId="3318AF14" w14:textId="77777777" w:rsidR="002E6BF6" w:rsidRPr="00402D1C" w:rsidRDefault="002E6BF6" w:rsidP="002E6BF6">
      <w:pPr>
        <w:spacing w:line="360" w:lineRule="auto"/>
        <w:jc w:val="both"/>
        <w:rPr>
          <w:lang w:val="en-US"/>
        </w:rPr>
      </w:pPr>
      <w:r w:rsidRPr="00402D1C">
        <w:rPr>
          <w:noProof/>
          <w:lang w:val="en-US"/>
        </w:rPr>
        <w:drawing>
          <wp:inline distT="0" distB="0" distL="0" distR="0" wp14:anchorId="31248A6C" wp14:editId="61DF2D65">
            <wp:extent cx="6120130" cy="4088130"/>
            <wp:effectExtent l="0" t="0" r="127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ist2dtrendannot.pdf"/>
                    <pic:cNvPicPr/>
                  </pic:nvPicPr>
                  <pic:blipFill>
                    <a:blip r:embed="rId8">
                      <a:extLst>
                        <a:ext uri="{28A0092B-C50C-407E-A947-70E740481C1C}">
                          <a14:useLocalDpi xmlns:a14="http://schemas.microsoft.com/office/drawing/2010/main" val="0"/>
                        </a:ext>
                      </a:extLst>
                    </a:blip>
                    <a:stretch>
                      <a:fillRect/>
                    </a:stretch>
                  </pic:blipFill>
                  <pic:spPr>
                    <a:xfrm>
                      <a:off x="0" y="0"/>
                      <a:ext cx="6120130" cy="4088130"/>
                    </a:xfrm>
                    <a:prstGeom prst="rect">
                      <a:avLst/>
                    </a:prstGeom>
                  </pic:spPr>
                </pic:pic>
              </a:graphicData>
            </a:graphic>
          </wp:inline>
        </w:drawing>
      </w:r>
    </w:p>
    <w:p w14:paraId="58AC8FBC" w14:textId="2254A964" w:rsidR="003C0458" w:rsidRDefault="002E6BF6" w:rsidP="004139C3">
      <w:pPr>
        <w:spacing w:line="360" w:lineRule="auto"/>
        <w:jc w:val="both"/>
        <w:rPr>
          <w:lang w:val="en-US"/>
        </w:rPr>
      </w:pPr>
      <w:r w:rsidRPr="00402D1C">
        <w:rPr>
          <w:b/>
          <w:lang w:val="en-US"/>
        </w:rPr>
        <w:t>Figure S</w:t>
      </w:r>
      <w:r>
        <w:rPr>
          <w:b/>
          <w:lang w:val="en-US"/>
        </w:rPr>
        <w:t>3</w:t>
      </w:r>
      <w:r w:rsidRPr="00402D1C">
        <w:rPr>
          <w:b/>
          <w:lang w:val="en-US"/>
        </w:rPr>
        <w:t xml:space="preserve">: </w:t>
      </w:r>
      <w:r w:rsidRPr="000126F9">
        <w:rPr>
          <w:bCs/>
          <w:lang w:val="en-US"/>
        </w:rPr>
        <w:t xml:space="preserve">Visualization of </w:t>
      </w:r>
      <w:r>
        <w:rPr>
          <w:bCs/>
          <w:lang w:val="en-US"/>
        </w:rPr>
        <w:t xml:space="preserve">the </w:t>
      </w:r>
      <w:r w:rsidRPr="000126F9">
        <w:rPr>
          <w:bCs/>
          <w:lang w:val="en-US"/>
        </w:rPr>
        <w:t>correlation between</w:t>
      </w:r>
      <w:r w:rsidRPr="00402D1C">
        <w:rPr>
          <w:b/>
          <w:lang w:val="en-US"/>
        </w:rPr>
        <w:t xml:space="preserve"> </w:t>
      </w:r>
      <w:r>
        <w:rPr>
          <w:lang w:val="en-US"/>
        </w:rPr>
        <w:t>the e</w:t>
      </w:r>
      <w:r w:rsidRPr="00402D1C">
        <w:rPr>
          <w:lang w:val="en-US"/>
        </w:rPr>
        <w:t>rror</w:t>
      </w:r>
      <w:r w:rsidRPr="00955546">
        <w:rPr>
          <w:lang w:val="en-US"/>
        </w:rPr>
        <w:t xml:space="preserve"> </w:t>
      </w:r>
      <w:r w:rsidRPr="00402D1C">
        <w:rPr>
          <w:lang w:val="en-US"/>
        </w:rPr>
        <w:t xml:space="preserve">in Z-score prediction, </w:t>
      </w:r>
      <w:proofErr w:type="spellStart"/>
      <w:r w:rsidRPr="00402D1C">
        <w:rPr>
          <w:lang w:val="en-US"/>
        </w:rPr>
        <w:t>Z</w:t>
      </w:r>
      <w:r w:rsidRPr="00402D1C">
        <w:rPr>
          <w:vertAlign w:val="subscript"/>
          <w:lang w:val="en-US"/>
        </w:rPr>
        <w:t>err</w:t>
      </w:r>
      <w:proofErr w:type="spellEnd"/>
      <w:r w:rsidRPr="00402D1C">
        <w:rPr>
          <w:lang w:val="en-US"/>
        </w:rPr>
        <w:t xml:space="preserve">, </w:t>
      </w:r>
      <w:r>
        <w:rPr>
          <w:lang w:val="en-US"/>
        </w:rPr>
        <w:t>and the</w:t>
      </w:r>
      <w:r w:rsidRPr="00402D1C">
        <w:rPr>
          <w:lang w:val="en-US"/>
        </w:rPr>
        <w:t xml:space="preserve"> standard deviation in predicted Z-score, S</w:t>
      </w:r>
      <w:r w:rsidRPr="00402D1C">
        <w:rPr>
          <w:vertAlign w:val="subscript"/>
          <w:lang w:val="en-US"/>
        </w:rPr>
        <w:t>Z</w:t>
      </w:r>
      <w:r w:rsidRPr="00402D1C">
        <w:rPr>
          <w:lang w:val="en-US"/>
        </w:rPr>
        <w:t xml:space="preserve">, among 10 different </w:t>
      </w:r>
      <w:proofErr w:type="spellStart"/>
      <w:r w:rsidRPr="00402D1C">
        <w:rPr>
          <w:lang w:val="en-US"/>
        </w:rPr>
        <w:t>ODiNPred</w:t>
      </w:r>
      <w:proofErr w:type="spellEnd"/>
      <w:r w:rsidRPr="00402D1C">
        <w:rPr>
          <w:lang w:val="en-US"/>
        </w:rPr>
        <w:t xml:space="preserve"> models (see Methods main </w:t>
      </w:r>
      <w:r w:rsidRPr="00402D1C">
        <w:rPr>
          <w:lang w:val="en-US"/>
        </w:rPr>
        <w:lastRenderedPageBreak/>
        <w:t>text) shown as a 2D histogram (left) and a scatter plot (right). The average error within the S</w:t>
      </w:r>
      <w:r w:rsidRPr="00402D1C">
        <w:rPr>
          <w:vertAlign w:val="subscript"/>
          <w:lang w:val="en-US"/>
        </w:rPr>
        <w:t>Z</w:t>
      </w:r>
      <w:r w:rsidRPr="00402D1C">
        <w:rPr>
          <w:lang w:val="en-US"/>
        </w:rPr>
        <w:t xml:space="preserve"> bins is shown </w:t>
      </w:r>
      <w:r>
        <w:rPr>
          <w:lang w:val="en-US"/>
        </w:rPr>
        <w:t>by</w:t>
      </w:r>
      <w:r w:rsidRPr="00402D1C">
        <w:rPr>
          <w:lang w:val="en-US"/>
        </w:rPr>
        <w:t xml:space="preserve"> </w:t>
      </w:r>
      <w:r>
        <w:rPr>
          <w:lang w:val="en-US"/>
        </w:rPr>
        <w:t xml:space="preserve">a </w:t>
      </w:r>
      <w:r w:rsidRPr="00402D1C">
        <w:rPr>
          <w:lang w:val="en-US"/>
        </w:rPr>
        <w:t>trend line.</w:t>
      </w:r>
    </w:p>
    <w:p w14:paraId="24F314CE" w14:textId="77777777" w:rsidR="00081181" w:rsidRDefault="00081181" w:rsidP="004139C3">
      <w:pPr>
        <w:spacing w:line="360" w:lineRule="auto"/>
        <w:jc w:val="both"/>
        <w:rPr>
          <w:lang w:val="en-US"/>
        </w:rPr>
      </w:pPr>
    </w:p>
    <w:p w14:paraId="6E236FF0" w14:textId="77777777" w:rsidR="003C0458" w:rsidRPr="00402D1C" w:rsidRDefault="003C0458" w:rsidP="003C0458">
      <w:pPr>
        <w:jc w:val="both"/>
        <w:rPr>
          <w:lang w:val="en-US"/>
        </w:rPr>
      </w:pPr>
    </w:p>
    <w:p w14:paraId="608A3961" w14:textId="77777777" w:rsidR="003C0458" w:rsidRPr="00525426" w:rsidRDefault="003C0458" w:rsidP="003C0458">
      <w:pPr>
        <w:rPr>
          <w:b/>
          <w:lang w:val="en-US"/>
        </w:rPr>
      </w:pPr>
      <w:r w:rsidRPr="00525426">
        <w:rPr>
          <w:b/>
          <w:lang w:val="en-US"/>
        </w:rPr>
        <w:t>Table S1: overview of sequence features</w:t>
      </w:r>
    </w:p>
    <w:tbl>
      <w:tblPr>
        <w:tblW w:w="0" w:type="auto"/>
        <w:tblInd w:w="47"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45" w:type="dxa"/>
          <w:bottom w:w="55" w:type="dxa"/>
          <w:right w:w="55" w:type="dxa"/>
        </w:tblCellMar>
        <w:tblLook w:val="0000" w:firstRow="0" w:lastRow="0" w:firstColumn="0" w:lastColumn="0" w:noHBand="0" w:noVBand="0"/>
      </w:tblPr>
      <w:tblGrid>
        <w:gridCol w:w="5047"/>
        <w:gridCol w:w="2380"/>
        <w:gridCol w:w="2158"/>
      </w:tblGrid>
      <w:tr w:rsidR="003C0458" w:rsidRPr="00402D1C" w14:paraId="130A4D94" w14:textId="77777777" w:rsidTr="006A66CA">
        <w:tc>
          <w:tcPr>
            <w:tcW w:w="5101" w:type="dxa"/>
            <w:tcBorders>
              <w:top w:val="single" w:sz="2" w:space="0" w:color="000001"/>
              <w:left w:val="single" w:sz="2" w:space="0" w:color="000001"/>
              <w:bottom w:val="single" w:sz="2" w:space="0" w:color="000001"/>
              <w:right w:val="nil"/>
            </w:tcBorders>
            <w:shd w:val="clear" w:color="auto" w:fill="FFFFFF"/>
            <w:tcMar>
              <w:left w:w="45" w:type="dxa"/>
            </w:tcMar>
          </w:tcPr>
          <w:p w14:paraId="31C82D5C" w14:textId="77777777" w:rsidR="003C0458" w:rsidRPr="00DD00B0" w:rsidRDefault="003C0458" w:rsidP="006A66CA">
            <w:pPr>
              <w:pStyle w:val="TableContents"/>
              <w:rPr>
                <w:b/>
                <w:lang w:val="en-US"/>
              </w:rPr>
            </w:pPr>
            <w:r w:rsidRPr="00DD00B0">
              <w:rPr>
                <w:b/>
                <w:lang w:val="en-US"/>
              </w:rPr>
              <w:t>Type of feature</w:t>
            </w:r>
          </w:p>
        </w:tc>
        <w:tc>
          <w:tcPr>
            <w:tcW w:w="2410"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14:paraId="6780E435" w14:textId="77777777" w:rsidR="003C0458" w:rsidRPr="00DD00B0" w:rsidRDefault="003C0458" w:rsidP="006A66CA">
            <w:pPr>
              <w:pStyle w:val="TableContents"/>
              <w:rPr>
                <w:b/>
                <w:lang w:val="en-US"/>
              </w:rPr>
            </w:pPr>
            <w:r w:rsidRPr="00DD00B0">
              <w:rPr>
                <w:b/>
                <w:lang w:val="en-US"/>
              </w:rPr>
              <w:t>Sliding window length</w:t>
            </w:r>
          </w:p>
        </w:tc>
        <w:tc>
          <w:tcPr>
            <w:tcW w:w="2180" w:type="dxa"/>
            <w:tcBorders>
              <w:top w:val="single" w:sz="2" w:space="0" w:color="000001"/>
              <w:left w:val="single" w:sz="2" w:space="0" w:color="000001"/>
              <w:bottom w:val="single" w:sz="2" w:space="0" w:color="000001"/>
              <w:right w:val="single" w:sz="2" w:space="0" w:color="000001"/>
            </w:tcBorders>
            <w:shd w:val="clear" w:color="auto" w:fill="FFFFFF"/>
          </w:tcPr>
          <w:p w14:paraId="56BFB186" w14:textId="77777777" w:rsidR="003C0458" w:rsidRPr="00DD00B0" w:rsidRDefault="003C0458" w:rsidP="006A66CA">
            <w:pPr>
              <w:pStyle w:val="TableContents"/>
              <w:rPr>
                <w:b/>
                <w:lang w:val="en-US"/>
              </w:rPr>
            </w:pPr>
            <w:r w:rsidRPr="00DD00B0">
              <w:rPr>
                <w:b/>
                <w:lang w:val="en-US"/>
              </w:rPr>
              <w:t>Number of features</w:t>
            </w:r>
          </w:p>
        </w:tc>
      </w:tr>
      <w:tr w:rsidR="003C0458" w:rsidRPr="00402D1C" w14:paraId="322C2935" w14:textId="77777777" w:rsidTr="006A66CA">
        <w:tc>
          <w:tcPr>
            <w:tcW w:w="5101" w:type="dxa"/>
            <w:tcBorders>
              <w:top w:val="nil"/>
              <w:left w:val="single" w:sz="2" w:space="0" w:color="000001"/>
              <w:bottom w:val="single" w:sz="2" w:space="0" w:color="000001"/>
              <w:right w:val="nil"/>
            </w:tcBorders>
            <w:shd w:val="clear" w:color="auto" w:fill="FFFFFF"/>
            <w:tcMar>
              <w:left w:w="45" w:type="dxa"/>
            </w:tcMar>
          </w:tcPr>
          <w:p w14:paraId="0D4EEFD3" w14:textId="77777777" w:rsidR="003C0458" w:rsidRPr="00402D1C" w:rsidRDefault="003C0458" w:rsidP="006A66CA">
            <w:pPr>
              <w:pStyle w:val="TableContents"/>
              <w:rPr>
                <w:lang w:val="en-US"/>
              </w:rPr>
            </w:pPr>
            <w:r w:rsidRPr="00402D1C">
              <w:rPr>
                <w:lang w:val="en-US"/>
              </w:rPr>
              <w:t>Amino acid composition</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285328F4" w14:textId="77777777" w:rsidR="003C0458" w:rsidRPr="00402D1C" w:rsidRDefault="003C0458" w:rsidP="006A66CA">
            <w:pPr>
              <w:pStyle w:val="TableContents"/>
              <w:rPr>
                <w:lang w:val="en-US"/>
              </w:rPr>
            </w:pPr>
            <w:r w:rsidRPr="00402D1C">
              <w:rPr>
                <w:lang w:val="en-US"/>
              </w:rPr>
              <w:t>25</w:t>
            </w:r>
          </w:p>
        </w:tc>
        <w:tc>
          <w:tcPr>
            <w:tcW w:w="2180" w:type="dxa"/>
            <w:tcBorders>
              <w:top w:val="nil"/>
              <w:left w:val="single" w:sz="2" w:space="0" w:color="000001"/>
              <w:bottom w:val="single" w:sz="2" w:space="0" w:color="000001"/>
              <w:right w:val="single" w:sz="2" w:space="0" w:color="000001"/>
            </w:tcBorders>
            <w:shd w:val="clear" w:color="auto" w:fill="FFFFFF"/>
          </w:tcPr>
          <w:p w14:paraId="1956CE11" w14:textId="77777777" w:rsidR="003C0458" w:rsidRPr="00402D1C" w:rsidRDefault="003C0458" w:rsidP="006A66CA">
            <w:pPr>
              <w:pStyle w:val="TableContents"/>
              <w:rPr>
                <w:lang w:val="en-US"/>
              </w:rPr>
            </w:pPr>
            <w:r w:rsidRPr="00402D1C">
              <w:rPr>
                <w:lang w:val="en-US"/>
              </w:rPr>
              <w:t>21</w:t>
            </w:r>
          </w:p>
        </w:tc>
      </w:tr>
      <w:tr w:rsidR="003C0458" w:rsidRPr="00402D1C" w14:paraId="4563C058" w14:textId="77777777" w:rsidTr="006A66CA">
        <w:tc>
          <w:tcPr>
            <w:tcW w:w="5101" w:type="dxa"/>
            <w:tcBorders>
              <w:top w:val="nil"/>
              <w:left w:val="single" w:sz="2" w:space="0" w:color="000001"/>
              <w:bottom w:val="single" w:sz="2" w:space="0" w:color="000001"/>
              <w:right w:val="nil"/>
            </w:tcBorders>
            <w:shd w:val="clear" w:color="auto" w:fill="FFFFFF"/>
            <w:tcMar>
              <w:left w:w="45" w:type="dxa"/>
            </w:tcMar>
          </w:tcPr>
          <w:p w14:paraId="6335B795" w14:textId="77777777" w:rsidR="003C0458" w:rsidRPr="00402D1C" w:rsidRDefault="003C0458" w:rsidP="006A66CA">
            <w:pPr>
              <w:pStyle w:val="TableContents"/>
              <w:rPr>
                <w:lang w:val="en-US"/>
              </w:rPr>
            </w:pPr>
            <w:r w:rsidRPr="00402D1C">
              <w:rPr>
                <w:lang w:val="en-US"/>
              </w:rPr>
              <w:t>Sequence entropy</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1ED0CD76" w14:textId="77777777" w:rsidR="003C0458" w:rsidRPr="00402D1C" w:rsidRDefault="003C0458" w:rsidP="006A66CA">
            <w:pPr>
              <w:pStyle w:val="TableContents"/>
              <w:rPr>
                <w:lang w:val="en-US"/>
              </w:rPr>
            </w:pPr>
            <w:r w:rsidRPr="00402D1C">
              <w:rPr>
                <w:lang w:val="en-US"/>
              </w:rPr>
              <w:t>51</w:t>
            </w:r>
          </w:p>
        </w:tc>
        <w:tc>
          <w:tcPr>
            <w:tcW w:w="2180" w:type="dxa"/>
            <w:tcBorders>
              <w:top w:val="nil"/>
              <w:left w:val="single" w:sz="2" w:space="0" w:color="000001"/>
              <w:bottom w:val="single" w:sz="2" w:space="0" w:color="000001"/>
              <w:right w:val="single" w:sz="2" w:space="0" w:color="000001"/>
            </w:tcBorders>
            <w:shd w:val="clear" w:color="auto" w:fill="FFFFFF"/>
          </w:tcPr>
          <w:p w14:paraId="4B66E4C9" w14:textId="77777777" w:rsidR="003C0458" w:rsidRPr="00402D1C" w:rsidRDefault="003C0458" w:rsidP="006A66CA">
            <w:pPr>
              <w:pStyle w:val="TableContents"/>
              <w:rPr>
                <w:lang w:val="en-US"/>
              </w:rPr>
            </w:pPr>
            <w:r w:rsidRPr="00402D1C">
              <w:rPr>
                <w:lang w:val="en-US"/>
              </w:rPr>
              <w:t>1</w:t>
            </w:r>
          </w:p>
        </w:tc>
      </w:tr>
      <w:tr w:rsidR="003C0458" w:rsidRPr="00402D1C" w14:paraId="44CE93AF" w14:textId="77777777" w:rsidTr="006A66CA">
        <w:trPr>
          <w:trHeight w:val="339"/>
        </w:trPr>
        <w:tc>
          <w:tcPr>
            <w:tcW w:w="5101" w:type="dxa"/>
            <w:tcBorders>
              <w:top w:val="nil"/>
              <w:left w:val="single" w:sz="2" w:space="0" w:color="000001"/>
              <w:bottom w:val="single" w:sz="2" w:space="0" w:color="000001"/>
              <w:right w:val="nil"/>
            </w:tcBorders>
            <w:shd w:val="clear" w:color="auto" w:fill="FFFFFF"/>
            <w:tcMar>
              <w:left w:w="45" w:type="dxa"/>
            </w:tcMar>
          </w:tcPr>
          <w:p w14:paraId="1ED6DB32" w14:textId="77777777" w:rsidR="003C0458" w:rsidRPr="00402D1C" w:rsidRDefault="003C0458" w:rsidP="006A66CA">
            <w:pPr>
              <w:pStyle w:val="TableContents"/>
              <w:rPr>
                <w:lang w:val="en-US"/>
              </w:rPr>
            </w:pPr>
            <w:r w:rsidRPr="00402D1C">
              <w:rPr>
                <w:lang w:val="en-US"/>
              </w:rPr>
              <w:t>Chou-</w:t>
            </w:r>
            <w:proofErr w:type="spellStart"/>
            <w:r w:rsidRPr="00402D1C">
              <w:rPr>
                <w:lang w:val="en-US"/>
              </w:rPr>
              <w:t>Fasman</w:t>
            </w:r>
            <w:proofErr w:type="spellEnd"/>
            <w:r w:rsidRPr="00402D1C">
              <w:rPr>
                <w:lang w:val="en-US"/>
              </w:rPr>
              <w:t xml:space="preserve"> secondary structure predictions</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33A3BDDE" w14:textId="77777777" w:rsidR="003C0458" w:rsidRPr="00402D1C" w:rsidRDefault="003C0458" w:rsidP="006A66CA">
            <w:pPr>
              <w:pStyle w:val="TableContents"/>
              <w:rPr>
                <w:lang w:val="en-US"/>
              </w:rPr>
            </w:pPr>
            <w:r w:rsidRPr="00402D1C">
              <w:rPr>
                <w:lang w:val="en-US"/>
              </w:rPr>
              <w:t>25</w:t>
            </w:r>
          </w:p>
        </w:tc>
        <w:tc>
          <w:tcPr>
            <w:tcW w:w="2180" w:type="dxa"/>
            <w:tcBorders>
              <w:top w:val="nil"/>
              <w:left w:val="single" w:sz="2" w:space="0" w:color="000001"/>
              <w:bottom w:val="single" w:sz="2" w:space="0" w:color="000001"/>
              <w:right w:val="single" w:sz="2" w:space="0" w:color="000001"/>
            </w:tcBorders>
            <w:shd w:val="clear" w:color="auto" w:fill="FFFFFF"/>
          </w:tcPr>
          <w:p w14:paraId="2BB7CA09" w14:textId="77777777" w:rsidR="003C0458" w:rsidRPr="00402D1C" w:rsidRDefault="003C0458" w:rsidP="006A66CA">
            <w:pPr>
              <w:pStyle w:val="TableContents"/>
              <w:rPr>
                <w:lang w:val="en-US"/>
              </w:rPr>
            </w:pPr>
            <w:r w:rsidRPr="00402D1C">
              <w:rPr>
                <w:lang w:val="en-US"/>
              </w:rPr>
              <w:t>3</w:t>
            </w:r>
          </w:p>
        </w:tc>
      </w:tr>
      <w:tr w:rsidR="003C0458" w:rsidRPr="00402D1C" w14:paraId="3E8A529F" w14:textId="77777777" w:rsidTr="006A66CA">
        <w:trPr>
          <w:trHeight w:val="339"/>
        </w:trPr>
        <w:tc>
          <w:tcPr>
            <w:tcW w:w="5101" w:type="dxa"/>
            <w:tcBorders>
              <w:top w:val="nil"/>
              <w:left w:val="single" w:sz="2" w:space="0" w:color="000001"/>
              <w:bottom w:val="single" w:sz="2" w:space="0" w:color="000001"/>
              <w:right w:val="nil"/>
            </w:tcBorders>
            <w:shd w:val="clear" w:color="auto" w:fill="FFFFFF"/>
            <w:tcMar>
              <w:left w:w="45" w:type="dxa"/>
            </w:tcMar>
          </w:tcPr>
          <w:p w14:paraId="4404874D" w14:textId="77777777" w:rsidR="003C0458" w:rsidRPr="00402D1C" w:rsidRDefault="003C0458" w:rsidP="006A66CA">
            <w:pPr>
              <w:pStyle w:val="TableContents"/>
              <w:rPr>
                <w:lang w:val="en-US"/>
              </w:rPr>
            </w:pPr>
            <w:r w:rsidRPr="00402D1C">
              <w:rPr>
                <w:lang w:val="en-US"/>
              </w:rPr>
              <w:t>Secondary structure propensities</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7CC76FEF" w14:textId="77777777" w:rsidR="003C0458" w:rsidRPr="00402D1C" w:rsidRDefault="003C0458" w:rsidP="006A66CA">
            <w:pPr>
              <w:pStyle w:val="TableContents"/>
              <w:rPr>
                <w:lang w:val="en-US"/>
              </w:rPr>
            </w:pPr>
            <w:r>
              <w:rPr>
                <w:lang w:val="en-US"/>
              </w:rPr>
              <w:t>none</w:t>
            </w:r>
          </w:p>
        </w:tc>
        <w:tc>
          <w:tcPr>
            <w:tcW w:w="2180" w:type="dxa"/>
            <w:tcBorders>
              <w:top w:val="nil"/>
              <w:left w:val="single" w:sz="2" w:space="0" w:color="000001"/>
              <w:bottom w:val="single" w:sz="2" w:space="0" w:color="000001"/>
              <w:right w:val="single" w:sz="2" w:space="0" w:color="000001"/>
            </w:tcBorders>
            <w:shd w:val="clear" w:color="auto" w:fill="FFFFFF"/>
          </w:tcPr>
          <w:p w14:paraId="0A1E114C" w14:textId="77777777" w:rsidR="003C0458" w:rsidRPr="00402D1C" w:rsidRDefault="003C0458" w:rsidP="006A66CA">
            <w:pPr>
              <w:pStyle w:val="TableContents"/>
              <w:rPr>
                <w:lang w:val="en-US"/>
              </w:rPr>
            </w:pPr>
            <w:r w:rsidRPr="00402D1C">
              <w:rPr>
                <w:lang w:val="en-US"/>
              </w:rPr>
              <w:t>4</w:t>
            </w:r>
          </w:p>
        </w:tc>
      </w:tr>
      <w:tr w:rsidR="003C0458" w:rsidRPr="00402D1C" w14:paraId="743DF43E" w14:textId="77777777" w:rsidTr="006A66CA">
        <w:trPr>
          <w:trHeight w:val="339"/>
        </w:trPr>
        <w:tc>
          <w:tcPr>
            <w:tcW w:w="5101" w:type="dxa"/>
            <w:tcBorders>
              <w:top w:val="nil"/>
              <w:left w:val="single" w:sz="2" w:space="0" w:color="000001"/>
              <w:bottom w:val="single" w:sz="2" w:space="0" w:color="000001"/>
              <w:right w:val="nil"/>
            </w:tcBorders>
            <w:shd w:val="clear" w:color="auto" w:fill="FFFFFF"/>
            <w:tcMar>
              <w:left w:w="45" w:type="dxa"/>
            </w:tcMar>
          </w:tcPr>
          <w:p w14:paraId="5B907893" w14:textId="77777777" w:rsidR="003C0458" w:rsidRPr="00402D1C" w:rsidRDefault="003C0458" w:rsidP="006A66CA">
            <w:pPr>
              <w:pStyle w:val="TableContents"/>
              <w:rPr>
                <w:lang w:val="en-US"/>
              </w:rPr>
            </w:pPr>
            <w:r w:rsidRPr="00402D1C">
              <w:rPr>
                <w:lang w:val="en-US"/>
              </w:rPr>
              <w:t>Predicted secondary structure</w:t>
            </w:r>
            <w:r>
              <w:rPr>
                <w:lang w:val="en-US"/>
              </w:rPr>
              <w:t xml:space="preserve"> and accessibility</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506E7EEF" w14:textId="77777777" w:rsidR="003C0458" w:rsidRDefault="003C0458" w:rsidP="006A66CA">
            <w:pPr>
              <w:pStyle w:val="TableContents"/>
              <w:rPr>
                <w:lang w:val="en-US"/>
              </w:rPr>
            </w:pPr>
            <w:r>
              <w:rPr>
                <w:lang w:val="en-US"/>
              </w:rPr>
              <w:t>different values</w:t>
            </w:r>
          </w:p>
        </w:tc>
        <w:tc>
          <w:tcPr>
            <w:tcW w:w="2180" w:type="dxa"/>
            <w:tcBorders>
              <w:top w:val="nil"/>
              <w:left w:val="single" w:sz="2" w:space="0" w:color="000001"/>
              <w:bottom w:val="single" w:sz="2" w:space="0" w:color="000001"/>
              <w:right w:val="single" w:sz="2" w:space="0" w:color="000001"/>
            </w:tcBorders>
            <w:shd w:val="clear" w:color="auto" w:fill="FFFFFF"/>
          </w:tcPr>
          <w:p w14:paraId="3A08875E" w14:textId="77777777" w:rsidR="003C0458" w:rsidRPr="00402D1C" w:rsidRDefault="003C0458" w:rsidP="006A66CA">
            <w:pPr>
              <w:pStyle w:val="TableContents"/>
              <w:rPr>
                <w:lang w:val="en-US"/>
              </w:rPr>
            </w:pPr>
            <w:r>
              <w:rPr>
                <w:lang w:val="en-US"/>
              </w:rPr>
              <w:t>19</w:t>
            </w:r>
          </w:p>
        </w:tc>
      </w:tr>
      <w:tr w:rsidR="003C0458" w:rsidRPr="00402D1C" w14:paraId="387E4B0A" w14:textId="77777777" w:rsidTr="006A66CA">
        <w:trPr>
          <w:trHeight w:val="339"/>
        </w:trPr>
        <w:tc>
          <w:tcPr>
            <w:tcW w:w="5101" w:type="dxa"/>
            <w:tcBorders>
              <w:top w:val="nil"/>
              <w:left w:val="single" w:sz="2" w:space="0" w:color="000001"/>
              <w:bottom w:val="single" w:sz="2" w:space="0" w:color="000001"/>
              <w:right w:val="nil"/>
            </w:tcBorders>
            <w:shd w:val="clear" w:color="auto" w:fill="FFFFFF"/>
            <w:tcMar>
              <w:left w:w="45" w:type="dxa"/>
            </w:tcMar>
          </w:tcPr>
          <w:p w14:paraId="07CFD93A" w14:textId="77777777" w:rsidR="003C0458" w:rsidRPr="00402D1C" w:rsidRDefault="003C0458" w:rsidP="006A66CA">
            <w:pPr>
              <w:pStyle w:val="TableContents"/>
              <w:rPr>
                <w:lang w:val="en-US"/>
              </w:rPr>
            </w:pPr>
            <w:r w:rsidRPr="00402D1C">
              <w:rPr>
                <w:lang w:val="en-US"/>
              </w:rPr>
              <w:t>Hydrophobic clusters</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4BCD2C5C" w14:textId="77777777" w:rsidR="003C0458" w:rsidRDefault="003C0458" w:rsidP="006A66CA">
            <w:pPr>
              <w:pStyle w:val="TableContents"/>
              <w:rPr>
                <w:lang w:val="en-US"/>
              </w:rPr>
            </w:pPr>
            <w:r>
              <w:rPr>
                <w:lang w:val="en-US"/>
              </w:rPr>
              <w:t>different values</w:t>
            </w:r>
          </w:p>
        </w:tc>
        <w:tc>
          <w:tcPr>
            <w:tcW w:w="2180" w:type="dxa"/>
            <w:tcBorders>
              <w:top w:val="nil"/>
              <w:left w:val="single" w:sz="2" w:space="0" w:color="000001"/>
              <w:bottom w:val="single" w:sz="2" w:space="0" w:color="000001"/>
              <w:right w:val="single" w:sz="2" w:space="0" w:color="000001"/>
            </w:tcBorders>
            <w:shd w:val="clear" w:color="auto" w:fill="FFFFFF"/>
          </w:tcPr>
          <w:p w14:paraId="192B984C" w14:textId="77777777" w:rsidR="003C0458" w:rsidRDefault="003C0458" w:rsidP="006A66CA">
            <w:pPr>
              <w:pStyle w:val="TableContents"/>
              <w:rPr>
                <w:lang w:val="en-US"/>
              </w:rPr>
            </w:pPr>
            <w:r>
              <w:rPr>
                <w:lang w:val="en-US"/>
              </w:rPr>
              <w:t>12(10</w:t>
            </w:r>
            <w:r>
              <w:rPr>
                <w:vertAlign w:val="superscript"/>
                <w:lang w:val="en-US"/>
              </w:rPr>
              <w:t>a</w:t>
            </w:r>
            <w:r>
              <w:rPr>
                <w:lang w:val="en-US"/>
              </w:rPr>
              <w:t>)</w:t>
            </w:r>
          </w:p>
        </w:tc>
      </w:tr>
      <w:tr w:rsidR="003C0458" w:rsidRPr="00402D1C" w14:paraId="29174BBC" w14:textId="77777777" w:rsidTr="006A66CA">
        <w:tc>
          <w:tcPr>
            <w:tcW w:w="5101" w:type="dxa"/>
            <w:tcBorders>
              <w:top w:val="nil"/>
              <w:left w:val="single" w:sz="2" w:space="0" w:color="000001"/>
              <w:bottom w:val="single" w:sz="2" w:space="0" w:color="000001"/>
              <w:right w:val="nil"/>
            </w:tcBorders>
            <w:shd w:val="clear" w:color="auto" w:fill="FFFFFF"/>
            <w:tcMar>
              <w:left w:w="45" w:type="dxa"/>
            </w:tcMar>
          </w:tcPr>
          <w:p w14:paraId="601197A5" w14:textId="77777777" w:rsidR="003C0458" w:rsidRPr="00402D1C" w:rsidRDefault="003C0458" w:rsidP="006A66CA">
            <w:pPr>
              <w:pStyle w:val="TableContents"/>
              <w:rPr>
                <w:lang w:val="en-US"/>
              </w:rPr>
            </w:pPr>
            <w:r w:rsidRPr="00402D1C">
              <w:rPr>
                <w:lang w:val="en-US"/>
              </w:rPr>
              <w:t>Segment dipoles</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1DF38D0E" w14:textId="77777777" w:rsidR="003C0458" w:rsidRPr="00402D1C" w:rsidRDefault="003C0458" w:rsidP="006A66CA">
            <w:pPr>
              <w:pStyle w:val="TableContents"/>
              <w:rPr>
                <w:lang w:val="en-US"/>
              </w:rPr>
            </w:pPr>
            <w:r w:rsidRPr="00402D1C">
              <w:rPr>
                <w:lang w:val="en-US"/>
              </w:rPr>
              <w:t>7</w:t>
            </w:r>
          </w:p>
        </w:tc>
        <w:tc>
          <w:tcPr>
            <w:tcW w:w="2180" w:type="dxa"/>
            <w:tcBorders>
              <w:top w:val="nil"/>
              <w:left w:val="single" w:sz="2" w:space="0" w:color="000001"/>
              <w:bottom w:val="single" w:sz="2" w:space="0" w:color="000001"/>
              <w:right w:val="single" w:sz="2" w:space="0" w:color="000001"/>
            </w:tcBorders>
            <w:shd w:val="clear" w:color="auto" w:fill="FFFFFF"/>
          </w:tcPr>
          <w:p w14:paraId="23770C15" w14:textId="77777777" w:rsidR="003C0458" w:rsidRPr="00402D1C" w:rsidRDefault="003C0458" w:rsidP="006A66CA">
            <w:pPr>
              <w:pStyle w:val="TableContents"/>
              <w:rPr>
                <w:lang w:val="en-US"/>
              </w:rPr>
            </w:pPr>
            <w:r w:rsidRPr="00402D1C">
              <w:rPr>
                <w:lang w:val="en-US"/>
              </w:rPr>
              <w:t>2</w:t>
            </w:r>
          </w:p>
        </w:tc>
      </w:tr>
      <w:tr w:rsidR="003C0458" w:rsidRPr="00402D1C" w14:paraId="0D457820" w14:textId="77777777" w:rsidTr="006A66CA">
        <w:tc>
          <w:tcPr>
            <w:tcW w:w="5101" w:type="dxa"/>
            <w:tcBorders>
              <w:top w:val="nil"/>
              <w:left w:val="single" w:sz="2" w:space="0" w:color="000001"/>
              <w:bottom w:val="single" w:sz="2" w:space="0" w:color="000001"/>
              <w:right w:val="nil"/>
            </w:tcBorders>
            <w:shd w:val="clear" w:color="auto" w:fill="FFFFFF"/>
            <w:tcMar>
              <w:left w:w="45" w:type="dxa"/>
            </w:tcMar>
          </w:tcPr>
          <w:p w14:paraId="7DC1376C" w14:textId="77777777" w:rsidR="003C0458" w:rsidRPr="00402D1C" w:rsidRDefault="003C0458" w:rsidP="006A66CA">
            <w:pPr>
              <w:pStyle w:val="TableContents"/>
              <w:rPr>
                <w:lang w:val="en-US"/>
              </w:rPr>
            </w:pPr>
            <w:r w:rsidRPr="00402D1C">
              <w:rPr>
                <w:lang w:val="en-US"/>
              </w:rPr>
              <w:t>Repeats</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7878190D" w14:textId="77777777" w:rsidR="003C0458" w:rsidRPr="00402D1C" w:rsidRDefault="003C0458" w:rsidP="006A66CA">
            <w:pPr>
              <w:pStyle w:val="TableContents"/>
              <w:rPr>
                <w:lang w:val="en-US"/>
              </w:rPr>
            </w:pPr>
            <w:r w:rsidRPr="00402D1C">
              <w:rPr>
                <w:lang w:val="en-US"/>
              </w:rPr>
              <w:t>9</w:t>
            </w:r>
          </w:p>
        </w:tc>
        <w:tc>
          <w:tcPr>
            <w:tcW w:w="2180" w:type="dxa"/>
            <w:tcBorders>
              <w:top w:val="nil"/>
              <w:left w:val="single" w:sz="2" w:space="0" w:color="000001"/>
              <w:bottom w:val="single" w:sz="2" w:space="0" w:color="000001"/>
              <w:right w:val="single" w:sz="2" w:space="0" w:color="000001"/>
            </w:tcBorders>
            <w:shd w:val="clear" w:color="auto" w:fill="FFFFFF"/>
          </w:tcPr>
          <w:p w14:paraId="3265FA70" w14:textId="77777777" w:rsidR="003C0458" w:rsidRPr="00402D1C" w:rsidRDefault="003C0458" w:rsidP="006A66CA">
            <w:pPr>
              <w:pStyle w:val="TableContents"/>
              <w:rPr>
                <w:lang w:val="en-US"/>
              </w:rPr>
            </w:pPr>
            <w:r w:rsidRPr="00402D1C">
              <w:rPr>
                <w:lang w:val="en-US"/>
              </w:rPr>
              <w:t>5</w:t>
            </w:r>
          </w:p>
        </w:tc>
      </w:tr>
      <w:tr w:rsidR="003C0458" w:rsidRPr="00402D1C" w14:paraId="227323A0" w14:textId="77777777" w:rsidTr="006A66CA">
        <w:tc>
          <w:tcPr>
            <w:tcW w:w="5101" w:type="dxa"/>
            <w:tcBorders>
              <w:top w:val="nil"/>
              <w:left w:val="single" w:sz="2" w:space="0" w:color="000001"/>
              <w:bottom w:val="single" w:sz="2" w:space="0" w:color="000001"/>
              <w:right w:val="nil"/>
            </w:tcBorders>
            <w:shd w:val="clear" w:color="auto" w:fill="FFFFFF"/>
            <w:tcMar>
              <w:left w:w="45" w:type="dxa"/>
            </w:tcMar>
          </w:tcPr>
          <w:p w14:paraId="3D1E2A82" w14:textId="77777777" w:rsidR="003C0458" w:rsidRPr="00402D1C" w:rsidRDefault="003C0458" w:rsidP="006A66CA">
            <w:pPr>
              <w:pStyle w:val="TableContents"/>
              <w:rPr>
                <w:lang w:val="en-US"/>
              </w:rPr>
            </w:pPr>
            <w:r w:rsidRPr="00402D1C">
              <w:rPr>
                <w:lang w:val="en-US"/>
              </w:rPr>
              <w:t>Interaction motifs</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4951909F" w14:textId="77777777" w:rsidR="003C0458" w:rsidRPr="00402D1C" w:rsidRDefault="003C0458" w:rsidP="006A66CA">
            <w:pPr>
              <w:pStyle w:val="TableContents"/>
              <w:rPr>
                <w:lang w:val="en-US"/>
              </w:rPr>
            </w:pPr>
            <w:r>
              <w:rPr>
                <w:lang w:val="en-US"/>
              </w:rPr>
              <w:t>none</w:t>
            </w:r>
          </w:p>
        </w:tc>
        <w:tc>
          <w:tcPr>
            <w:tcW w:w="2180" w:type="dxa"/>
            <w:tcBorders>
              <w:top w:val="nil"/>
              <w:left w:val="single" w:sz="2" w:space="0" w:color="000001"/>
              <w:bottom w:val="single" w:sz="2" w:space="0" w:color="000001"/>
              <w:right w:val="single" w:sz="2" w:space="0" w:color="000001"/>
            </w:tcBorders>
            <w:shd w:val="clear" w:color="auto" w:fill="FFFFFF"/>
          </w:tcPr>
          <w:p w14:paraId="592603F8" w14:textId="77777777" w:rsidR="003C0458" w:rsidRPr="00402D1C" w:rsidRDefault="003C0458" w:rsidP="006A66CA">
            <w:pPr>
              <w:pStyle w:val="TableContents"/>
              <w:rPr>
                <w:lang w:val="en-US"/>
              </w:rPr>
            </w:pPr>
            <w:r w:rsidRPr="00402D1C">
              <w:rPr>
                <w:lang w:val="en-US"/>
              </w:rPr>
              <w:t>6</w:t>
            </w:r>
          </w:p>
        </w:tc>
      </w:tr>
      <w:tr w:rsidR="003C0458" w:rsidRPr="00402D1C" w14:paraId="4E650B9F" w14:textId="77777777" w:rsidTr="006A66CA">
        <w:tc>
          <w:tcPr>
            <w:tcW w:w="5101" w:type="dxa"/>
            <w:tcBorders>
              <w:top w:val="nil"/>
              <w:left w:val="single" w:sz="2" w:space="0" w:color="000001"/>
              <w:bottom w:val="single" w:sz="2" w:space="0" w:color="000001"/>
              <w:right w:val="nil"/>
            </w:tcBorders>
            <w:shd w:val="clear" w:color="auto" w:fill="FFFFFF"/>
            <w:tcMar>
              <w:left w:w="45" w:type="dxa"/>
            </w:tcMar>
          </w:tcPr>
          <w:p w14:paraId="362A857F" w14:textId="77777777" w:rsidR="003C0458" w:rsidRPr="00402D1C" w:rsidRDefault="003C0458" w:rsidP="006A66CA">
            <w:pPr>
              <w:pStyle w:val="TableContents"/>
              <w:rPr>
                <w:lang w:val="en-US"/>
              </w:rPr>
            </w:pPr>
            <w:r w:rsidRPr="00402D1C">
              <w:rPr>
                <w:lang w:val="en-US"/>
              </w:rPr>
              <w:t>Class-Composition/Transition</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185020D9" w14:textId="77777777" w:rsidR="003C0458" w:rsidRPr="00402D1C" w:rsidRDefault="003C0458" w:rsidP="006A66CA">
            <w:pPr>
              <w:pStyle w:val="TableContents"/>
              <w:rPr>
                <w:lang w:val="en-US"/>
              </w:rPr>
            </w:pPr>
            <w:r w:rsidRPr="00402D1C">
              <w:rPr>
                <w:lang w:val="en-US"/>
              </w:rPr>
              <w:t>25</w:t>
            </w:r>
          </w:p>
        </w:tc>
        <w:tc>
          <w:tcPr>
            <w:tcW w:w="2180" w:type="dxa"/>
            <w:tcBorders>
              <w:top w:val="nil"/>
              <w:left w:val="single" w:sz="2" w:space="0" w:color="000001"/>
              <w:bottom w:val="single" w:sz="2" w:space="0" w:color="000001"/>
              <w:right w:val="single" w:sz="2" w:space="0" w:color="000001"/>
            </w:tcBorders>
            <w:shd w:val="clear" w:color="auto" w:fill="FFFFFF"/>
          </w:tcPr>
          <w:p w14:paraId="5508D1CA" w14:textId="77777777" w:rsidR="003C0458" w:rsidRPr="00402D1C" w:rsidRDefault="003C0458" w:rsidP="006A66CA">
            <w:pPr>
              <w:pStyle w:val="TableContents"/>
              <w:rPr>
                <w:lang w:val="en-US"/>
              </w:rPr>
            </w:pPr>
            <w:r w:rsidRPr="00402D1C">
              <w:rPr>
                <w:lang w:val="en-US"/>
              </w:rPr>
              <w:t>49</w:t>
            </w:r>
          </w:p>
        </w:tc>
      </w:tr>
      <w:tr w:rsidR="003C0458" w:rsidRPr="00402D1C" w14:paraId="0F577D49" w14:textId="77777777" w:rsidTr="006A66CA">
        <w:tc>
          <w:tcPr>
            <w:tcW w:w="5101" w:type="dxa"/>
            <w:tcBorders>
              <w:top w:val="nil"/>
              <w:left w:val="single" w:sz="2" w:space="0" w:color="000001"/>
              <w:bottom w:val="single" w:sz="2" w:space="0" w:color="000001"/>
              <w:right w:val="nil"/>
            </w:tcBorders>
            <w:shd w:val="clear" w:color="auto" w:fill="FFFFFF"/>
            <w:tcMar>
              <w:left w:w="45" w:type="dxa"/>
            </w:tcMar>
          </w:tcPr>
          <w:p w14:paraId="157BB96B" w14:textId="77777777" w:rsidR="003C0458" w:rsidRPr="00402D1C" w:rsidRDefault="003C0458" w:rsidP="006A66CA">
            <w:pPr>
              <w:pStyle w:val="TableContents"/>
              <w:rPr>
                <w:lang w:val="en-US"/>
              </w:rPr>
            </w:pPr>
            <w:r w:rsidRPr="00402D1C">
              <w:rPr>
                <w:lang w:val="en-US"/>
              </w:rPr>
              <w:t xml:space="preserve">Net charge </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4684EB81" w14:textId="77777777" w:rsidR="003C0458" w:rsidRPr="00402D1C" w:rsidRDefault="003C0458" w:rsidP="006A66CA">
            <w:pPr>
              <w:pStyle w:val="TableContents"/>
              <w:rPr>
                <w:lang w:val="en-US"/>
              </w:rPr>
            </w:pPr>
            <w:r w:rsidRPr="00402D1C">
              <w:rPr>
                <w:lang w:val="en-US"/>
              </w:rPr>
              <w:t>9</w:t>
            </w:r>
          </w:p>
        </w:tc>
        <w:tc>
          <w:tcPr>
            <w:tcW w:w="2180" w:type="dxa"/>
            <w:tcBorders>
              <w:top w:val="nil"/>
              <w:left w:val="single" w:sz="2" w:space="0" w:color="000001"/>
              <w:bottom w:val="single" w:sz="2" w:space="0" w:color="000001"/>
              <w:right w:val="single" w:sz="2" w:space="0" w:color="000001"/>
            </w:tcBorders>
            <w:shd w:val="clear" w:color="auto" w:fill="FFFFFF"/>
          </w:tcPr>
          <w:p w14:paraId="744B7F17" w14:textId="77777777" w:rsidR="003C0458" w:rsidRPr="00402D1C" w:rsidRDefault="003C0458" w:rsidP="006A66CA">
            <w:pPr>
              <w:pStyle w:val="TableContents"/>
              <w:rPr>
                <w:lang w:val="en-US"/>
              </w:rPr>
            </w:pPr>
            <w:r w:rsidRPr="00402D1C">
              <w:rPr>
                <w:lang w:val="en-US"/>
              </w:rPr>
              <w:t>1</w:t>
            </w:r>
          </w:p>
        </w:tc>
      </w:tr>
      <w:tr w:rsidR="003C0458" w:rsidRPr="00402D1C" w14:paraId="651DAE17" w14:textId="77777777" w:rsidTr="006A66CA">
        <w:tc>
          <w:tcPr>
            <w:tcW w:w="5101" w:type="dxa"/>
            <w:tcBorders>
              <w:top w:val="nil"/>
              <w:left w:val="single" w:sz="2" w:space="0" w:color="000001"/>
              <w:bottom w:val="single" w:sz="2" w:space="0" w:color="000001"/>
              <w:right w:val="nil"/>
            </w:tcBorders>
            <w:shd w:val="clear" w:color="auto" w:fill="FFFFFF"/>
            <w:tcMar>
              <w:left w:w="45" w:type="dxa"/>
            </w:tcMar>
          </w:tcPr>
          <w:p w14:paraId="2A6E0A99" w14:textId="77777777" w:rsidR="003C0458" w:rsidRPr="00402D1C" w:rsidRDefault="003C0458" w:rsidP="006A66CA">
            <w:pPr>
              <w:pStyle w:val="TableContents"/>
              <w:rPr>
                <w:lang w:val="en-US"/>
              </w:rPr>
            </w:pPr>
            <w:r w:rsidRPr="00402D1C">
              <w:rPr>
                <w:lang w:val="en-US"/>
              </w:rPr>
              <w:t>Flexibility</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5A996872" w14:textId="77777777" w:rsidR="003C0458" w:rsidRPr="00402D1C" w:rsidRDefault="003C0458" w:rsidP="006A66CA">
            <w:pPr>
              <w:pStyle w:val="TableContents"/>
              <w:rPr>
                <w:lang w:val="en-US"/>
              </w:rPr>
            </w:pPr>
            <w:r w:rsidRPr="00402D1C">
              <w:rPr>
                <w:lang w:val="en-US"/>
              </w:rPr>
              <w:t>7</w:t>
            </w:r>
          </w:p>
        </w:tc>
        <w:tc>
          <w:tcPr>
            <w:tcW w:w="2180" w:type="dxa"/>
            <w:tcBorders>
              <w:top w:val="nil"/>
              <w:left w:val="single" w:sz="2" w:space="0" w:color="000001"/>
              <w:bottom w:val="single" w:sz="2" w:space="0" w:color="000001"/>
              <w:right w:val="single" w:sz="2" w:space="0" w:color="000001"/>
            </w:tcBorders>
            <w:shd w:val="clear" w:color="auto" w:fill="FFFFFF"/>
          </w:tcPr>
          <w:p w14:paraId="4A48C796" w14:textId="77777777" w:rsidR="003C0458" w:rsidRPr="00402D1C" w:rsidRDefault="003C0458" w:rsidP="006A66CA">
            <w:pPr>
              <w:pStyle w:val="TableContents"/>
              <w:rPr>
                <w:lang w:val="en-US"/>
              </w:rPr>
            </w:pPr>
            <w:r w:rsidRPr="00402D1C">
              <w:rPr>
                <w:lang w:val="en-US"/>
              </w:rPr>
              <w:t>1</w:t>
            </w:r>
          </w:p>
        </w:tc>
      </w:tr>
      <w:tr w:rsidR="003C0458" w:rsidRPr="00402D1C" w14:paraId="3F8451DC" w14:textId="77777777" w:rsidTr="006A66CA">
        <w:tc>
          <w:tcPr>
            <w:tcW w:w="5101" w:type="dxa"/>
            <w:tcBorders>
              <w:top w:val="nil"/>
              <w:left w:val="single" w:sz="2" w:space="0" w:color="000001"/>
              <w:bottom w:val="single" w:sz="2" w:space="0" w:color="000001"/>
              <w:right w:val="nil"/>
            </w:tcBorders>
            <w:shd w:val="clear" w:color="auto" w:fill="FFFFFF"/>
            <w:tcMar>
              <w:left w:w="45" w:type="dxa"/>
            </w:tcMar>
          </w:tcPr>
          <w:p w14:paraId="3EAC9813" w14:textId="77777777" w:rsidR="003C0458" w:rsidRPr="00402D1C" w:rsidRDefault="003C0458" w:rsidP="006A66CA">
            <w:pPr>
              <w:pStyle w:val="TableContents"/>
              <w:rPr>
                <w:lang w:val="en-US"/>
              </w:rPr>
            </w:pPr>
            <w:r w:rsidRPr="00402D1C">
              <w:rPr>
                <w:lang w:val="en-US"/>
              </w:rPr>
              <w:t>Ionic potential simple</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7E52E412" w14:textId="77777777" w:rsidR="003C0458" w:rsidRPr="00402D1C" w:rsidRDefault="003C0458" w:rsidP="006A66CA">
            <w:pPr>
              <w:pStyle w:val="TableContents"/>
              <w:rPr>
                <w:lang w:val="en-US"/>
              </w:rPr>
            </w:pPr>
            <w:r w:rsidRPr="00402D1C">
              <w:rPr>
                <w:lang w:val="en-US"/>
              </w:rPr>
              <w:t>7</w:t>
            </w:r>
          </w:p>
        </w:tc>
        <w:tc>
          <w:tcPr>
            <w:tcW w:w="2180" w:type="dxa"/>
            <w:tcBorders>
              <w:top w:val="nil"/>
              <w:left w:val="single" w:sz="2" w:space="0" w:color="000001"/>
              <w:bottom w:val="single" w:sz="2" w:space="0" w:color="000001"/>
              <w:right w:val="single" w:sz="2" w:space="0" w:color="000001"/>
            </w:tcBorders>
            <w:shd w:val="clear" w:color="auto" w:fill="FFFFFF"/>
          </w:tcPr>
          <w:p w14:paraId="4D047834" w14:textId="77777777" w:rsidR="003C0458" w:rsidRPr="00402D1C" w:rsidRDefault="003C0458" w:rsidP="006A66CA">
            <w:pPr>
              <w:pStyle w:val="TableContents"/>
              <w:rPr>
                <w:lang w:val="en-US"/>
              </w:rPr>
            </w:pPr>
            <w:r w:rsidRPr="00402D1C">
              <w:rPr>
                <w:lang w:val="en-US"/>
              </w:rPr>
              <w:t>1</w:t>
            </w:r>
          </w:p>
        </w:tc>
      </w:tr>
      <w:tr w:rsidR="003C0458" w:rsidRPr="00402D1C" w14:paraId="79C65E6B" w14:textId="77777777" w:rsidTr="006A66CA">
        <w:tc>
          <w:tcPr>
            <w:tcW w:w="5101" w:type="dxa"/>
            <w:tcBorders>
              <w:top w:val="nil"/>
              <w:left w:val="single" w:sz="2" w:space="0" w:color="000001"/>
              <w:bottom w:val="single" w:sz="2" w:space="0" w:color="000001"/>
              <w:right w:val="nil"/>
            </w:tcBorders>
            <w:shd w:val="clear" w:color="auto" w:fill="FFFFFF"/>
            <w:tcMar>
              <w:left w:w="45" w:type="dxa"/>
            </w:tcMar>
          </w:tcPr>
          <w:p w14:paraId="52453F22" w14:textId="77777777" w:rsidR="003C0458" w:rsidRPr="00402D1C" w:rsidRDefault="003C0458" w:rsidP="006A66CA">
            <w:pPr>
              <w:pStyle w:val="TableContents"/>
              <w:rPr>
                <w:lang w:val="en-US"/>
              </w:rPr>
            </w:pPr>
            <w:r w:rsidRPr="00402D1C">
              <w:rPr>
                <w:lang w:val="en-US"/>
              </w:rPr>
              <w:t>Ionic potential by statistical mechanics</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4593EFDD" w14:textId="77777777" w:rsidR="003C0458" w:rsidRPr="00402D1C" w:rsidRDefault="003C0458" w:rsidP="006A66CA">
            <w:pPr>
              <w:pStyle w:val="TableContents"/>
              <w:rPr>
                <w:lang w:val="en-US"/>
              </w:rPr>
            </w:pPr>
            <w:r>
              <w:rPr>
                <w:lang w:val="en-US"/>
              </w:rPr>
              <w:t>none</w:t>
            </w:r>
          </w:p>
        </w:tc>
        <w:tc>
          <w:tcPr>
            <w:tcW w:w="2180" w:type="dxa"/>
            <w:tcBorders>
              <w:top w:val="nil"/>
              <w:left w:val="single" w:sz="2" w:space="0" w:color="000001"/>
              <w:bottom w:val="single" w:sz="2" w:space="0" w:color="000001"/>
              <w:right w:val="single" w:sz="2" w:space="0" w:color="000001"/>
            </w:tcBorders>
            <w:shd w:val="clear" w:color="auto" w:fill="FFFFFF"/>
          </w:tcPr>
          <w:p w14:paraId="5765DC6E" w14:textId="77777777" w:rsidR="003C0458" w:rsidRPr="00402D1C" w:rsidRDefault="003C0458" w:rsidP="006A66CA">
            <w:pPr>
              <w:pStyle w:val="TableContents"/>
              <w:rPr>
                <w:lang w:val="en-US"/>
              </w:rPr>
            </w:pPr>
            <w:r w:rsidRPr="00402D1C">
              <w:rPr>
                <w:lang w:val="en-US"/>
              </w:rPr>
              <w:t>1</w:t>
            </w:r>
          </w:p>
        </w:tc>
      </w:tr>
      <w:tr w:rsidR="003C0458" w:rsidRPr="00402D1C" w14:paraId="0BCAE12C" w14:textId="77777777" w:rsidTr="006A66CA">
        <w:tc>
          <w:tcPr>
            <w:tcW w:w="5101" w:type="dxa"/>
            <w:tcBorders>
              <w:top w:val="nil"/>
              <w:left w:val="single" w:sz="2" w:space="0" w:color="000001"/>
              <w:bottom w:val="single" w:sz="2" w:space="0" w:color="000001"/>
              <w:right w:val="nil"/>
            </w:tcBorders>
            <w:shd w:val="clear" w:color="auto" w:fill="FFFFFF"/>
            <w:tcMar>
              <w:left w:w="45" w:type="dxa"/>
            </w:tcMar>
          </w:tcPr>
          <w:p w14:paraId="4A2135BE" w14:textId="77777777" w:rsidR="003C0458" w:rsidRPr="00402D1C" w:rsidRDefault="003C0458" w:rsidP="006A66CA">
            <w:pPr>
              <w:pStyle w:val="TableContents"/>
              <w:rPr>
                <w:lang w:val="en-US"/>
              </w:rPr>
            </w:pPr>
            <w:r w:rsidRPr="00402D1C">
              <w:rPr>
                <w:lang w:val="en-US"/>
              </w:rPr>
              <w:t>Residue interaction entropy</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77179210" w14:textId="77777777" w:rsidR="003C0458" w:rsidRPr="00402D1C" w:rsidRDefault="003C0458" w:rsidP="006A66CA">
            <w:pPr>
              <w:pStyle w:val="TableContents"/>
              <w:rPr>
                <w:lang w:val="en-US"/>
              </w:rPr>
            </w:pPr>
            <w:r w:rsidRPr="00402D1C">
              <w:rPr>
                <w:lang w:val="en-US"/>
              </w:rPr>
              <w:t>25</w:t>
            </w:r>
          </w:p>
        </w:tc>
        <w:tc>
          <w:tcPr>
            <w:tcW w:w="2180" w:type="dxa"/>
            <w:tcBorders>
              <w:top w:val="nil"/>
              <w:left w:val="single" w:sz="2" w:space="0" w:color="000001"/>
              <w:bottom w:val="single" w:sz="2" w:space="0" w:color="000001"/>
              <w:right w:val="single" w:sz="2" w:space="0" w:color="000001"/>
            </w:tcBorders>
            <w:shd w:val="clear" w:color="auto" w:fill="FFFFFF"/>
          </w:tcPr>
          <w:p w14:paraId="5E4B5A0F" w14:textId="77777777" w:rsidR="003C0458" w:rsidRPr="00402D1C" w:rsidRDefault="003C0458" w:rsidP="006A66CA">
            <w:pPr>
              <w:pStyle w:val="TableContents"/>
              <w:rPr>
                <w:lang w:val="en-US"/>
              </w:rPr>
            </w:pPr>
            <w:r w:rsidRPr="00402D1C">
              <w:rPr>
                <w:lang w:val="en-US"/>
              </w:rPr>
              <w:t>1</w:t>
            </w:r>
          </w:p>
        </w:tc>
      </w:tr>
      <w:tr w:rsidR="003C0458" w:rsidRPr="00402D1C" w14:paraId="6664BF52" w14:textId="77777777" w:rsidTr="006A66CA">
        <w:tc>
          <w:tcPr>
            <w:tcW w:w="5101" w:type="dxa"/>
            <w:tcBorders>
              <w:top w:val="nil"/>
              <w:left w:val="single" w:sz="2" w:space="0" w:color="000001"/>
              <w:bottom w:val="single" w:sz="2" w:space="0" w:color="000001"/>
              <w:right w:val="nil"/>
            </w:tcBorders>
            <w:shd w:val="clear" w:color="auto" w:fill="FFFFFF"/>
            <w:tcMar>
              <w:left w:w="45" w:type="dxa"/>
            </w:tcMar>
          </w:tcPr>
          <w:p w14:paraId="012D01CC" w14:textId="77777777" w:rsidR="003C0458" w:rsidRPr="00402D1C" w:rsidRDefault="003C0458" w:rsidP="006A66CA">
            <w:pPr>
              <w:pStyle w:val="TableContents"/>
              <w:rPr>
                <w:lang w:val="en-US"/>
              </w:rPr>
            </w:pPr>
            <w:r>
              <w:rPr>
                <w:lang w:val="en-US"/>
              </w:rPr>
              <w:t>Sequence length</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36AA940D" w14:textId="77777777" w:rsidR="003C0458" w:rsidRPr="00402D1C" w:rsidRDefault="003C0458" w:rsidP="006A66CA">
            <w:pPr>
              <w:pStyle w:val="TableContents"/>
              <w:rPr>
                <w:lang w:val="en-US"/>
              </w:rPr>
            </w:pPr>
            <w:r>
              <w:rPr>
                <w:lang w:val="en-US"/>
              </w:rPr>
              <w:t>none</w:t>
            </w:r>
          </w:p>
        </w:tc>
        <w:tc>
          <w:tcPr>
            <w:tcW w:w="2180" w:type="dxa"/>
            <w:tcBorders>
              <w:top w:val="nil"/>
              <w:left w:val="single" w:sz="2" w:space="0" w:color="000001"/>
              <w:bottom w:val="single" w:sz="2" w:space="0" w:color="000001"/>
              <w:right w:val="single" w:sz="2" w:space="0" w:color="000001"/>
            </w:tcBorders>
            <w:shd w:val="clear" w:color="auto" w:fill="FFFFFF"/>
          </w:tcPr>
          <w:p w14:paraId="48FE7F41" w14:textId="77777777" w:rsidR="003C0458" w:rsidRPr="00402D1C" w:rsidRDefault="003C0458" w:rsidP="006A66CA">
            <w:pPr>
              <w:pStyle w:val="TableContents"/>
              <w:rPr>
                <w:lang w:val="en-US"/>
              </w:rPr>
            </w:pPr>
            <w:r>
              <w:rPr>
                <w:lang w:val="en-US"/>
              </w:rPr>
              <w:t>1</w:t>
            </w:r>
          </w:p>
        </w:tc>
      </w:tr>
      <w:tr w:rsidR="003C0458" w:rsidRPr="00402D1C" w14:paraId="56EBE276" w14:textId="77777777" w:rsidTr="006A66CA">
        <w:tc>
          <w:tcPr>
            <w:tcW w:w="5101" w:type="dxa"/>
            <w:tcBorders>
              <w:top w:val="nil"/>
              <w:left w:val="single" w:sz="2" w:space="0" w:color="000001"/>
              <w:bottom w:val="single" w:sz="2" w:space="0" w:color="000001"/>
              <w:right w:val="nil"/>
            </w:tcBorders>
            <w:shd w:val="clear" w:color="auto" w:fill="FFFFFF"/>
            <w:tcMar>
              <w:left w:w="45" w:type="dxa"/>
            </w:tcMar>
          </w:tcPr>
          <w:p w14:paraId="420C9D68" w14:textId="77777777" w:rsidR="003C0458" w:rsidRPr="00402D1C" w:rsidRDefault="003C0458" w:rsidP="006A66CA">
            <w:pPr>
              <w:pStyle w:val="TableContents"/>
              <w:rPr>
                <w:lang w:val="en-US"/>
              </w:rPr>
            </w:pPr>
            <w:r w:rsidRPr="00402D1C">
              <w:rPr>
                <w:lang w:val="en-US"/>
              </w:rPr>
              <w:t>Evolutionary relationships</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78FF78D8" w14:textId="77777777" w:rsidR="003C0458" w:rsidRPr="00402D1C" w:rsidRDefault="003C0458" w:rsidP="006A66CA">
            <w:pPr>
              <w:pStyle w:val="TableContents"/>
              <w:rPr>
                <w:lang w:val="en-US"/>
              </w:rPr>
            </w:pPr>
            <w:r w:rsidRPr="00402D1C">
              <w:rPr>
                <w:lang w:val="en-US"/>
              </w:rPr>
              <w:t>7</w:t>
            </w:r>
          </w:p>
        </w:tc>
        <w:tc>
          <w:tcPr>
            <w:tcW w:w="2180" w:type="dxa"/>
            <w:tcBorders>
              <w:top w:val="nil"/>
              <w:left w:val="single" w:sz="2" w:space="0" w:color="000001"/>
              <w:bottom w:val="single" w:sz="2" w:space="0" w:color="000001"/>
              <w:right w:val="single" w:sz="2" w:space="0" w:color="000001"/>
            </w:tcBorders>
            <w:shd w:val="clear" w:color="auto" w:fill="FFFFFF"/>
          </w:tcPr>
          <w:p w14:paraId="7BCBDD0B" w14:textId="77777777" w:rsidR="003C0458" w:rsidRPr="00402D1C" w:rsidRDefault="003C0458" w:rsidP="006A66CA">
            <w:pPr>
              <w:pStyle w:val="TableContents"/>
              <w:rPr>
                <w:lang w:val="en-US"/>
              </w:rPr>
            </w:pPr>
            <w:r w:rsidRPr="00402D1C">
              <w:rPr>
                <w:lang w:val="en-US"/>
              </w:rPr>
              <w:t>2</w:t>
            </w:r>
            <w:r>
              <w:rPr>
                <w:lang w:val="en-US"/>
              </w:rPr>
              <w:t>9</w:t>
            </w:r>
            <w:r>
              <w:rPr>
                <w:vertAlign w:val="superscript"/>
                <w:lang w:val="en-US"/>
              </w:rPr>
              <w:t>b</w:t>
            </w:r>
          </w:p>
        </w:tc>
      </w:tr>
      <w:tr w:rsidR="003C0458" w:rsidRPr="00402D1C" w14:paraId="688D67E1" w14:textId="77777777" w:rsidTr="006A66CA">
        <w:tc>
          <w:tcPr>
            <w:tcW w:w="5101" w:type="dxa"/>
            <w:tcBorders>
              <w:top w:val="nil"/>
              <w:left w:val="single" w:sz="2" w:space="0" w:color="000001"/>
              <w:bottom w:val="single" w:sz="2" w:space="0" w:color="000001"/>
              <w:right w:val="nil"/>
            </w:tcBorders>
            <w:shd w:val="clear" w:color="auto" w:fill="FFFFFF"/>
            <w:tcMar>
              <w:left w:w="45" w:type="dxa"/>
            </w:tcMar>
          </w:tcPr>
          <w:p w14:paraId="325B9F43" w14:textId="77777777" w:rsidR="003C0458" w:rsidRPr="000957F9" w:rsidRDefault="003C0458" w:rsidP="006A66CA">
            <w:pPr>
              <w:pStyle w:val="TableContents"/>
              <w:rPr>
                <w:b/>
                <w:lang w:val="en-US"/>
              </w:rPr>
            </w:pPr>
            <w:r w:rsidRPr="000957F9">
              <w:rPr>
                <w:b/>
                <w:lang w:val="en-US"/>
              </w:rPr>
              <w:t>Total</w:t>
            </w:r>
          </w:p>
        </w:tc>
        <w:tc>
          <w:tcPr>
            <w:tcW w:w="2410" w:type="dxa"/>
            <w:tcBorders>
              <w:top w:val="nil"/>
              <w:left w:val="single" w:sz="2" w:space="0" w:color="000001"/>
              <w:bottom w:val="single" w:sz="2" w:space="0" w:color="000001"/>
              <w:right w:val="single" w:sz="2" w:space="0" w:color="000001"/>
            </w:tcBorders>
            <w:shd w:val="clear" w:color="auto" w:fill="FFFFFF"/>
            <w:tcMar>
              <w:left w:w="45" w:type="dxa"/>
            </w:tcMar>
          </w:tcPr>
          <w:p w14:paraId="7FF9915F" w14:textId="77777777" w:rsidR="003C0458" w:rsidRDefault="003C0458" w:rsidP="006A66CA">
            <w:pPr>
              <w:pStyle w:val="TableContents"/>
              <w:rPr>
                <w:lang w:val="en-US"/>
              </w:rPr>
            </w:pPr>
          </w:p>
        </w:tc>
        <w:tc>
          <w:tcPr>
            <w:tcW w:w="2180" w:type="dxa"/>
            <w:tcBorders>
              <w:top w:val="nil"/>
              <w:left w:val="single" w:sz="2" w:space="0" w:color="000001"/>
              <w:bottom w:val="single" w:sz="2" w:space="0" w:color="000001"/>
              <w:right w:val="single" w:sz="2" w:space="0" w:color="000001"/>
            </w:tcBorders>
            <w:shd w:val="clear" w:color="auto" w:fill="FFFFFF"/>
          </w:tcPr>
          <w:p w14:paraId="244AE705" w14:textId="77777777" w:rsidR="003C0458" w:rsidRPr="00402D1C" w:rsidRDefault="003C0458" w:rsidP="006A66CA">
            <w:pPr>
              <w:pStyle w:val="TableContents"/>
              <w:rPr>
                <w:lang w:val="en-US"/>
              </w:rPr>
            </w:pPr>
            <w:r>
              <w:rPr>
                <w:lang w:val="en-US"/>
              </w:rPr>
              <w:t>157(126</w:t>
            </w:r>
            <w:r w:rsidRPr="000957F9">
              <w:rPr>
                <w:vertAlign w:val="superscript"/>
                <w:lang w:val="en-US"/>
              </w:rPr>
              <w:t>a</w:t>
            </w:r>
            <w:r>
              <w:rPr>
                <w:lang w:val="en-US"/>
              </w:rPr>
              <w:t>)</w:t>
            </w:r>
          </w:p>
        </w:tc>
      </w:tr>
    </w:tbl>
    <w:p w14:paraId="13D7245E" w14:textId="77777777" w:rsidR="003C0458" w:rsidRPr="003C0458" w:rsidRDefault="003C0458" w:rsidP="003C0458">
      <w:pPr>
        <w:rPr>
          <w:sz w:val="20"/>
          <w:szCs w:val="20"/>
          <w:lang w:val="en-US"/>
        </w:rPr>
      </w:pPr>
      <w:r w:rsidRPr="003C0458">
        <w:rPr>
          <w:sz w:val="20"/>
          <w:szCs w:val="20"/>
          <w:vertAlign w:val="superscript"/>
          <w:lang w:val="en-US"/>
        </w:rPr>
        <w:t>a</w:t>
      </w:r>
      <w:r w:rsidRPr="003C0458">
        <w:rPr>
          <w:sz w:val="20"/>
          <w:szCs w:val="20"/>
          <w:lang w:val="en-US"/>
        </w:rPr>
        <w:t xml:space="preserve"> Number of features if evolutionary analysis was not included.</w:t>
      </w:r>
    </w:p>
    <w:p w14:paraId="4A5BF24D" w14:textId="23FA2629" w:rsidR="003C0458" w:rsidRPr="003C0458" w:rsidRDefault="003C0458" w:rsidP="003C0458">
      <w:pPr>
        <w:rPr>
          <w:sz w:val="20"/>
          <w:szCs w:val="20"/>
          <w:lang w:val="en-US"/>
        </w:rPr>
      </w:pPr>
      <w:r w:rsidRPr="003C0458">
        <w:rPr>
          <w:sz w:val="20"/>
          <w:szCs w:val="20"/>
          <w:vertAlign w:val="superscript"/>
          <w:lang w:val="en-US"/>
        </w:rPr>
        <w:t>b</w:t>
      </w:r>
      <w:r w:rsidRPr="003C0458">
        <w:rPr>
          <w:sz w:val="20"/>
          <w:szCs w:val="20"/>
          <w:lang w:val="en-US"/>
        </w:rPr>
        <w:t xml:space="preserve"> Two versions of the neural network were trained; one with and one without the use of features derived by evolutionary analysis.</w:t>
      </w:r>
    </w:p>
    <w:sectPr w:rsidR="003C0458" w:rsidRPr="003C0458">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Liberation Serif">
    <w:altName w:val="Times New Roman"/>
    <w:panose1 w:val="020B0604020202020204"/>
    <w:charset w:val="01"/>
    <w:family w:val="roman"/>
    <w:pitch w:val="variable"/>
  </w:font>
  <w:font w:name="Droid Sans Fallback">
    <w:panose1 w:val="020B0604020202020204"/>
    <w:charset w:val="00"/>
    <w:family w:val="roman"/>
    <w:pitch w:val="default"/>
  </w:font>
  <w:font w:name="FreeSans">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Liberation Sans">
    <w:altName w:val="Arial"/>
    <w:panose1 w:val="020B0604020202020204"/>
    <w:charset w:val="01"/>
    <w:family w:val="swiss"/>
    <w:pitch w:val="variable"/>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F65FB"/>
    <w:multiLevelType w:val="hybridMultilevel"/>
    <w:tmpl w:val="5CC0951A"/>
    <w:lvl w:ilvl="0" w:tplc="43FC80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B63465"/>
    <w:multiLevelType w:val="hybridMultilevel"/>
    <w:tmpl w:val="1E30A030"/>
    <w:lvl w:ilvl="0" w:tplc="43FC80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F34F41"/>
    <w:multiLevelType w:val="multilevel"/>
    <w:tmpl w:val="7B42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4E4C72"/>
    <w:multiLevelType w:val="hybridMultilevel"/>
    <w:tmpl w:val="20584268"/>
    <w:lvl w:ilvl="0" w:tplc="43FC80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A2513A"/>
    <w:multiLevelType w:val="hybridMultilevel"/>
    <w:tmpl w:val="EEF6E1C8"/>
    <w:lvl w:ilvl="0" w:tplc="43FC80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9516C2"/>
    <w:multiLevelType w:val="hybridMultilevel"/>
    <w:tmpl w:val="D258F4AA"/>
    <w:lvl w:ilvl="0" w:tplc="245651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44526C"/>
    <w:multiLevelType w:val="hybridMultilevel"/>
    <w:tmpl w:val="EEF6E1C8"/>
    <w:lvl w:ilvl="0" w:tplc="43FC80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6E15FC"/>
    <w:multiLevelType w:val="hybridMultilevel"/>
    <w:tmpl w:val="D7A22376"/>
    <w:lvl w:ilvl="0" w:tplc="43FC80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5C2AC7"/>
    <w:multiLevelType w:val="hybridMultilevel"/>
    <w:tmpl w:val="355C7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7"/>
  </w:num>
  <w:num w:numId="5">
    <w:abstractNumId w:val="4"/>
  </w:num>
  <w:num w:numId="6">
    <w:abstractNumId w:val="6"/>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doNotDisplayPageBoundarie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C6E"/>
    <w:rsid w:val="00005205"/>
    <w:rsid w:val="000102EF"/>
    <w:rsid w:val="000126F9"/>
    <w:rsid w:val="0002155F"/>
    <w:rsid w:val="00032654"/>
    <w:rsid w:val="00081181"/>
    <w:rsid w:val="00094C7C"/>
    <w:rsid w:val="000957E0"/>
    <w:rsid w:val="000957F9"/>
    <w:rsid w:val="00101F32"/>
    <w:rsid w:val="0010776A"/>
    <w:rsid w:val="0012237E"/>
    <w:rsid w:val="0012686F"/>
    <w:rsid w:val="001274A1"/>
    <w:rsid w:val="001573FC"/>
    <w:rsid w:val="00181181"/>
    <w:rsid w:val="0018250C"/>
    <w:rsid w:val="001C30B4"/>
    <w:rsid w:val="001D4B7B"/>
    <w:rsid w:val="002000FE"/>
    <w:rsid w:val="00217A21"/>
    <w:rsid w:val="002353EC"/>
    <w:rsid w:val="002639C5"/>
    <w:rsid w:val="002739FE"/>
    <w:rsid w:val="0027555A"/>
    <w:rsid w:val="00287459"/>
    <w:rsid w:val="00293E1E"/>
    <w:rsid w:val="002B1C6E"/>
    <w:rsid w:val="002E6BF6"/>
    <w:rsid w:val="00306792"/>
    <w:rsid w:val="003269FD"/>
    <w:rsid w:val="0033737C"/>
    <w:rsid w:val="00377C4F"/>
    <w:rsid w:val="0038094E"/>
    <w:rsid w:val="00392E7A"/>
    <w:rsid w:val="003A639B"/>
    <w:rsid w:val="003B6491"/>
    <w:rsid w:val="003C0458"/>
    <w:rsid w:val="003C5D51"/>
    <w:rsid w:val="00402D1C"/>
    <w:rsid w:val="004047DF"/>
    <w:rsid w:val="004139C3"/>
    <w:rsid w:val="00434757"/>
    <w:rsid w:val="004779B2"/>
    <w:rsid w:val="004B1B16"/>
    <w:rsid w:val="004C5054"/>
    <w:rsid w:val="004F26A6"/>
    <w:rsid w:val="00525426"/>
    <w:rsid w:val="00551C40"/>
    <w:rsid w:val="00563A49"/>
    <w:rsid w:val="00565F4B"/>
    <w:rsid w:val="00573955"/>
    <w:rsid w:val="00581369"/>
    <w:rsid w:val="005A243D"/>
    <w:rsid w:val="005B48D8"/>
    <w:rsid w:val="00603AAE"/>
    <w:rsid w:val="006040BB"/>
    <w:rsid w:val="00614588"/>
    <w:rsid w:val="00630963"/>
    <w:rsid w:val="00641A83"/>
    <w:rsid w:val="00672E10"/>
    <w:rsid w:val="006818BD"/>
    <w:rsid w:val="00684264"/>
    <w:rsid w:val="00695D21"/>
    <w:rsid w:val="006B7E34"/>
    <w:rsid w:val="006C13D0"/>
    <w:rsid w:val="006C2110"/>
    <w:rsid w:val="006C4C3D"/>
    <w:rsid w:val="00752F88"/>
    <w:rsid w:val="007701D3"/>
    <w:rsid w:val="0079306C"/>
    <w:rsid w:val="0079316D"/>
    <w:rsid w:val="007B7889"/>
    <w:rsid w:val="007D6F3D"/>
    <w:rsid w:val="00804210"/>
    <w:rsid w:val="0080749E"/>
    <w:rsid w:val="00865163"/>
    <w:rsid w:val="0089279B"/>
    <w:rsid w:val="008947E2"/>
    <w:rsid w:val="008C2AC0"/>
    <w:rsid w:val="008C64F8"/>
    <w:rsid w:val="0090120F"/>
    <w:rsid w:val="00904777"/>
    <w:rsid w:val="00955546"/>
    <w:rsid w:val="00980288"/>
    <w:rsid w:val="009B13D0"/>
    <w:rsid w:val="009B4DB2"/>
    <w:rsid w:val="009C19F8"/>
    <w:rsid w:val="009C7027"/>
    <w:rsid w:val="009D4CA8"/>
    <w:rsid w:val="009E26EF"/>
    <w:rsid w:val="00A025D8"/>
    <w:rsid w:val="00A02A0B"/>
    <w:rsid w:val="00A77EB1"/>
    <w:rsid w:val="00AA7C08"/>
    <w:rsid w:val="00AC3F4E"/>
    <w:rsid w:val="00AD7CD3"/>
    <w:rsid w:val="00B023A1"/>
    <w:rsid w:val="00B179FE"/>
    <w:rsid w:val="00B70B7C"/>
    <w:rsid w:val="00B731BD"/>
    <w:rsid w:val="00BB528D"/>
    <w:rsid w:val="00BC4105"/>
    <w:rsid w:val="00BF5302"/>
    <w:rsid w:val="00C02BDB"/>
    <w:rsid w:val="00C045D6"/>
    <w:rsid w:val="00C11A5C"/>
    <w:rsid w:val="00C229B9"/>
    <w:rsid w:val="00C27738"/>
    <w:rsid w:val="00C35A74"/>
    <w:rsid w:val="00C5530D"/>
    <w:rsid w:val="00C771B8"/>
    <w:rsid w:val="00C878FB"/>
    <w:rsid w:val="00CC4D8C"/>
    <w:rsid w:val="00CC5048"/>
    <w:rsid w:val="00CE1A52"/>
    <w:rsid w:val="00D16AD3"/>
    <w:rsid w:val="00D556B4"/>
    <w:rsid w:val="00D7595F"/>
    <w:rsid w:val="00D7604E"/>
    <w:rsid w:val="00D9627C"/>
    <w:rsid w:val="00DB07B4"/>
    <w:rsid w:val="00DD00B0"/>
    <w:rsid w:val="00E03B39"/>
    <w:rsid w:val="00E251C5"/>
    <w:rsid w:val="00E479FE"/>
    <w:rsid w:val="00E47EAE"/>
    <w:rsid w:val="00E954BA"/>
    <w:rsid w:val="00EA7F12"/>
    <w:rsid w:val="00ED41D7"/>
    <w:rsid w:val="00EE3887"/>
    <w:rsid w:val="00F0423D"/>
    <w:rsid w:val="00F172E3"/>
    <w:rsid w:val="00F21ED1"/>
    <w:rsid w:val="00F23F8C"/>
    <w:rsid w:val="00F27D28"/>
    <w:rsid w:val="00F33B73"/>
    <w:rsid w:val="00F768E6"/>
    <w:rsid w:val="00F832AC"/>
    <w:rsid w:val="00FA354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4415E"/>
  <w15:docId w15:val="{D7A41A61-80A9-DA45-B64D-1E1A3E8FD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Droid Sans Fallback" w:hAnsi="Liberation Serif" w:cs="FreeSans"/>
        <w:sz w:val="24"/>
        <w:szCs w:val="24"/>
        <w:lang w:val="da-DK"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4B7B"/>
    <w:rPr>
      <w:rFonts w:ascii="Times New Roman" w:eastAsia="Times New Roman" w:hAnsi="Times New Roman" w:cs="Times New Roman"/>
      <w:lang w:eastAsia="en-US" w:bidi="ar-SA"/>
    </w:rPr>
  </w:style>
  <w:style w:type="paragraph" w:styleId="Heading1">
    <w:name w:val="heading 1"/>
    <w:basedOn w:val="Normal"/>
    <w:next w:val="Normal"/>
    <w:link w:val="Heading1Char"/>
    <w:uiPriority w:val="9"/>
    <w:qFormat/>
    <w:rsid w:val="0018250C"/>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unhideWhenUsed/>
    <w:qFormat/>
    <w:rsid w:val="0018250C"/>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Heading3">
    <w:name w:val="heading 3"/>
    <w:basedOn w:val="Normal"/>
    <w:next w:val="Normal"/>
    <w:link w:val="Heading3Char"/>
    <w:uiPriority w:val="9"/>
    <w:unhideWhenUsed/>
    <w:qFormat/>
    <w:rsid w:val="006C4C3D"/>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80"/>
      <w:u w:val="single"/>
    </w:rPr>
  </w:style>
  <w:style w:type="paragraph" w:customStyle="1" w:styleId="Heading">
    <w:name w:val="Heading"/>
    <w:basedOn w:val="Normal"/>
    <w:next w:val="TextBody"/>
    <w:pPr>
      <w:keepNext/>
      <w:spacing w:before="240" w:after="12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customStyle="1" w:styleId="TableContents">
    <w:name w:val="Table Contents"/>
    <w:basedOn w:val="Normal"/>
    <w:pPr>
      <w:suppressLineNumbers/>
    </w:pPr>
  </w:style>
  <w:style w:type="paragraph" w:styleId="CommentText">
    <w:name w:val="annotation text"/>
    <w:basedOn w:val="Normal"/>
    <w:link w:val="CommentTextChar"/>
    <w:uiPriority w:val="99"/>
    <w:semiHidden/>
    <w:unhideWhenUsed/>
    <w:rsid w:val="0018250C"/>
    <w:pPr>
      <w:spacing w:before="100" w:after="200"/>
    </w:pPr>
    <w:rPr>
      <w:rFonts w:ascii="Calibri" w:eastAsia="Calibri" w:hAnsi="Calibri" w:cs="Calibri"/>
      <w:sz w:val="20"/>
      <w:szCs w:val="20"/>
      <w:lang w:val="en-US" w:eastAsia="de-DE"/>
    </w:rPr>
  </w:style>
  <w:style w:type="character" w:customStyle="1" w:styleId="CommentTextChar">
    <w:name w:val="Comment Text Char"/>
    <w:basedOn w:val="DefaultParagraphFont"/>
    <w:link w:val="CommentText"/>
    <w:uiPriority w:val="99"/>
    <w:semiHidden/>
    <w:rsid w:val="0018250C"/>
    <w:rPr>
      <w:rFonts w:ascii="Calibri" w:eastAsia="Calibri" w:hAnsi="Calibri" w:cs="Calibri"/>
      <w:color w:val="00000A"/>
      <w:sz w:val="20"/>
      <w:szCs w:val="20"/>
      <w:lang w:val="en-US" w:eastAsia="de-DE" w:bidi="ar-SA"/>
    </w:rPr>
  </w:style>
  <w:style w:type="character" w:styleId="CommentReference">
    <w:name w:val="annotation reference"/>
    <w:basedOn w:val="DefaultParagraphFont"/>
    <w:uiPriority w:val="99"/>
    <w:semiHidden/>
    <w:unhideWhenUsed/>
    <w:rsid w:val="0018250C"/>
    <w:rPr>
      <w:sz w:val="16"/>
      <w:szCs w:val="16"/>
    </w:rPr>
  </w:style>
  <w:style w:type="paragraph" w:styleId="BalloonText">
    <w:name w:val="Balloon Text"/>
    <w:basedOn w:val="Normal"/>
    <w:link w:val="BalloonTextChar"/>
    <w:uiPriority w:val="99"/>
    <w:semiHidden/>
    <w:unhideWhenUsed/>
    <w:rsid w:val="0018250C"/>
    <w:rPr>
      <w:rFonts w:cs="Mangal"/>
      <w:sz w:val="18"/>
      <w:szCs w:val="16"/>
    </w:rPr>
  </w:style>
  <w:style w:type="character" w:customStyle="1" w:styleId="BalloonTextChar">
    <w:name w:val="Balloon Text Char"/>
    <w:basedOn w:val="DefaultParagraphFont"/>
    <w:link w:val="BalloonText"/>
    <w:uiPriority w:val="99"/>
    <w:semiHidden/>
    <w:rsid w:val="0018250C"/>
    <w:rPr>
      <w:rFonts w:ascii="Times New Roman" w:hAnsi="Times New Roman" w:cs="Mangal"/>
      <w:color w:val="00000A"/>
      <w:sz w:val="18"/>
      <w:szCs w:val="16"/>
    </w:rPr>
  </w:style>
  <w:style w:type="character" w:customStyle="1" w:styleId="Heading1Char">
    <w:name w:val="Heading 1 Char"/>
    <w:basedOn w:val="DefaultParagraphFont"/>
    <w:link w:val="Heading1"/>
    <w:uiPriority w:val="9"/>
    <w:rsid w:val="0018250C"/>
    <w:rPr>
      <w:rFonts w:asciiTheme="majorHAnsi" w:eastAsiaTheme="majorEastAsia" w:hAnsiTheme="majorHAnsi" w:cs="Mangal"/>
      <w:color w:val="2F5496" w:themeColor="accent1" w:themeShade="BF"/>
      <w:sz w:val="32"/>
      <w:szCs w:val="29"/>
    </w:rPr>
  </w:style>
  <w:style w:type="character" w:customStyle="1" w:styleId="Heading2Char">
    <w:name w:val="Heading 2 Char"/>
    <w:basedOn w:val="DefaultParagraphFont"/>
    <w:link w:val="Heading2"/>
    <w:uiPriority w:val="9"/>
    <w:rsid w:val="0018250C"/>
    <w:rPr>
      <w:rFonts w:asciiTheme="majorHAnsi" w:eastAsiaTheme="majorEastAsia" w:hAnsiTheme="majorHAnsi" w:cs="Mangal"/>
      <w:color w:val="2F5496" w:themeColor="accent1" w:themeShade="BF"/>
      <w:sz w:val="26"/>
      <w:szCs w:val="23"/>
    </w:rPr>
  </w:style>
  <w:style w:type="character" w:customStyle="1" w:styleId="Heading3Char">
    <w:name w:val="Heading 3 Char"/>
    <w:basedOn w:val="DefaultParagraphFont"/>
    <w:link w:val="Heading3"/>
    <w:uiPriority w:val="9"/>
    <w:rsid w:val="006C4C3D"/>
    <w:rPr>
      <w:rFonts w:asciiTheme="majorHAnsi" w:eastAsiaTheme="majorEastAsia" w:hAnsiTheme="majorHAnsi" w:cs="Mangal"/>
      <w:color w:val="1F3763" w:themeColor="accent1" w:themeShade="7F"/>
      <w:szCs w:val="21"/>
    </w:rPr>
  </w:style>
  <w:style w:type="character" w:styleId="PlaceholderText">
    <w:name w:val="Placeholder Text"/>
    <w:basedOn w:val="DefaultParagraphFont"/>
    <w:uiPriority w:val="99"/>
    <w:semiHidden/>
    <w:rsid w:val="003269FD"/>
    <w:rPr>
      <w:color w:val="808080"/>
    </w:rPr>
  </w:style>
  <w:style w:type="character" w:styleId="Hyperlink">
    <w:name w:val="Hyperlink"/>
    <w:basedOn w:val="DefaultParagraphFont"/>
    <w:uiPriority w:val="99"/>
    <w:unhideWhenUsed/>
    <w:rsid w:val="001D4B7B"/>
    <w:rPr>
      <w:color w:val="0000FF"/>
      <w:u w:val="single"/>
    </w:rPr>
  </w:style>
  <w:style w:type="paragraph" w:styleId="CommentSubject">
    <w:name w:val="annotation subject"/>
    <w:basedOn w:val="CommentText"/>
    <w:next w:val="CommentText"/>
    <w:link w:val="CommentSubjectChar"/>
    <w:uiPriority w:val="99"/>
    <w:semiHidden/>
    <w:unhideWhenUsed/>
    <w:rsid w:val="001D4B7B"/>
    <w:pPr>
      <w:spacing w:before="0" w:after="0"/>
    </w:pPr>
    <w:rPr>
      <w:rFonts w:ascii="Times New Roman" w:eastAsia="Times New Roman" w:hAnsi="Times New Roman" w:cs="Times New Roman"/>
      <w:b/>
      <w:bCs/>
      <w:lang w:val="da-DK" w:eastAsia="en-US"/>
    </w:rPr>
  </w:style>
  <w:style w:type="character" w:customStyle="1" w:styleId="CommentSubjectChar">
    <w:name w:val="Comment Subject Char"/>
    <w:basedOn w:val="CommentTextChar"/>
    <w:link w:val="CommentSubject"/>
    <w:uiPriority w:val="99"/>
    <w:semiHidden/>
    <w:rsid w:val="001D4B7B"/>
    <w:rPr>
      <w:rFonts w:ascii="Times New Roman" w:eastAsia="Times New Roman" w:hAnsi="Times New Roman" w:cs="Times New Roman"/>
      <w:b/>
      <w:bCs/>
      <w:color w:val="00000A"/>
      <w:sz w:val="20"/>
      <w:szCs w:val="20"/>
      <w:lang w:val="en-US" w:eastAsia="en-US" w:bidi="ar-SA"/>
    </w:rPr>
  </w:style>
  <w:style w:type="paragraph" w:styleId="NormalWeb">
    <w:name w:val="Normal (Web)"/>
    <w:basedOn w:val="Normal"/>
    <w:uiPriority w:val="99"/>
    <w:unhideWhenUsed/>
    <w:rsid w:val="001D4B7B"/>
    <w:pPr>
      <w:spacing w:before="100" w:beforeAutospacing="1" w:after="100" w:afterAutospacing="1"/>
    </w:pPr>
  </w:style>
  <w:style w:type="character" w:styleId="Emphasis">
    <w:name w:val="Emphasis"/>
    <w:basedOn w:val="DefaultParagraphFont"/>
    <w:uiPriority w:val="20"/>
    <w:qFormat/>
    <w:rsid w:val="001D4B7B"/>
    <w:rPr>
      <w:i/>
      <w:iCs/>
    </w:rPr>
  </w:style>
  <w:style w:type="character" w:styleId="Strong">
    <w:name w:val="Strong"/>
    <w:basedOn w:val="DefaultParagraphFont"/>
    <w:uiPriority w:val="22"/>
    <w:qFormat/>
    <w:rsid w:val="001D4B7B"/>
    <w:rPr>
      <w:b/>
      <w:bCs/>
    </w:rPr>
  </w:style>
  <w:style w:type="character" w:styleId="FollowedHyperlink">
    <w:name w:val="FollowedHyperlink"/>
    <w:basedOn w:val="DefaultParagraphFont"/>
    <w:uiPriority w:val="99"/>
    <w:semiHidden/>
    <w:unhideWhenUsed/>
    <w:rsid w:val="00402D1C"/>
    <w:rPr>
      <w:color w:val="954F72" w:themeColor="followedHyperlink"/>
      <w:u w:val="single"/>
    </w:rPr>
  </w:style>
  <w:style w:type="character" w:styleId="UnresolvedMention">
    <w:name w:val="Unresolved Mention"/>
    <w:basedOn w:val="DefaultParagraphFont"/>
    <w:uiPriority w:val="99"/>
    <w:semiHidden/>
    <w:unhideWhenUsed/>
    <w:rsid w:val="00402D1C"/>
    <w:rPr>
      <w:color w:val="605E5C"/>
      <w:shd w:val="clear" w:color="auto" w:fill="E1DFDD"/>
    </w:rPr>
  </w:style>
  <w:style w:type="paragraph" w:styleId="ListParagraph">
    <w:name w:val="List Paragraph"/>
    <w:basedOn w:val="Normal"/>
    <w:uiPriority w:val="34"/>
    <w:qFormat/>
    <w:rsid w:val="00C229B9"/>
    <w:pPr>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0251">
      <w:bodyDiv w:val="1"/>
      <w:marLeft w:val="0"/>
      <w:marRight w:val="0"/>
      <w:marTop w:val="0"/>
      <w:marBottom w:val="0"/>
      <w:divBdr>
        <w:top w:val="none" w:sz="0" w:space="0" w:color="auto"/>
        <w:left w:val="none" w:sz="0" w:space="0" w:color="auto"/>
        <w:bottom w:val="none" w:sz="0" w:space="0" w:color="auto"/>
        <w:right w:val="none" w:sz="0" w:space="0" w:color="auto"/>
      </w:divBdr>
    </w:div>
    <w:div w:id="229001769">
      <w:bodyDiv w:val="1"/>
      <w:marLeft w:val="0"/>
      <w:marRight w:val="0"/>
      <w:marTop w:val="0"/>
      <w:marBottom w:val="0"/>
      <w:divBdr>
        <w:top w:val="none" w:sz="0" w:space="0" w:color="auto"/>
        <w:left w:val="none" w:sz="0" w:space="0" w:color="auto"/>
        <w:bottom w:val="none" w:sz="0" w:space="0" w:color="auto"/>
        <w:right w:val="none" w:sz="0" w:space="0" w:color="auto"/>
      </w:divBdr>
    </w:div>
    <w:div w:id="273485787">
      <w:bodyDiv w:val="1"/>
      <w:marLeft w:val="0"/>
      <w:marRight w:val="0"/>
      <w:marTop w:val="0"/>
      <w:marBottom w:val="0"/>
      <w:divBdr>
        <w:top w:val="none" w:sz="0" w:space="0" w:color="auto"/>
        <w:left w:val="none" w:sz="0" w:space="0" w:color="auto"/>
        <w:bottom w:val="none" w:sz="0" w:space="0" w:color="auto"/>
        <w:right w:val="none" w:sz="0" w:space="0" w:color="auto"/>
      </w:divBdr>
    </w:div>
    <w:div w:id="319236317">
      <w:bodyDiv w:val="1"/>
      <w:marLeft w:val="0"/>
      <w:marRight w:val="0"/>
      <w:marTop w:val="0"/>
      <w:marBottom w:val="0"/>
      <w:divBdr>
        <w:top w:val="none" w:sz="0" w:space="0" w:color="auto"/>
        <w:left w:val="none" w:sz="0" w:space="0" w:color="auto"/>
        <w:bottom w:val="none" w:sz="0" w:space="0" w:color="auto"/>
        <w:right w:val="none" w:sz="0" w:space="0" w:color="auto"/>
      </w:divBdr>
    </w:div>
    <w:div w:id="367489160">
      <w:bodyDiv w:val="1"/>
      <w:marLeft w:val="0"/>
      <w:marRight w:val="0"/>
      <w:marTop w:val="0"/>
      <w:marBottom w:val="0"/>
      <w:divBdr>
        <w:top w:val="none" w:sz="0" w:space="0" w:color="auto"/>
        <w:left w:val="none" w:sz="0" w:space="0" w:color="auto"/>
        <w:bottom w:val="none" w:sz="0" w:space="0" w:color="auto"/>
        <w:right w:val="none" w:sz="0" w:space="0" w:color="auto"/>
      </w:divBdr>
    </w:div>
    <w:div w:id="387189724">
      <w:bodyDiv w:val="1"/>
      <w:marLeft w:val="0"/>
      <w:marRight w:val="0"/>
      <w:marTop w:val="0"/>
      <w:marBottom w:val="0"/>
      <w:divBdr>
        <w:top w:val="none" w:sz="0" w:space="0" w:color="auto"/>
        <w:left w:val="none" w:sz="0" w:space="0" w:color="auto"/>
        <w:bottom w:val="none" w:sz="0" w:space="0" w:color="auto"/>
        <w:right w:val="none" w:sz="0" w:space="0" w:color="auto"/>
      </w:divBdr>
    </w:div>
    <w:div w:id="508327596">
      <w:bodyDiv w:val="1"/>
      <w:marLeft w:val="0"/>
      <w:marRight w:val="0"/>
      <w:marTop w:val="0"/>
      <w:marBottom w:val="0"/>
      <w:divBdr>
        <w:top w:val="none" w:sz="0" w:space="0" w:color="auto"/>
        <w:left w:val="none" w:sz="0" w:space="0" w:color="auto"/>
        <w:bottom w:val="none" w:sz="0" w:space="0" w:color="auto"/>
        <w:right w:val="none" w:sz="0" w:space="0" w:color="auto"/>
      </w:divBdr>
    </w:div>
    <w:div w:id="712653327">
      <w:bodyDiv w:val="1"/>
      <w:marLeft w:val="0"/>
      <w:marRight w:val="0"/>
      <w:marTop w:val="0"/>
      <w:marBottom w:val="0"/>
      <w:divBdr>
        <w:top w:val="none" w:sz="0" w:space="0" w:color="auto"/>
        <w:left w:val="none" w:sz="0" w:space="0" w:color="auto"/>
        <w:bottom w:val="none" w:sz="0" w:space="0" w:color="auto"/>
        <w:right w:val="none" w:sz="0" w:space="0" w:color="auto"/>
      </w:divBdr>
    </w:div>
    <w:div w:id="861435588">
      <w:bodyDiv w:val="1"/>
      <w:marLeft w:val="0"/>
      <w:marRight w:val="0"/>
      <w:marTop w:val="0"/>
      <w:marBottom w:val="0"/>
      <w:divBdr>
        <w:top w:val="none" w:sz="0" w:space="0" w:color="auto"/>
        <w:left w:val="none" w:sz="0" w:space="0" w:color="auto"/>
        <w:bottom w:val="none" w:sz="0" w:space="0" w:color="auto"/>
        <w:right w:val="none" w:sz="0" w:space="0" w:color="auto"/>
      </w:divBdr>
    </w:div>
    <w:div w:id="933509723">
      <w:bodyDiv w:val="1"/>
      <w:marLeft w:val="0"/>
      <w:marRight w:val="0"/>
      <w:marTop w:val="0"/>
      <w:marBottom w:val="0"/>
      <w:divBdr>
        <w:top w:val="none" w:sz="0" w:space="0" w:color="auto"/>
        <w:left w:val="none" w:sz="0" w:space="0" w:color="auto"/>
        <w:bottom w:val="none" w:sz="0" w:space="0" w:color="auto"/>
        <w:right w:val="none" w:sz="0" w:space="0" w:color="auto"/>
      </w:divBdr>
    </w:div>
    <w:div w:id="1113209690">
      <w:bodyDiv w:val="1"/>
      <w:marLeft w:val="0"/>
      <w:marRight w:val="0"/>
      <w:marTop w:val="0"/>
      <w:marBottom w:val="0"/>
      <w:divBdr>
        <w:top w:val="none" w:sz="0" w:space="0" w:color="auto"/>
        <w:left w:val="none" w:sz="0" w:space="0" w:color="auto"/>
        <w:bottom w:val="none" w:sz="0" w:space="0" w:color="auto"/>
        <w:right w:val="none" w:sz="0" w:space="0" w:color="auto"/>
      </w:divBdr>
    </w:div>
    <w:div w:id="1231111732">
      <w:bodyDiv w:val="1"/>
      <w:marLeft w:val="0"/>
      <w:marRight w:val="0"/>
      <w:marTop w:val="0"/>
      <w:marBottom w:val="0"/>
      <w:divBdr>
        <w:top w:val="none" w:sz="0" w:space="0" w:color="auto"/>
        <w:left w:val="none" w:sz="0" w:space="0" w:color="auto"/>
        <w:bottom w:val="none" w:sz="0" w:space="0" w:color="auto"/>
        <w:right w:val="none" w:sz="0" w:space="0" w:color="auto"/>
      </w:divBdr>
    </w:div>
    <w:div w:id="1243491680">
      <w:bodyDiv w:val="1"/>
      <w:marLeft w:val="0"/>
      <w:marRight w:val="0"/>
      <w:marTop w:val="0"/>
      <w:marBottom w:val="0"/>
      <w:divBdr>
        <w:top w:val="none" w:sz="0" w:space="0" w:color="auto"/>
        <w:left w:val="none" w:sz="0" w:space="0" w:color="auto"/>
        <w:bottom w:val="none" w:sz="0" w:space="0" w:color="auto"/>
        <w:right w:val="none" w:sz="0" w:space="0" w:color="auto"/>
      </w:divBdr>
    </w:div>
    <w:div w:id="1412432874">
      <w:bodyDiv w:val="1"/>
      <w:marLeft w:val="0"/>
      <w:marRight w:val="0"/>
      <w:marTop w:val="0"/>
      <w:marBottom w:val="0"/>
      <w:divBdr>
        <w:top w:val="none" w:sz="0" w:space="0" w:color="auto"/>
        <w:left w:val="none" w:sz="0" w:space="0" w:color="auto"/>
        <w:bottom w:val="none" w:sz="0" w:space="0" w:color="auto"/>
        <w:right w:val="none" w:sz="0" w:space="0" w:color="auto"/>
      </w:divBdr>
    </w:div>
    <w:div w:id="1433404085">
      <w:bodyDiv w:val="1"/>
      <w:marLeft w:val="0"/>
      <w:marRight w:val="0"/>
      <w:marTop w:val="0"/>
      <w:marBottom w:val="0"/>
      <w:divBdr>
        <w:top w:val="none" w:sz="0" w:space="0" w:color="auto"/>
        <w:left w:val="none" w:sz="0" w:space="0" w:color="auto"/>
        <w:bottom w:val="none" w:sz="0" w:space="0" w:color="auto"/>
        <w:right w:val="none" w:sz="0" w:space="0" w:color="auto"/>
      </w:divBdr>
    </w:div>
    <w:div w:id="1466854710">
      <w:bodyDiv w:val="1"/>
      <w:marLeft w:val="0"/>
      <w:marRight w:val="0"/>
      <w:marTop w:val="0"/>
      <w:marBottom w:val="0"/>
      <w:divBdr>
        <w:top w:val="none" w:sz="0" w:space="0" w:color="auto"/>
        <w:left w:val="none" w:sz="0" w:space="0" w:color="auto"/>
        <w:bottom w:val="none" w:sz="0" w:space="0" w:color="auto"/>
        <w:right w:val="none" w:sz="0" w:space="0" w:color="auto"/>
      </w:divBdr>
    </w:div>
    <w:div w:id="1619943943">
      <w:bodyDiv w:val="1"/>
      <w:marLeft w:val="0"/>
      <w:marRight w:val="0"/>
      <w:marTop w:val="0"/>
      <w:marBottom w:val="0"/>
      <w:divBdr>
        <w:top w:val="none" w:sz="0" w:space="0" w:color="auto"/>
        <w:left w:val="none" w:sz="0" w:space="0" w:color="auto"/>
        <w:bottom w:val="none" w:sz="0" w:space="0" w:color="auto"/>
        <w:right w:val="none" w:sz="0" w:space="0" w:color="auto"/>
      </w:divBdr>
    </w:div>
    <w:div w:id="1723945879">
      <w:bodyDiv w:val="1"/>
      <w:marLeft w:val="0"/>
      <w:marRight w:val="0"/>
      <w:marTop w:val="0"/>
      <w:marBottom w:val="0"/>
      <w:divBdr>
        <w:top w:val="none" w:sz="0" w:space="0" w:color="auto"/>
        <w:left w:val="none" w:sz="0" w:space="0" w:color="auto"/>
        <w:bottom w:val="none" w:sz="0" w:space="0" w:color="auto"/>
        <w:right w:val="none" w:sz="0" w:space="0" w:color="auto"/>
      </w:divBdr>
    </w:div>
    <w:div w:id="1776635669">
      <w:bodyDiv w:val="1"/>
      <w:marLeft w:val="0"/>
      <w:marRight w:val="0"/>
      <w:marTop w:val="0"/>
      <w:marBottom w:val="0"/>
      <w:divBdr>
        <w:top w:val="none" w:sz="0" w:space="0" w:color="auto"/>
        <w:left w:val="none" w:sz="0" w:space="0" w:color="auto"/>
        <w:bottom w:val="none" w:sz="0" w:space="0" w:color="auto"/>
        <w:right w:val="none" w:sz="0" w:space="0" w:color="auto"/>
      </w:divBdr>
    </w:div>
    <w:div w:id="1781143181">
      <w:bodyDiv w:val="1"/>
      <w:marLeft w:val="0"/>
      <w:marRight w:val="0"/>
      <w:marTop w:val="0"/>
      <w:marBottom w:val="0"/>
      <w:divBdr>
        <w:top w:val="none" w:sz="0" w:space="0" w:color="auto"/>
        <w:left w:val="none" w:sz="0" w:space="0" w:color="auto"/>
        <w:bottom w:val="none" w:sz="0" w:space="0" w:color="auto"/>
        <w:right w:val="none" w:sz="0" w:space="0" w:color="auto"/>
      </w:divBdr>
    </w:div>
    <w:div w:id="1857767873">
      <w:bodyDiv w:val="1"/>
      <w:marLeft w:val="0"/>
      <w:marRight w:val="0"/>
      <w:marTop w:val="0"/>
      <w:marBottom w:val="0"/>
      <w:divBdr>
        <w:top w:val="none" w:sz="0" w:space="0" w:color="auto"/>
        <w:left w:val="none" w:sz="0" w:space="0" w:color="auto"/>
        <w:bottom w:val="none" w:sz="0" w:space="0" w:color="auto"/>
        <w:right w:val="none" w:sz="0" w:space="0" w:color="auto"/>
      </w:divBdr>
      <w:divsChild>
        <w:div w:id="495417439">
          <w:marLeft w:val="0"/>
          <w:marRight w:val="0"/>
          <w:marTop w:val="0"/>
          <w:marBottom w:val="0"/>
          <w:divBdr>
            <w:top w:val="none" w:sz="0" w:space="0" w:color="auto"/>
            <w:left w:val="none" w:sz="0" w:space="0" w:color="auto"/>
            <w:bottom w:val="none" w:sz="0" w:space="0" w:color="auto"/>
            <w:right w:val="none" w:sz="0" w:space="0" w:color="auto"/>
          </w:divBdr>
        </w:div>
        <w:div w:id="237326952">
          <w:marLeft w:val="0"/>
          <w:marRight w:val="0"/>
          <w:marTop w:val="0"/>
          <w:marBottom w:val="0"/>
          <w:divBdr>
            <w:top w:val="none" w:sz="0" w:space="0" w:color="auto"/>
            <w:left w:val="none" w:sz="0" w:space="0" w:color="auto"/>
            <w:bottom w:val="none" w:sz="0" w:space="0" w:color="auto"/>
            <w:right w:val="none" w:sz="0" w:space="0" w:color="auto"/>
          </w:divBdr>
        </w:div>
      </w:divsChild>
    </w:div>
    <w:div w:id="1875848364">
      <w:bodyDiv w:val="1"/>
      <w:marLeft w:val="0"/>
      <w:marRight w:val="0"/>
      <w:marTop w:val="0"/>
      <w:marBottom w:val="0"/>
      <w:divBdr>
        <w:top w:val="none" w:sz="0" w:space="0" w:color="auto"/>
        <w:left w:val="none" w:sz="0" w:space="0" w:color="auto"/>
        <w:bottom w:val="none" w:sz="0" w:space="0" w:color="auto"/>
        <w:right w:val="none" w:sz="0" w:space="0" w:color="auto"/>
      </w:divBdr>
    </w:div>
    <w:div w:id="1964143913">
      <w:bodyDiv w:val="1"/>
      <w:marLeft w:val="0"/>
      <w:marRight w:val="0"/>
      <w:marTop w:val="0"/>
      <w:marBottom w:val="0"/>
      <w:divBdr>
        <w:top w:val="none" w:sz="0" w:space="0" w:color="auto"/>
        <w:left w:val="none" w:sz="0" w:space="0" w:color="auto"/>
        <w:bottom w:val="none" w:sz="0" w:space="0" w:color="auto"/>
        <w:right w:val="none" w:sz="0" w:space="0" w:color="auto"/>
      </w:divBdr>
    </w:div>
    <w:div w:id="1997299489">
      <w:bodyDiv w:val="1"/>
      <w:marLeft w:val="0"/>
      <w:marRight w:val="0"/>
      <w:marTop w:val="0"/>
      <w:marBottom w:val="0"/>
      <w:divBdr>
        <w:top w:val="none" w:sz="0" w:space="0" w:color="auto"/>
        <w:left w:val="none" w:sz="0" w:space="0" w:color="auto"/>
        <w:bottom w:val="none" w:sz="0" w:space="0" w:color="auto"/>
        <w:right w:val="none" w:sz="0" w:space="0" w:color="auto"/>
      </w:divBdr>
    </w:div>
    <w:div w:id="2064865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3AC84-5E70-5E43-9B75-8EAE4FF09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Aarhus Universitet</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rupashree </dc:creator>
  <cp:lastModifiedBy>Jakob Toudahl Nielsen</cp:lastModifiedBy>
  <cp:revision>2</cp:revision>
  <cp:lastPrinted>2020-01-10T15:55:00Z</cp:lastPrinted>
  <dcterms:created xsi:type="dcterms:W3CDTF">2020-07-28T20:41:00Z</dcterms:created>
  <dcterms:modified xsi:type="dcterms:W3CDTF">2020-07-28T20:41:00Z</dcterms:modified>
  <dc:language>da-DK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72902afd-fb6c-3136-9bf3-343b088bb08b</vt:lpwstr>
  </property>
  <property fmtid="{D5CDD505-2E9C-101B-9397-08002B2CF9AE}" pid="4" name="Mendeley Citation Style_1">
    <vt:lpwstr>http://www.zotero.org/styles/nature</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http://www.zotero.org/styles/bioinformatics</vt:lpwstr>
  </property>
  <property fmtid="{D5CDD505-2E9C-101B-9397-08002B2CF9AE}" pid="8" name="Mendeley Recent Style Name 1_1">
    <vt:lpwstr>Bioinformatics</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http://www.zotero.org/styles/plos-computational-biology</vt:lpwstr>
  </property>
  <property fmtid="{D5CDD505-2E9C-101B-9397-08002B2CF9AE}" pid="22" name="Mendeley Recent Style Name 8_1">
    <vt:lpwstr>PLOS Computational Biology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