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388A4" w14:textId="77777777" w:rsidR="00224793" w:rsidRDefault="00224793" w:rsidP="00224793">
      <w:pPr>
        <w:pStyle w:val="Title"/>
        <w:framePr w:w="0" w:hSpace="0" w:vSpace="0" w:wrap="auto" w:vAnchor="margin" w:hAnchor="text" w:xAlign="left" w:yAlign="inline"/>
        <w:spacing w:after="240" w:line="276" w:lineRule="auto"/>
        <w:jc w:val="left"/>
        <w:rPr>
          <w:rFonts w:asciiTheme="minorHAnsi" w:hAnsiTheme="minorHAnsi" w:cstheme="minorHAnsi"/>
          <w:b/>
          <w:bCs/>
        </w:rPr>
      </w:pPr>
      <w:r w:rsidRPr="00335DEE">
        <w:rPr>
          <w:rFonts w:asciiTheme="minorHAnsi" w:hAnsiTheme="minorHAnsi" w:cstheme="minorHAnsi"/>
          <w:b/>
          <w:bCs/>
        </w:rPr>
        <w:t xml:space="preserve">Correlation-Driven Machine Learning for Accelerated Reliability Assessment of Solder Joints in Electronics </w:t>
      </w:r>
    </w:p>
    <w:p w14:paraId="7BCDE97F" w14:textId="2858AE8D" w:rsidR="00224793" w:rsidRDefault="00224793" w:rsidP="00224793">
      <w:pPr>
        <w:pStyle w:val="Authors"/>
        <w:framePr w:w="0" w:hSpace="0" w:vSpace="0" w:wrap="auto" w:vAnchor="margin" w:hAnchor="text" w:xAlign="left" w:yAlign="inline"/>
        <w:spacing w:after="0" w:line="276" w:lineRule="auto"/>
        <w:jc w:val="left"/>
        <w:rPr>
          <w:rFonts w:asciiTheme="minorHAnsi" w:hAnsiTheme="minorHAnsi" w:cstheme="minorHAnsi"/>
          <w:b/>
          <w:bCs/>
          <w:sz w:val="28"/>
          <w:szCs w:val="28"/>
        </w:rPr>
      </w:pPr>
      <w:r w:rsidRPr="00335DEE">
        <w:rPr>
          <w:rFonts w:asciiTheme="minorHAnsi" w:hAnsiTheme="minorHAnsi" w:cstheme="minorHAnsi"/>
          <w:b/>
          <w:bCs/>
          <w:sz w:val="28"/>
          <w:szCs w:val="28"/>
        </w:rPr>
        <w:t>Vahid Samavatian</w:t>
      </w:r>
      <w:r w:rsidRPr="00335DEE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1</w:t>
      </w:r>
      <w:r w:rsidRPr="00335DEE">
        <w:rPr>
          <w:rFonts w:asciiTheme="minorHAnsi" w:hAnsiTheme="minorHAnsi" w:cstheme="minorHAnsi"/>
          <w:b/>
          <w:bCs/>
          <w:sz w:val="28"/>
          <w:szCs w:val="28"/>
        </w:rPr>
        <w:t>, Mahmud Fotuhi-Firuzabad</w:t>
      </w:r>
      <w:r w:rsidRPr="00335DEE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1</w:t>
      </w:r>
      <w:r w:rsidRPr="00335DEE">
        <w:rPr>
          <w:rFonts w:asciiTheme="minorHAnsi" w:hAnsiTheme="minorHAnsi" w:cstheme="minorHAnsi"/>
          <w:b/>
          <w:bCs/>
          <w:sz w:val="28"/>
          <w:szCs w:val="28"/>
        </w:rPr>
        <w:t>, Majid Samavatian</w:t>
      </w:r>
      <w:r w:rsidRPr="00335DEE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2</w:t>
      </w:r>
      <w:r w:rsidRPr="00335DEE">
        <w:rPr>
          <w:rFonts w:asciiTheme="minorHAnsi" w:hAnsiTheme="minorHAnsi" w:cstheme="minorHAnsi"/>
          <w:b/>
          <w:bCs/>
          <w:sz w:val="28"/>
          <w:szCs w:val="28"/>
        </w:rPr>
        <w:t>, Payman Dehghanian</w:t>
      </w:r>
      <w:r w:rsidRPr="00335DEE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3</w:t>
      </w:r>
      <w:r w:rsidRPr="00335DEE">
        <w:rPr>
          <w:rFonts w:asciiTheme="minorHAnsi" w:hAnsiTheme="minorHAnsi" w:cstheme="minorHAnsi"/>
          <w:b/>
          <w:bCs/>
          <w:sz w:val="28"/>
          <w:szCs w:val="28"/>
        </w:rPr>
        <w:t xml:space="preserve"> and Frede Blaabjerg</w:t>
      </w:r>
      <w:proofErr w:type="gramStart"/>
      <w:r w:rsidRPr="00335DEE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4,*</w:t>
      </w:r>
      <w:proofErr w:type="gramEnd"/>
      <w:r w:rsidRPr="00335DE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58398E3" w14:textId="77777777" w:rsidR="00224793" w:rsidRPr="00335DEE" w:rsidRDefault="00224793" w:rsidP="00224793">
      <w:pPr>
        <w:spacing w:line="276" w:lineRule="auto"/>
        <w:rPr>
          <w:rFonts w:cstheme="minorHAnsi"/>
        </w:rPr>
      </w:pPr>
    </w:p>
    <w:p w14:paraId="448CF7BC" w14:textId="55DC685B" w:rsidR="00224793" w:rsidRPr="00335DEE" w:rsidRDefault="00224793" w:rsidP="00224793">
      <w:pPr>
        <w:spacing w:line="276" w:lineRule="auto"/>
        <w:rPr>
          <w:rFonts w:cstheme="minorHAnsi"/>
        </w:rPr>
      </w:pPr>
      <w:r w:rsidRPr="00335DEE">
        <w:rPr>
          <w:rFonts w:cstheme="minorHAnsi"/>
          <w:vertAlign w:val="superscript"/>
        </w:rPr>
        <w:t>1</w:t>
      </w:r>
      <w:r w:rsidRPr="00335DEE">
        <w:rPr>
          <w:rFonts w:cstheme="minorHAnsi"/>
        </w:rPr>
        <w:t xml:space="preserve"> </w:t>
      </w:r>
      <w:r w:rsidR="005B45EC">
        <w:rPr>
          <w:rFonts w:cstheme="minorHAnsi"/>
        </w:rPr>
        <w:t>Department</w:t>
      </w:r>
      <w:r w:rsidRPr="00335DEE">
        <w:rPr>
          <w:rFonts w:cstheme="minorHAnsi"/>
        </w:rPr>
        <w:t xml:space="preserve"> of Electrical Engineering, Sharif University of Technology, Tehran 68260, Iran</w:t>
      </w:r>
    </w:p>
    <w:p w14:paraId="6F08B4C5" w14:textId="77777777" w:rsidR="00224793" w:rsidRPr="00335DEE" w:rsidRDefault="00224793" w:rsidP="00224793">
      <w:pPr>
        <w:spacing w:line="276" w:lineRule="auto"/>
        <w:rPr>
          <w:rFonts w:cstheme="minorHAnsi"/>
          <w:rtl/>
          <w:lang w:bidi="fa-IR"/>
        </w:rPr>
      </w:pPr>
      <w:r w:rsidRPr="00335DEE">
        <w:rPr>
          <w:rFonts w:cstheme="minorHAnsi"/>
          <w:vertAlign w:val="superscript"/>
        </w:rPr>
        <w:t>2</w:t>
      </w:r>
      <w:r w:rsidRPr="00335DEE">
        <w:rPr>
          <w:rFonts w:cstheme="minorHAnsi"/>
        </w:rPr>
        <w:t xml:space="preserve"> Department of Advanced Materials and Renewable Energy, Iranian Research Organization for Science and Technology (IROST), Tehran 33535111, Iran</w:t>
      </w:r>
    </w:p>
    <w:p w14:paraId="3C0BE2BA" w14:textId="77777777" w:rsidR="00224793" w:rsidRPr="00335DEE" w:rsidRDefault="00224793" w:rsidP="00224793">
      <w:pPr>
        <w:pStyle w:val="FootnoteText"/>
        <w:spacing w:line="276" w:lineRule="auto"/>
        <w:ind w:firstLine="0"/>
        <w:rPr>
          <w:rFonts w:asciiTheme="minorHAnsi" w:hAnsiTheme="minorHAnsi" w:cstheme="minorHAnsi"/>
          <w:sz w:val="22"/>
          <w:szCs w:val="22"/>
        </w:rPr>
      </w:pPr>
      <w:r w:rsidRPr="00335DE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35DEE">
        <w:rPr>
          <w:rFonts w:asciiTheme="minorHAnsi" w:hAnsiTheme="minorHAnsi" w:cstheme="minorHAnsi"/>
          <w:sz w:val="22"/>
          <w:szCs w:val="22"/>
        </w:rPr>
        <w:t xml:space="preserve"> Department of Electrical and Computer Engineering, </w:t>
      </w:r>
      <w:r w:rsidR="00071921">
        <w:rPr>
          <w:rFonts w:asciiTheme="minorHAnsi" w:hAnsiTheme="minorHAnsi" w:cstheme="minorHAnsi"/>
          <w:sz w:val="22"/>
          <w:szCs w:val="22"/>
        </w:rPr>
        <w:t xml:space="preserve">The </w:t>
      </w:r>
      <w:r w:rsidRPr="00335DEE">
        <w:rPr>
          <w:rFonts w:asciiTheme="minorHAnsi" w:hAnsiTheme="minorHAnsi" w:cstheme="minorHAnsi"/>
          <w:sz w:val="22"/>
          <w:szCs w:val="22"/>
        </w:rPr>
        <w:t xml:space="preserve">George Washington University, Washington DC 20052, USA </w:t>
      </w:r>
    </w:p>
    <w:p w14:paraId="2F05C879" w14:textId="77777777" w:rsidR="00224793" w:rsidRPr="00335DEE" w:rsidRDefault="00224793" w:rsidP="00224793">
      <w:pPr>
        <w:spacing w:line="276" w:lineRule="auto"/>
        <w:rPr>
          <w:rFonts w:cstheme="minorHAnsi"/>
        </w:rPr>
      </w:pPr>
      <w:r w:rsidRPr="00335DEE">
        <w:rPr>
          <w:rFonts w:cstheme="minorHAnsi"/>
          <w:vertAlign w:val="superscript"/>
        </w:rPr>
        <w:t>4</w:t>
      </w:r>
      <w:r w:rsidRPr="00335DEE">
        <w:rPr>
          <w:rFonts w:cstheme="minorHAnsi"/>
        </w:rPr>
        <w:t xml:space="preserve"> Department of Electrical Engineering, Aalborg University, Aalborg 9100, Denmark </w:t>
      </w:r>
    </w:p>
    <w:p w14:paraId="0BE887B4" w14:textId="312D64F9" w:rsidR="00FB7A61" w:rsidRDefault="00224793" w:rsidP="00FB7A61">
      <w:pPr>
        <w:spacing w:line="276" w:lineRule="auto"/>
        <w:rPr>
          <w:rFonts w:cstheme="minorHAnsi"/>
        </w:rPr>
      </w:pPr>
      <w:r w:rsidRPr="00335DEE">
        <w:rPr>
          <w:rFonts w:cstheme="minorHAnsi"/>
        </w:rPr>
        <w:t>*</w:t>
      </w:r>
      <w:r w:rsidR="001F3269">
        <w:rPr>
          <w:rFonts w:cstheme="minorHAnsi"/>
        </w:rPr>
        <w:t xml:space="preserve">Corresponding Author: </w:t>
      </w:r>
      <w:r w:rsidRPr="00335DEE">
        <w:rPr>
          <w:rFonts w:cstheme="minorHAnsi"/>
        </w:rPr>
        <w:t xml:space="preserve"> </w:t>
      </w:r>
      <w:hyperlink r:id="rId4" w:history="1">
        <w:r w:rsidR="005B45EC" w:rsidRPr="009B54F9">
          <w:rPr>
            <w:rStyle w:val="Hyperlink"/>
            <w:rFonts w:cstheme="minorHAnsi"/>
          </w:rPr>
          <w:t>fbl@et.aau.dk</w:t>
        </w:r>
      </w:hyperlink>
      <w:r w:rsidRPr="00335DEE">
        <w:rPr>
          <w:rFonts w:cstheme="minorHAnsi"/>
        </w:rPr>
        <w:t xml:space="preserve">     </w:t>
      </w:r>
    </w:p>
    <w:p w14:paraId="72AAAB47" w14:textId="77777777" w:rsidR="00224793" w:rsidRPr="00FB7A61" w:rsidRDefault="00224793" w:rsidP="00FB7A61">
      <w:pPr>
        <w:spacing w:line="276" w:lineRule="auto"/>
        <w:rPr>
          <w:rFonts w:cstheme="minorHAnsi"/>
          <w:color w:val="0000FF"/>
          <w:u w:val="single"/>
        </w:rPr>
      </w:pPr>
      <w:r w:rsidRPr="00335DEE">
        <w:rPr>
          <w:rFonts w:cstheme="minorHAnsi"/>
        </w:rPr>
        <w:t xml:space="preserve">                     </w:t>
      </w:r>
    </w:p>
    <w:p w14:paraId="1879A70D" w14:textId="77777777" w:rsidR="00224793" w:rsidRDefault="00224793">
      <w:pPr>
        <w:jc w:val="both"/>
      </w:pPr>
      <w:r w:rsidRPr="00224793">
        <w:rPr>
          <w:b/>
          <w:bCs/>
          <w:i/>
          <w:iCs/>
        </w:rPr>
        <w:t>Note:</w:t>
      </w:r>
      <w:r>
        <w:t xml:space="preserve"> As the supplementary file, one may find all the input data for the </w:t>
      </w:r>
      <w:r w:rsidR="00071921">
        <w:t xml:space="preserve">proposed </w:t>
      </w:r>
      <w:r>
        <w:t xml:space="preserve">novel correlation driven neural network. The Supplementary.zip </w:t>
      </w:r>
      <w:r w:rsidR="00233400">
        <w:t>comprises</w:t>
      </w:r>
      <w:r>
        <w:t xml:space="preserve"> </w:t>
      </w:r>
      <w:r w:rsidR="00233400">
        <w:t>a folder name</w:t>
      </w:r>
      <w:r w:rsidR="00071921">
        <w:t>d</w:t>
      </w:r>
      <w:r w:rsidR="00233400">
        <w:t xml:space="preserve"> “Data” containing </w:t>
      </w:r>
      <w:r>
        <w:t>450 samples (Data_Matrix_”No”.txt) with 24 feature candidates for each one</w:t>
      </w:r>
      <w:r w:rsidR="00233400">
        <w:t xml:space="preserve"> and a value for the measured lifetime in hours. </w:t>
      </w:r>
      <w:r>
        <w:t>Following pattern shows the arrangement of the feature candidates for each sample.</w:t>
      </w:r>
      <w:r w:rsidR="00FB7A61">
        <w:t xml:space="preserve"> The source code of our proposed algorithm is embedded in the supplementary file. The codes are written in MATLAB. The main part of the source code, namely “</w:t>
      </w:r>
      <w:proofErr w:type="spellStart"/>
      <w:r w:rsidR="00FB7A61" w:rsidRPr="00FB7A61">
        <w:t>CDNN_Main_File</w:t>
      </w:r>
      <w:r w:rsidR="00FB7A61">
        <w:t>.m</w:t>
      </w:r>
      <w:proofErr w:type="spellEnd"/>
      <w:r w:rsidR="00FB7A61">
        <w:t>”, automatically imports these 450 samples</w:t>
      </w:r>
      <w:r w:rsidR="00071921">
        <w:t>, triggers</w:t>
      </w:r>
      <w:r w:rsidR="00FB7A61">
        <w:t xml:space="preserve"> the training </w:t>
      </w:r>
      <w:r w:rsidR="00071921">
        <w:t xml:space="preserve">process, </w:t>
      </w:r>
      <w:r w:rsidR="00FB7A61">
        <w:t xml:space="preserve">and </w:t>
      </w:r>
      <w:r w:rsidR="00071921">
        <w:t xml:space="preserve">output </w:t>
      </w:r>
      <w:r w:rsidR="00FB7A61">
        <w:t xml:space="preserve">the results. A detailed instruction of this source code </w:t>
      </w:r>
      <w:r w:rsidR="00071921">
        <w:t xml:space="preserve">is </w:t>
      </w:r>
      <w:r w:rsidR="00FB7A61">
        <w:t xml:space="preserve">provided in the </w:t>
      </w:r>
      <w:proofErr w:type="spellStart"/>
      <w:r w:rsidR="00FB7A61" w:rsidRPr="00FB7A61">
        <w:t>CDNN_Main_File</w:t>
      </w:r>
      <w:r w:rsidR="00FB7A61">
        <w:t>.m</w:t>
      </w:r>
      <w:proofErr w:type="spellEnd"/>
      <w:r w:rsidR="00FB7A61">
        <w:t xml:space="preserve"> file. Thus, one can run the </w:t>
      </w:r>
      <w:proofErr w:type="spellStart"/>
      <w:r w:rsidR="00FB7A61" w:rsidRPr="00FB7A61">
        <w:t>CDNN_Main_File</w:t>
      </w:r>
      <w:r w:rsidR="00FB7A61">
        <w:t>.m</w:t>
      </w:r>
      <w:proofErr w:type="spellEnd"/>
      <w:r w:rsidR="00FB7A61">
        <w:t xml:space="preserve"> and see how the proposed method works. </w:t>
      </w:r>
    </w:p>
    <w:p w14:paraId="0E0A52B3" w14:textId="77777777" w:rsidR="00FB7A61" w:rsidRDefault="00FB7A61" w:rsidP="00FB7A61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7"/>
        <w:gridCol w:w="2191"/>
        <w:gridCol w:w="2416"/>
        <w:gridCol w:w="2393"/>
      </w:tblGrid>
      <w:tr w:rsidR="00224793" w:rsidRPr="00FB7A61" w14:paraId="3C31CF59" w14:textId="77777777" w:rsidTr="00FB7A61">
        <w:trPr>
          <w:trHeight w:val="488"/>
        </w:trPr>
        <w:tc>
          <w:tcPr>
            <w:tcW w:w="0" w:type="auto"/>
            <w:vAlign w:val="center"/>
          </w:tcPr>
          <w:p w14:paraId="3D13609D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 xml:space="preserve"> Hot dwelling temperature (</w:t>
            </w:r>
            <w:proofErr w:type="spellStart"/>
            <w:r w:rsidRPr="00FB7A61">
              <w:rPr>
                <w:sz w:val="20"/>
                <w:szCs w:val="20"/>
                <w:vertAlign w:val="superscript"/>
              </w:rPr>
              <w:t>o</w:t>
            </w:r>
            <w:r w:rsidRPr="00FB7A61">
              <w:rPr>
                <w:sz w:val="20"/>
                <w:szCs w:val="20"/>
              </w:rPr>
              <w:t>C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2B6E3ABB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Solder density(g/cm3)</w:t>
            </w:r>
          </w:p>
        </w:tc>
        <w:tc>
          <w:tcPr>
            <w:tcW w:w="0" w:type="auto"/>
            <w:vAlign w:val="center"/>
          </w:tcPr>
          <w:p w14:paraId="3ECFEDA7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Upper layer density(g/cm3)</w:t>
            </w:r>
          </w:p>
        </w:tc>
        <w:tc>
          <w:tcPr>
            <w:tcW w:w="0" w:type="auto"/>
            <w:vAlign w:val="center"/>
          </w:tcPr>
          <w:p w14:paraId="49DCF1B7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lower layer density(g/cm3)</w:t>
            </w:r>
          </w:p>
        </w:tc>
      </w:tr>
      <w:tr w:rsidR="00224793" w:rsidRPr="00FB7A61" w14:paraId="253CF5E1" w14:textId="77777777" w:rsidTr="00FB7A61">
        <w:trPr>
          <w:trHeight w:val="488"/>
        </w:trPr>
        <w:tc>
          <w:tcPr>
            <w:tcW w:w="0" w:type="auto"/>
            <w:vAlign w:val="center"/>
          </w:tcPr>
          <w:p w14:paraId="5DEC6950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Hot dwelling time (min)</w:t>
            </w:r>
          </w:p>
        </w:tc>
        <w:tc>
          <w:tcPr>
            <w:tcW w:w="0" w:type="auto"/>
            <w:vAlign w:val="center"/>
          </w:tcPr>
          <w:p w14:paraId="5191160D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Solder CTE(10</w:t>
            </w:r>
            <w:r w:rsidRPr="00FB7A61">
              <w:rPr>
                <w:sz w:val="20"/>
                <w:szCs w:val="20"/>
                <w:vertAlign w:val="superscript"/>
              </w:rPr>
              <w:t>-6</w:t>
            </w:r>
            <w:r w:rsidRPr="00FB7A61">
              <w:rPr>
                <w:sz w:val="20"/>
                <w:szCs w:val="20"/>
              </w:rPr>
              <w:t>/</w:t>
            </w:r>
            <w:r w:rsidRPr="00FB7A61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FB7A61">
              <w:rPr>
                <w:sz w:val="20"/>
                <w:szCs w:val="20"/>
                <w:vertAlign w:val="superscript"/>
              </w:rPr>
              <w:t>o</w:t>
            </w:r>
            <w:r w:rsidRPr="00FB7A61">
              <w:rPr>
                <w:sz w:val="20"/>
                <w:szCs w:val="20"/>
              </w:rPr>
              <w:t>C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4607D174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Upper layer CTE(10</w:t>
            </w:r>
            <w:r w:rsidRPr="00FB7A61">
              <w:rPr>
                <w:sz w:val="20"/>
                <w:szCs w:val="20"/>
                <w:vertAlign w:val="superscript"/>
              </w:rPr>
              <w:t>-6</w:t>
            </w:r>
            <w:r w:rsidRPr="00FB7A61">
              <w:rPr>
                <w:sz w:val="20"/>
                <w:szCs w:val="20"/>
              </w:rPr>
              <w:t>/</w:t>
            </w:r>
            <w:r w:rsidRPr="00FB7A61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FB7A61">
              <w:rPr>
                <w:sz w:val="20"/>
                <w:szCs w:val="20"/>
                <w:vertAlign w:val="superscript"/>
              </w:rPr>
              <w:t>o</w:t>
            </w:r>
            <w:r w:rsidRPr="00FB7A61">
              <w:rPr>
                <w:sz w:val="20"/>
                <w:szCs w:val="20"/>
              </w:rPr>
              <w:t>C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34FB3C16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lower layer CTE(10</w:t>
            </w:r>
            <w:r w:rsidRPr="00FB7A61">
              <w:rPr>
                <w:sz w:val="20"/>
                <w:szCs w:val="20"/>
                <w:vertAlign w:val="superscript"/>
              </w:rPr>
              <w:t>-6</w:t>
            </w:r>
            <w:r w:rsidRPr="00FB7A61">
              <w:rPr>
                <w:sz w:val="20"/>
                <w:szCs w:val="20"/>
              </w:rPr>
              <w:t>/</w:t>
            </w:r>
            <w:r w:rsidRPr="00FB7A61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FB7A61">
              <w:rPr>
                <w:sz w:val="20"/>
                <w:szCs w:val="20"/>
                <w:vertAlign w:val="superscript"/>
              </w:rPr>
              <w:t>o</w:t>
            </w:r>
            <w:r w:rsidRPr="00FB7A61">
              <w:rPr>
                <w:sz w:val="20"/>
                <w:szCs w:val="20"/>
              </w:rPr>
              <w:t>C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</w:tr>
      <w:tr w:rsidR="00224793" w:rsidRPr="00FB7A61" w14:paraId="51BE1FE2" w14:textId="77777777" w:rsidTr="00FB7A61">
        <w:trPr>
          <w:trHeight w:val="488"/>
        </w:trPr>
        <w:tc>
          <w:tcPr>
            <w:tcW w:w="0" w:type="auto"/>
            <w:vAlign w:val="center"/>
          </w:tcPr>
          <w:p w14:paraId="2EB18312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Heating ramp (</w:t>
            </w:r>
            <w:proofErr w:type="spellStart"/>
            <w:r w:rsidRPr="00FB7A61">
              <w:rPr>
                <w:sz w:val="20"/>
                <w:szCs w:val="20"/>
                <w:vertAlign w:val="superscript"/>
              </w:rPr>
              <w:t>o</w:t>
            </w:r>
            <w:r w:rsidRPr="00FB7A61">
              <w:rPr>
                <w:sz w:val="20"/>
                <w:szCs w:val="20"/>
              </w:rPr>
              <w:t>C</w:t>
            </w:r>
            <w:proofErr w:type="spellEnd"/>
            <w:r w:rsidRPr="00FB7A61">
              <w:rPr>
                <w:sz w:val="20"/>
                <w:szCs w:val="20"/>
              </w:rPr>
              <w:t xml:space="preserve"> /hour)</w:t>
            </w:r>
          </w:p>
        </w:tc>
        <w:tc>
          <w:tcPr>
            <w:tcW w:w="0" w:type="auto"/>
            <w:vAlign w:val="center"/>
          </w:tcPr>
          <w:p w14:paraId="6AFE0435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Solder Melting Temperature (</w:t>
            </w:r>
            <w:r w:rsidRPr="00FB7A61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FB7A61">
              <w:rPr>
                <w:sz w:val="20"/>
                <w:szCs w:val="20"/>
                <w:vertAlign w:val="superscript"/>
              </w:rPr>
              <w:t>o</w:t>
            </w:r>
            <w:r w:rsidRPr="00FB7A61">
              <w:rPr>
                <w:sz w:val="20"/>
                <w:szCs w:val="20"/>
              </w:rPr>
              <w:t>C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2DF447B6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Upper layer Melting Temperature (</w:t>
            </w:r>
            <w:r w:rsidRPr="00FB7A61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FB7A61">
              <w:rPr>
                <w:sz w:val="20"/>
                <w:szCs w:val="20"/>
                <w:vertAlign w:val="superscript"/>
              </w:rPr>
              <w:t>o</w:t>
            </w:r>
            <w:r w:rsidRPr="00FB7A61">
              <w:rPr>
                <w:sz w:val="20"/>
                <w:szCs w:val="20"/>
              </w:rPr>
              <w:t>C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0F6FDEAC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lower layer Melting Temperature (</w:t>
            </w:r>
            <w:r w:rsidRPr="00FB7A61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FB7A61">
              <w:rPr>
                <w:sz w:val="20"/>
                <w:szCs w:val="20"/>
                <w:vertAlign w:val="superscript"/>
              </w:rPr>
              <w:t>o</w:t>
            </w:r>
            <w:r w:rsidRPr="00FB7A61">
              <w:rPr>
                <w:sz w:val="20"/>
                <w:szCs w:val="20"/>
              </w:rPr>
              <w:t>C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</w:tr>
      <w:tr w:rsidR="00224793" w:rsidRPr="00FB7A61" w14:paraId="10A5F0D8" w14:textId="77777777" w:rsidTr="00FB7A61">
        <w:trPr>
          <w:trHeight w:val="489"/>
        </w:trPr>
        <w:tc>
          <w:tcPr>
            <w:tcW w:w="0" w:type="auto"/>
            <w:vAlign w:val="center"/>
          </w:tcPr>
          <w:p w14:paraId="05DA122C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Cold dwelling temperature (</w:t>
            </w:r>
            <w:proofErr w:type="spellStart"/>
            <w:r w:rsidRPr="00FB7A61">
              <w:rPr>
                <w:sz w:val="20"/>
                <w:szCs w:val="20"/>
                <w:vertAlign w:val="superscript"/>
              </w:rPr>
              <w:t>o</w:t>
            </w:r>
            <w:r w:rsidRPr="00FB7A61">
              <w:rPr>
                <w:sz w:val="20"/>
                <w:szCs w:val="20"/>
              </w:rPr>
              <w:t>C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19F7D922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Solder Young Module(</w:t>
            </w:r>
            <w:proofErr w:type="spellStart"/>
            <w:r w:rsidRPr="00FB7A61">
              <w:rPr>
                <w:sz w:val="20"/>
                <w:szCs w:val="20"/>
              </w:rPr>
              <w:t>GPa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5451BB33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Upper layer Young Module(</w:t>
            </w:r>
            <w:proofErr w:type="spellStart"/>
            <w:r w:rsidRPr="00FB7A61">
              <w:rPr>
                <w:sz w:val="20"/>
                <w:szCs w:val="20"/>
              </w:rPr>
              <w:t>GPa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5E87892A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lower layer Young Module(</w:t>
            </w:r>
            <w:proofErr w:type="spellStart"/>
            <w:r w:rsidRPr="00FB7A61">
              <w:rPr>
                <w:sz w:val="20"/>
                <w:szCs w:val="20"/>
              </w:rPr>
              <w:t>GPa</w:t>
            </w:r>
            <w:proofErr w:type="spellEnd"/>
            <w:r w:rsidRPr="00FB7A61">
              <w:rPr>
                <w:sz w:val="20"/>
                <w:szCs w:val="20"/>
              </w:rPr>
              <w:t>)</w:t>
            </w:r>
          </w:p>
        </w:tc>
      </w:tr>
      <w:tr w:rsidR="00224793" w:rsidRPr="00FB7A61" w14:paraId="08D18FBC" w14:textId="77777777" w:rsidTr="00FB7A61">
        <w:trPr>
          <w:trHeight w:val="488"/>
        </w:trPr>
        <w:tc>
          <w:tcPr>
            <w:tcW w:w="0" w:type="auto"/>
            <w:vAlign w:val="center"/>
          </w:tcPr>
          <w:p w14:paraId="4915471D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Cold dwelling time (min)</w:t>
            </w:r>
          </w:p>
        </w:tc>
        <w:tc>
          <w:tcPr>
            <w:tcW w:w="0" w:type="auto"/>
            <w:vAlign w:val="center"/>
          </w:tcPr>
          <w:p w14:paraId="505609A9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Solder Poisson Ratio</w:t>
            </w:r>
          </w:p>
        </w:tc>
        <w:tc>
          <w:tcPr>
            <w:tcW w:w="0" w:type="auto"/>
            <w:vAlign w:val="center"/>
          </w:tcPr>
          <w:p w14:paraId="0FBD8857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Upper layer Poisson Ratio</w:t>
            </w:r>
          </w:p>
        </w:tc>
        <w:tc>
          <w:tcPr>
            <w:tcW w:w="0" w:type="auto"/>
            <w:vAlign w:val="center"/>
          </w:tcPr>
          <w:p w14:paraId="75243351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lower layer Poisson Ratio</w:t>
            </w:r>
          </w:p>
        </w:tc>
      </w:tr>
      <w:tr w:rsidR="00224793" w:rsidRPr="00FB7A61" w14:paraId="53CB54A4" w14:textId="77777777" w:rsidTr="00FB7A61">
        <w:trPr>
          <w:trHeight w:val="488"/>
        </w:trPr>
        <w:tc>
          <w:tcPr>
            <w:tcW w:w="0" w:type="auto"/>
            <w:vAlign w:val="center"/>
          </w:tcPr>
          <w:p w14:paraId="6A83C296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Cooling ramp (-</w:t>
            </w:r>
            <w:proofErr w:type="spellStart"/>
            <w:r w:rsidRPr="00FB7A61">
              <w:rPr>
                <w:sz w:val="20"/>
                <w:szCs w:val="20"/>
                <w:vertAlign w:val="superscript"/>
              </w:rPr>
              <w:t>o</w:t>
            </w:r>
            <w:r w:rsidRPr="00FB7A61">
              <w:rPr>
                <w:sz w:val="20"/>
                <w:szCs w:val="20"/>
              </w:rPr>
              <w:t>C</w:t>
            </w:r>
            <w:proofErr w:type="spellEnd"/>
            <w:r w:rsidRPr="00FB7A61">
              <w:rPr>
                <w:sz w:val="20"/>
                <w:szCs w:val="20"/>
              </w:rPr>
              <w:t xml:space="preserve"> /hour)</w:t>
            </w:r>
          </w:p>
        </w:tc>
        <w:tc>
          <w:tcPr>
            <w:tcW w:w="0" w:type="auto"/>
            <w:vAlign w:val="center"/>
          </w:tcPr>
          <w:p w14:paraId="5BCCE389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Solder Thickness(um)</w:t>
            </w:r>
          </w:p>
        </w:tc>
        <w:tc>
          <w:tcPr>
            <w:tcW w:w="0" w:type="auto"/>
            <w:vAlign w:val="center"/>
          </w:tcPr>
          <w:p w14:paraId="5E41DFF3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Solder Width (mm)</w:t>
            </w:r>
          </w:p>
        </w:tc>
        <w:tc>
          <w:tcPr>
            <w:tcW w:w="0" w:type="auto"/>
            <w:vAlign w:val="center"/>
          </w:tcPr>
          <w:p w14:paraId="20395DAC" w14:textId="77777777" w:rsidR="00224793" w:rsidRPr="00FB7A61" w:rsidRDefault="00224793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Solder length (mm)</w:t>
            </w:r>
          </w:p>
        </w:tc>
      </w:tr>
      <w:tr w:rsidR="00233400" w:rsidRPr="00FB7A61" w14:paraId="6D2F48AA" w14:textId="77777777" w:rsidTr="00FB7A61">
        <w:trPr>
          <w:trHeight w:val="489"/>
        </w:trPr>
        <w:tc>
          <w:tcPr>
            <w:tcW w:w="0" w:type="auto"/>
            <w:vAlign w:val="center"/>
          </w:tcPr>
          <w:p w14:paraId="3A7B0A85" w14:textId="77777777" w:rsidR="00233400" w:rsidRPr="00FB7A61" w:rsidRDefault="00233400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Measured lifetime (hours)</w:t>
            </w:r>
          </w:p>
        </w:tc>
        <w:tc>
          <w:tcPr>
            <w:tcW w:w="0" w:type="auto"/>
            <w:vAlign w:val="center"/>
          </w:tcPr>
          <w:p w14:paraId="1D4F5C39" w14:textId="77777777" w:rsidR="00233400" w:rsidRPr="00FB7A61" w:rsidRDefault="00233400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NA</w:t>
            </w:r>
          </w:p>
        </w:tc>
        <w:tc>
          <w:tcPr>
            <w:tcW w:w="0" w:type="auto"/>
            <w:vAlign w:val="center"/>
          </w:tcPr>
          <w:p w14:paraId="0891AA43" w14:textId="77777777" w:rsidR="00233400" w:rsidRPr="00FB7A61" w:rsidRDefault="00233400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NA</w:t>
            </w:r>
          </w:p>
        </w:tc>
        <w:tc>
          <w:tcPr>
            <w:tcW w:w="0" w:type="auto"/>
            <w:vAlign w:val="center"/>
          </w:tcPr>
          <w:p w14:paraId="573D7E9E" w14:textId="77777777" w:rsidR="00233400" w:rsidRPr="00FB7A61" w:rsidRDefault="00233400" w:rsidP="00224793">
            <w:pPr>
              <w:jc w:val="center"/>
              <w:rPr>
                <w:sz w:val="20"/>
                <w:szCs w:val="20"/>
              </w:rPr>
            </w:pPr>
            <w:r w:rsidRPr="00FB7A61">
              <w:rPr>
                <w:sz w:val="20"/>
                <w:szCs w:val="20"/>
              </w:rPr>
              <w:t>NA</w:t>
            </w:r>
          </w:p>
        </w:tc>
      </w:tr>
    </w:tbl>
    <w:p w14:paraId="4A0396B8" w14:textId="77777777" w:rsidR="00224793" w:rsidRPr="00224793" w:rsidRDefault="00224793" w:rsidP="00FB7A61">
      <w:pPr>
        <w:rPr>
          <w:sz w:val="16"/>
          <w:szCs w:val="16"/>
        </w:rPr>
      </w:pPr>
    </w:p>
    <w:sectPr w:rsidR="00224793" w:rsidRPr="00224793" w:rsidSect="00D0396F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wtDA0tDQ2MjM1NTVW0lEKTi0uzszPAykwrAUALiscAiwAAAA="/>
  </w:docVars>
  <w:rsids>
    <w:rsidRoot w:val="00D01D2A"/>
    <w:rsid w:val="00071921"/>
    <w:rsid w:val="001D397C"/>
    <w:rsid w:val="001F3269"/>
    <w:rsid w:val="00224793"/>
    <w:rsid w:val="00233400"/>
    <w:rsid w:val="0038402F"/>
    <w:rsid w:val="005B45EC"/>
    <w:rsid w:val="00B72C44"/>
    <w:rsid w:val="00D01D2A"/>
    <w:rsid w:val="00D0396F"/>
    <w:rsid w:val="00F33004"/>
    <w:rsid w:val="00FB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C294C"/>
  <w15:chartTrackingRefBased/>
  <w15:docId w15:val="{97A41BF1-186A-441E-A110-A8BEDE4D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next w:val="Normal"/>
    <w:rsid w:val="00224793"/>
    <w:pPr>
      <w:framePr w:w="9072" w:hSpace="187" w:vSpace="187" w:wrap="notBeside" w:vAnchor="text" w:hAnchor="page" w:xAlign="center" w:y="1"/>
      <w:spacing w:after="320" w:line="240" w:lineRule="auto"/>
      <w:jc w:val="center"/>
    </w:pPr>
    <w:rPr>
      <w:rFonts w:ascii="Times New Roman" w:eastAsia="Times New Roman" w:hAnsi="Times New Roman" w:cs="Times New Roman"/>
    </w:rPr>
  </w:style>
  <w:style w:type="paragraph" w:styleId="Title">
    <w:name w:val="Title"/>
    <w:basedOn w:val="Normal"/>
    <w:next w:val="Normal"/>
    <w:link w:val="TitleChar"/>
    <w:qFormat/>
    <w:rsid w:val="00224793"/>
    <w:pPr>
      <w:framePr w:w="9360" w:hSpace="187" w:vSpace="187" w:wrap="notBeside" w:vAnchor="text" w:hAnchor="page" w:xAlign="center" w:y="1"/>
      <w:spacing w:after="0" w:line="240" w:lineRule="auto"/>
      <w:jc w:val="center"/>
    </w:pPr>
    <w:rPr>
      <w:rFonts w:ascii="Times New Roman" w:eastAsia="Times New Roman" w:hAnsi="Times New Roman" w:cs="Times New Roman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224793"/>
    <w:rPr>
      <w:rFonts w:ascii="Times New Roman" w:eastAsia="Times New Roman" w:hAnsi="Times New Roman" w:cs="Times New Roman"/>
      <w:kern w:val="28"/>
      <w:sz w:val="48"/>
      <w:szCs w:val="48"/>
    </w:rPr>
  </w:style>
  <w:style w:type="paragraph" w:styleId="FootnoteText">
    <w:name w:val="footnote text"/>
    <w:basedOn w:val="Normal"/>
    <w:link w:val="FootnoteTextChar"/>
    <w:semiHidden/>
    <w:rsid w:val="00224793"/>
    <w:pPr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224793"/>
    <w:rPr>
      <w:rFonts w:ascii="Times New Roman" w:eastAsia="Times New Roman" w:hAnsi="Times New Roman" w:cs="Times New Roman"/>
      <w:sz w:val="16"/>
      <w:szCs w:val="16"/>
    </w:rPr>
  </w:style>
  <w:style w:type="paragraph" w:customStyle="1" w:styleId="IndexTerms">
    <w:name w:val="IndexTerms"/>
    <w:basedOn w:val="Normal"/>
    <w:next w:val="Normal"/>
    <w:rsid w:val="00224793"/>
    <w:pPr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Text">
    <w:name w:val="Text"/>
    <w:basedOn w:val="Normal"/>
    <w:rsid w:val="00224793"/>
    <w:pPr>
      <w:widowControl w:val="0"/>
      <w:spacing w:after="0" w:line="252" w:lineRule="auto"/>
      <w:ind w:firstLine="202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224793"/>
    <w:rPr>
      <w:color w:val="0000FF"/>
      <w:u w:val="single"/>
    </w:rPr>
  </w:style>
  <w:style w:type="table" w:styleId="TableGrid">
    <w:name w:val="Table Grid"/>
    <w:basedOn w:val="TableNormal"/>
    <w:uiPriority w:val="39"/>
    <w:rsid w:val="00224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B4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bl@et.aau.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Vahid SAMAVATIAN</dc:creator>
  <cp:keywords/>
  <dc:description/>
  <cp:lastModifiedBy>Surface</cp:lastModifiedBy>
  <cp:revision>4</cp:revision>
  <dcterms:created xsi:type="dcterms:W3CDTF">2020-07-12T09:04:00Z</dcterms:created>
  <dcterms:modified xsi:type="dcterms:W3CDTF">2020-07-14T11:06:00Z</dcterms:modified>
</cp:coreProperties>
</file>