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BC3" w:rsidRPr="00373D75" w:rsidRDefault="008A4BC3" w:rsidP="008A4BC3">
      <w:pPr>
        <w:pStyle w:val="MDPI12title"/>
        <w:tabs>
          <w:tab w:val="left" w:pos="2687"/>
        </w:tabs>
        <w:spacing w:before="120" w:after="120" w:line="640" w:lineRule="atLeast"/>
        <w:jc w:val="center"/>
        <w:rPr>
          <w:rFonts w:ascii="Times" w:eastAsiaTheme="minorEastAsia" w:hAnsi="Times" w:cs="Times"/>
          <w:snapToGrid/>
          <w:color w:val="000000" w:themeColor="text1"/>
          <w:sz w:val="28"/>
          <w:szCs w:val="28"/>
          <w:lang w:val="en-GB" w:eastAsia="zh-CN" w:bidi="ar-SA"/>
        </w:rPr>
      </w:pPr>
      <w:r w:rsidRPr="00373D75">
        <w:rPr>
          <w:rFonts w:ascii="Times" w:eastAsiaTheme="minorEastAsia" w:hAnsi="Times" w:cs="Times"/>
          <w:snapToGrid/>
          <w:color w:val="000000" w:themeColor="text1"/>
          <w:sz w:val="28"/>
          <w:szCs w:val="28"/>
          <w:lang w:val="en-GB" w:eastAsia="zh-CN" w:bidi="ar-SA"/>
        </w:rPr>
        <w:t>Identification of miRNA signatures for kidney renal clear cell carcinoma using the tensor-decomposition method</w:t>
      </w:r>
    </w:p>
    <w:p w:rsidR="008A4BC3" w:rsidRPr="00373D75" w:rsidRDefault="008A4BC3" w:rsidP="008A4BC3">
      <w:pPr>
        <w:pStyle w:val="MDPI13authornames"/>
        <w:rPr>
          <w:rFonts w:eastAsiaTheme="minorEastAsia"/>
          <w:lang w:val="en-GB" w:eastAsia="zh-CN" w:bidi="ar-SA"/>
        </w:rPr>
      </w:pPr>
    </w:p>
    <w:p w:rsidR="008A4BC3" w:rsidRPr="00373D75" w:rsidRDefault="008A4BC3" w:rsidP="008A4BC3">
      <w:pPr>
        <w:pStyle w:val="MDPI13authornames"/>
        <w:jc w:val="center"/>
        <w:rPr>
          <w:rFonts w:ascii="Times New Roman" w:hAnsi="Times New Roman"/>
          <w:b w:val="0"/>
          <w:color w:val="000000" w:themeColor="text1"/>
          <w:sz w:val="24"/>
          <w:szCs w:val="24"/>
          <w:lang w:val="en-GB"/>
        </w:rPr>
      </w:pPr>
      <w:r w:rsidRPr="00373D75">
        <w:rPr>
          <w:rFonts w:ascii="Times New Roman" w:hAnsi="Times New Roman"/>
          <w:b w:val="0"/>
          <w:color w:val="000000" w:themeColor="text1"/>
          <w:sz w:val="24"/>
          <w:szCs w:val="24"/>
          <w:lang w:val="en-GB"/>
        </w:rPr>
        <w:t xml:space="preserve">Ka-Lok Ng </w:t>
      </w:r>
      <w:r w:rsidRPr="00373D75">
        <w:rPr>
          <w:rFonts w:ascii="Times New Roman" w:hAnsi="Times New Roman"/>
          <w:b w:val="0"/>
          <w:color w:val="000000" w:themeColor="text1"/>
          <w:sz w:val="24"/>
          <w:szCs w:val="24"/>
          <w:vertAlign w:val="superscript"/>
          <w:lang w:val="en-GB"/>
        </w:rPr>
        <w:t>1, 2</w:t>
      </w:r>
      <w:r w:rsidRPr="00373D75">
        <w:rPr>
          <w:rFonts w:ascii="Times New Roman" w:hAnsi="Times New Roman"/>
          <w:b w:val="0"/>
          <w:color w:val="000000" w:themeColor="text1"/>
          <w:sz w:val="24"/>
          <w:szCs w:val="24"/>
          <w:lang w:val="en-GB"/>
        </w:rPr>
        <w:t xml:space="preserve"> and Y-h Taguchi </w:t>
      </w:r>
      <w:r w:rsidRPr="00373D75">
        <w:rPr>
          <w:rFonts w:ascii="Times New Roman" w:hAnsi="Times New Roman"/>
          <w:b w:val="0"/>
          <w:color w:val="000000" w:themeColor="text1"/>
          <w:sz w:val="24"/>
          <w:szCs w:val="24"/>
          <w:vertAlign w:val="superscript"/>
          <w:lang w:val="en-GB"/>
        </w:rPr>
        <w:t>3,</w:t>
      </w:r>
      <w:r w:rsidRPr="00373D75">
        <w:rPr>
          <w:rFonts w:ascii="Times New Roman" w:hAnsi="Times New Roman"/>
          <w:b w:val="0"/>
          <w:color w:val="000000" w:themeColor="text1"/>
          <w:sz w:val="24"/>
          <w:szCs w:val="24"/>
          <w:lang w:val="en-GB"/>
        </w:rPr>
        <w:t>*</w:t>
      </w:r>
    </w:p>
    <w:p w:rsidR="008A4BC3" w:rsidRPr="00373D75" w:rsidRDefault="008A4BC3" w:rsidP="008A4BC3">
      <w:pPr>
        <w:pStyle w:val="MDPI16affiliation"/>
        <w:ind w:left="113" w:firstLine="0"/>
        <w:jc w:val="center"/>
        <w:rPr>
          <w:rFonts w:ascii="Times New Roman" w:hAnsi="Times New Roman"/>
          <w:i/>
          <w:color w:val="000000" w:themeColor="text1"/>
          <w:sz w:val="20"/>
          <w:szCs w:val="20"/>
          <w:lang w:val="en-GB"/>
        </w:rPr>
      </w:pPr>
      <w:r w:rsidRPr="00373D75">
        <w:rPr>
          <w:rFonts w:ascii="Times New Roman" w:hAnsi="Times New Roman"/>
          <w:i/>
          <w:color w:val="000000" w:themeColor="text1"/>
          <w:sz w:val="20"/>
          <w:szCs w:val="20"/>
          <w:vertAlign w:val="superscript"/>
          <w:lang w:val="en-GB" w:eastAsia="zh-CN"/>
        </w:rPr>
        <w:t>1</w:t>
      </w:r>
      <w:r w:rsidRPr="00373D75">
        <w:rPr>
          <w:rFonts w:ascii="Times New Roman" w:hAnsi="Times New Roman"/>
          <w:i/>
          <w:color w:val="000000" w:themeColor="text1"/>
          <w:sz w:val="20"/>
          <w:szCs w:val="20"/>
          <w:lang w:val="en-GB"/>
        </w:rPr>
        <w:t xml:space="preserve"> </w:t>
      </w:r>
      <w:r w:rsidRPr="00373D75">
        <w:rPr>
          <w:rFonts w:ascii="Times New Roman" w:hAnsi="Times New Roman"/>
          <w:i/>
          <w:color w:val="000000" w:themeColor="text1"/>
          <w:sz w:val="20"/>
          <w:szCs w:val="20"/>
          <w:lang w:val="en-GB" w:eastAsia="zh-CN"/>
        </w:rPr>
        <w:t>Department of Bioinformatics and Medical Engineering Asia University, Taichung, Taiwan</w:t>
      </w:r>
    </w:p>
    <w:p w:rsidR="008A4BC3" w:rsidRPr="00373D75" w:rsidRDefault="008A4BC3" w:rsidP="008A4BC3">
      <w:pPr>
        <w:pStyle w:val="MDPI16affiliation"/>
        <w:ind w:left="473" w:firstLine="0"/>
        <w:rPr>
          <w:rFonts w:ascii="Times New Roman" w:hAnsi="Times New Roman"/>
          <w:i/>
          <w:color w:val="000000" w:themeColor="text1"/>
          <w:sz w:val="20"/>
          <w:szCs w:val="20"/>
          <w:lang w:val="en-GB"/>
        </w:rPr>
      </w:pPr>
    </w:p>
    <w:p w:rsidR="008A4BC3" w:rsidRPr="00373D75" w:rsidRDefault="008A4BC3" w:rsidP="008A4BC3">
      <w:pPr>
        <w:pStyle w:val="MDPI16affiliation"/>
        <w:jc w:val="center"/>
        <w:rPr>
          <w:rFonts w:ascii="Times New Roman" w:hAnsi="Times New Roman"/>
          <w:i/>
          <w:color w:val="000000" w:themeColor="text1"/>
          <w:sz w:val="20"/>
          <w:szCs w:val="20"/>
          <w:lang w:val="en-GB" w:eastAsia="zh-CN"/>
        </w:rPr>
      </w:pPr>
      <w:r w:rsidRPr="00373D75">
        <w:rPr>
          <w:rFonts w:ascii="Times New Roman" w:hAnsi="Times New Roman"/>
          <w:i/>
          <w:color w:val="000000" w:themeColor="text1"/>
          <w:sz w:val="20"/>
          <w:szCs w:val="20"/>
          <w:vertAlign w:val="superscript"/>
          <w:lang w:val="en-GB"/>
        </w:rPr>
        <w:t>2</w:t>
      </w:r>
      <w:r w:rsidRPr="00373D75">
        <w:rPr>
          <w:rFonts w:ascii="Times New Roman" w:hAnsi="Times New Roman"/>
          <w:i/>
          <w:color w:val="000000" w:themeColor="text1"/>
          <w:sz w:val="20"/>
          <w:szCs w:val="20"/>
          <w:lang w:val="en-GB"/>
        </w:rPr>
        <w:tab/>
      </w:r>
      <w:r w:rsidRPr="00373D75">
        <w:rPr>
          <w:rFonts w:ascii="Times New Roman" w:hAnsi="Times New Roman"/>
          <w:i/>
          <w:color w:val="000000" w:themeColor="text1"/>
          <w:sz w:val="20"/>
          <w:szCs w:val="20"/>
          <w:lang w:val="en-GB" w:eastAsia="zh-CN"/>
        </w:rPr>
        <w:t>Department of Medical Research, China Medical University Hospital</w:t>
      </w:r>
      <w:r>
        <w:rPr>
          <w:rFonts w:ascii="Times New Roman" w:hAnsi="Times New Roman" w:hint="eastAsia"/>
          <w:i/>
          <w:color w:val="000000" w:themeColor="text1"/>
          <w:sz w:val="20"/>
          <w:szCs w:val="20"/>
          <w:lang w:val="en-GB" w:eastAsia="zh-CN"/>
        </w:rPr>
        <w:t>,</w:t>
      </w:r>
      <w:r w:rsidRPr="00373D75">
        <w:rPr>
          <w:rFonts w:ascii="Times New Roman" w:hAnsi="Times New Roman"/>
          <w:i/>
          <w:color w:val="000000" w:themeColor="text1"/>
          <w:sz w:val="20"/>
          <w:szCs w:val="20"/>
          <w:lang w:val="en-GB" w:eastAsia="zh-CN"/>
        </w:rPr>
        <w:t xml:space="preserve"> China Medical University, Taiwan</w:t>
      </w:r>
    </w:p>
    <w:p w:rsidR="008A4BC3" w:rsidRPr="00373D75" w:rsidRDefault="008A4BC3" w:rsidP="008A4BC3">
      <w:pPr>
        <w:pStyle w:val="MDPI16affiliation"/>
        <w:jc w:val="center"/>
        <w:rPr>
          <w:rFonts w:ascii="Times New Roman" w:hAnsi="Times New Roman"/>
          <w:i/>
          <w:color w:val="000000" w:themeColor="text1"/>
          <w:sz w:val="20"/>
          <w:szCs w:val="20"/>
          <w:lang w:val="en-GB"/>
        </w:rPr>
      </w:pPr>
      <w:r w:rsidRPr="00373D75">
        <w:rPr>
          <w:rFonts w:ascii="Times New Roman" w:hAnsi="Times New Roman"/>
          <w:i/>
          <w:color w:val="000000" w:themeColor="text1"/>
          <w:sz w:val="20"/>
          <w:szCs w:val="20"/>
          <w:vertAlign w:val="superscript"/>
          <w:lang w:val="en-GB"/>
        </w:rPr>
        <w:t>3</w:t>
      </w:r>
      <w:r w:rsidRPr="00373D75">
        <w:rPr>
          <w:rFonts w:ascii="Times New Roman" w:hAnsi="Times New Roman"/>
          <w:i/>
          <w:color w:val="000000" w:themeColor="text1"/>
          <w:sz w:val="20"/>
          <w:szCs w:val="20"/>
          <w:lang w:val="en-GB"/>
        </w:rPr>
        <w:tab/>
        <w:t xml:space="preserve">Department of Physics Chuo University, 1-13-27 Kasuga Bunky-ku, Tokyo 112-8551, Japan; </w:t>
      </w:r>
    </w:p>
    <w:p w:rsidR="008A4BC3" w:rsidRPr="00373D75" w:rsidRDefault="008A4BC3" w:rsidP="008A4BC3">
      <w:pPr>
        <w:pStyle w:val="MDPI16affiliation"/>
        <w:jc w:val="center"/>
        <w:rPr>
          <w:rFonts w:ascii="Times New Roman" w:hAnsi="Times New Roman"/>
          <w:i/>
          <w:color w:val="000000" w:themeColor="text1"/>
          <w:sz w:val="20"/>
          <w:szCs w:val="20"/>
          <w:lang w:val="en-GB"/>
        </w:rPr>
      </w:pPr>
    </w:p>
    <w:p w:rsidR="008A4BC3" w:rsidRPr="00373D75" w:rsidRDefault="008A4BC3" w:rsidP="008A4BC3">
      <w:pPr>
        <w:pStyle w:val="Affiliation"/>
        <w:spacing w:before="180" w:after="0"/>
        <w:rPr>
          <w:color w:val="000000" w:themeColor="text1"/>
          <w:sz w:val="20"/>
          <w:szCs w:val="20"/>
          <w:lang w:val="en-GB"/>
        </w:rPr>
      </w:pPr>
      <w:r w:rsidRPr="00373D75">
        <w:rPr>
          <w:i w:val="0"/>
          <w:color w:val="000000" w:themeColor="text1"/>
          <w:sz w:val="20"/>
          <w:szCs w:val="20"/>
          <w:vertAlign w:val="superscript"/>
          <w:lang w:val="en-GB"/>
        </w:rPr>
        <w:t>1</w:t>
      </w:r>
      <w:r w:rsidRPr="00373D75">
        <w:rPr>
          <w:lang w:val="en-GB"/>
        </w:rPr>
        <w:t xml:space="preserve"> </w:t>
      </w:r>
      <w:hyperlink r:id="rId7" w:history="1">
        <w:r w:rsidRPr="00373D75">
          <w:rPr>
            <w:rStyle w:val="a7"/>
            <w:snapToGrid/>
            <w:sz w:val="20"/>
            <w:szCs w:val="20"/>
            <w:lang w:val="en-GB"/>
          </w:rPr>
          <w:t>ppiddi@gmail.com</w:t>
        </w:r>
      </w:hyperlink>
      <w:r w:rsidRPr="00373D75">
        <w:rPr>
          <w:snapToGrid/>
          <w:color w:val="000000" w:themeColor="text1"/>
          <w:sz w:val="20"/>
          <w:szCs w:val="20"/>
          <w:lang w:val="en-GB"/>
        </w:rPr>
        <w:t xml:space="preserve"> </w:t>
      </w:r>
      <w:r w:rsidRPr="00373D75">
        <w:rPr>
          <w:i w:val="0"/>
          <w:snapToGrid/>
          <w:color w:val="000000" w:themeColor="text1"/>
          <w:sz w:val="20"/>
          <w:szCs w:val="20"/>
          <w:lang w:val="en-GB"/>
        </w:rPr>
        <w:t xml:space="preserve">    </w:t>
      </w:r>
      <w:r w:rsidRPr="00373D75">
        <w:rPr>
          <w:color w:val="000000" w:themeColor="text1"/>
          <w:sz w:val="24"/>
          <w:vertAlign w:val="superscript"/>
          <w:lang w:val="en-GB"/>
        </w:rPr>
        <w:t>3,</w:t>
      </w:r>
      <w:r w:rsidRPr="00373D75">
        <w:rPr>
          <w:color w:val="000000" w:themeColor="text1"/>
          <w:sz w:val="24"/>
          <w:lang w:val="en-GB"/>
        </w:rPr>
        <w:t>*</w:t>
      </w:r>
      <w:r w:rsidRPr="00373D75">
        <w:rPr>
          <w:i w:val="0"/>
          <w:snapToGrid/>
          <w:color w:val="000000" w:themeColor="text1"/>
          <w:sz w:val="20"/>
          <w:szCs w:val="20"/>
          <w:lang w:val="en-GB"/>
        </w:rPr>
        <w:t xml:space="preserve"> </w:t>
      </w:r>
      <w:hyperlink r:id="rId8" w:history="1">
        <w:r w:rsidRPr="00373D75">
          <w:rPr>
            <w:rStyle w:val="a7"/>
            <w:sz w:val="20"/>
            <w:szCs w:val="20"/>
            <w:lang w:val="en-GB"/>
          </w:rPr>
          <w:t>tag@granular.com</w:t>
        </w:r>
      </w:hyperlink>
    </w:p>
    <w:p w:rsidR="008A4BC3" w:rsidRPr="00373D75" w:rsidRDefault="008A4BC3" w:rsidP="008A4BC3">
      <w:pPr>
        <w:pStyle w:val="Affiliation"/>
        <w:spacing w:before="180" w:after="0"/>
        <w:rPr>
          <w:i w:val="0"/>
          <w:snapToGrid/>
          <w:color w:val="000000" w:themeColor="text1"/>
          <w:sz w:val="20"/>
          <w:szCs w:val="20"/>
          <w:lang w:val="en-GB"/>
        </w:rPr>
      </w:pPr>
      <w:r w:rsidRPr="00373D75">
        <w:rPr>
          <w:color w:val="000000" w:themeColor="text1"/>
          <w:sz w:val="20"/>
          <w:szCs w:val="20"/>
          <w:lang w:val="en-GB"/>
        </w:rPr>
        <w:t>* corresponding author</w:t>
      </w:r>
      <w:bookmarkStart w:id="0" w:name="_GoBack"/>
      <w:bookmarkEnd w:id="0"/>
    </w:p>
    <w:p w:rsidR="008A4BC3" w:rsidRDefault="008A4BC3" w:rsidP="00D24714">
      <w:pPr>
        <w:pStyle w:val="MDPI31text"/>
        <w:ind w:firstLine="0"/>
        <w:rPr>
          <w:b/>
          <w:color w:val="000000" w:themeColor="text1"/>
        </w:rPr>
      </w:pPr>
    </w:p>
    <w:p w:rsidR="00D24714" w:rsidRPr="006A6726" w:rsidRDefault="00D24714" w:rsidP="00D24714">
      <w:pPr>
        <w:pStyle w:val="MDPI31text"/>
        <w:ind w:firstLine="0"/>
        <w:rPr>
          <w:color w:val="000000" w:themeColor="text1"/>
          <w:spacing w:val="-2"/>
        </w:rPr>
      </w:pPr>
      <w:r>
        <w:rPr>
          <w:b/>
          <w:color w:val="000000" w:themeColor="text1"/>
        </w:rPr>
        <w:t>Table S1</w:t>
      </w:r>
      <w:r w:rsidRPr="006A6726">
        <w:rPr>
          <w:b/>
          <w:color w:val="000000" w:themeColor="text1"/>
        </w:rPr>
        <w:t xml:space="preserve">. </w:t>
      </w:r>
      <w:r w:rsidRPr="006A6726">
        <w:rPr>
          <w:color w:val="000000" w:themeColor="text1"/>
          <w:spacing w:val="-2"/>
        </w:rPr>
        <w:t>The top 10 oncogenic signatures of the 72 genes reported by the MSigDB. #Genes (K): the number of genes in each overexpressed gene set. # Genes in overlap (</w:t>
      </w:r>
      <w:r w:rsidRPr="006A6726">
        <w:rPr>
          <w:i/>
          <w:color w:val="000000" w:themeColor="text1"/>
          <w:spacing w:val="-2"/>
        </w:rPr>
        <w:t>k</w:t>
      </w:r>
      <w:r w:rsidRPr="006A6726">
        <w:rPr>
          <w:color w:val="000000" w:themeColor="text1"/>
          <w:spacing w:val="-2"/>
        </w:rPr>
        <w:t>): overlaps with genes selected via the TD</w:t>
      </w:r>
      <w:r w:rsidR="008A4BC3">
        <w:rPr>
          <w:color w:val="000000" w:themeColor="text1"/>
          <w:spacing w:val="-2"/>
        </w:rPr>
        <w:t xml:space="preserve">-based unsupervised FE method. 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915"/>
        <w:gridCol w:w="3191"/>
        <w:gridCol w:w="1123"/>
        <w:gridCol w:w="1001"/>
        <w:gridCol w:w="1274"/>
      </w:tblGrid>
      <w:tr w:rsidR="00D24714" w:rsidRPr="006A6726" w:rsidTr="001A26EE">
        <w:trPr>
          <w:jc w:val="center"/>
        </w:trPr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 xml:space="preserve">Gene Set Name 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[# Genes (K)]</w:t>
            </w:r>
          </w:p>
        </w:tc>
        <w:tc>
          <w:tcPr>
            <w:tcW w:w="3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Description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#Genes in overlap (</w:t>
            </w:r>
            <w:r w:rsidRPr="006A6726">
              <w:rPr>
                <w:b/>
                <w:i/>
                <w:color w:val="000000" w:themeColor="text1"/>
              </w:rPr>
              <w:t>k</w:t>
            </w:r>
            <w:r w:rsidRPr="006A6726">
              <w:rPr>
                <w:b/>
                <w:color w:val="000000" w:themeColor="text1"/>
              </w:rPr>
              <w:t>)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p-value 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FDR q-value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9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CAMP_UP.V1_UP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</w:t>
            </w:r>
            <w:hyperlink r:id="rId10" w:tooltip="download gene list" w:history="1">
              <w:r w:rsidRPr="006A6726">
                <w:rPr>
                  <w:color w:val="000000" w:themeColor="text1"/>
                  <w:spacing w:val="-2"/>
                  <w:szCs w:val="22"/>
                </w:rPr>
                <w:t>200</w:t>
              </w:r>
            </w:hyperlink>
            <w:r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up-regulated in primary thyrocyte cultures in response to cAMP signaling pathway activation by thyrotropin (TSH).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7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9.97 e-8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1.88 e-5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11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SNF5_DN.V1_DN</w:t>
              </w:r>
            </w:hyperlink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</w:t>
            </w:r>
            <w:hyperlink r:id="rId12" w:tooltip="download gene list" w:history="1">
              <w:r w:rsidRPr="006A6726">
                <w:rPr>
                  <w:color w:val="000000" w:themeColor="text1"/>
                  <w:spacing w:val="-2"/>
                  <w:szCs w:val="22"/>
                </w:rPr>
                <w:t>168</w:t>
              </w:r>
            </w:hyperlink>
            <w:r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down-regulated in MEF cells (embryonic fibroblasts) with knockout of SNF5 [Gene ID=6598] gene.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6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7.64 e-7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7.22 e-5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ESC_V6.5_UP_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LATE.V1_UP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[188]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up-regulated during the late stages of differentiation of embryoid bodies from V6.5 embryonic stem cells.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6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1.47 e-6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9.27 e-5</w:t>
            </w:r>
          </w:p>
        </w:tc>
      </w:tr>
      <w:tr w:rsidR="00D24714" w:rsidRPr="006A6726" w:rsidTr="001A26EE">
        <w:trPr>
          <w:trHeight w:val="1113"/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ESC_V6.5_UP_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 xml:space="preserve">EARLY.V1_DN 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</w:t>
            </w:r>
            <w:hyperlink r:id="rId13" w:tooltip="download gene list" w:history="1">
              <w:r w:rsidRPr="006A6726">
                <w:rPr>
                  <w:color w:val="000000" w:themeColor="text1"/>
                  <w:spacing w:val="-2"/>
                  <w:szCs w:val="22"/>
                </w:rPr>
                <w:t>175</w:t>
              </w:r>
            </w:hyperlink>
            <w:r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down-regulated during the early stages of differentiation of embryoid bodies from V6.5 embryonic stem cells.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5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1.98 e-5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8.54 e-4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ESC_J1_UP_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LATE.V1_UP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[189]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up-regulated during the late stages of differentiation of embryoid bodies from J1 embryonic stem cells.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5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2.86 e-5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8.54 e-4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14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SIRNA_EIF4GI_UP</w:t>
              </w:r>
            </w:hyperlink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</w:t>
            </w:r>
            <w:hyperlink r:id="rId15" w:tooltip="download gene list" w:history="1">
              <w:r w:rsidRPr="006A6726">
                <w:rPr>
                  <w:color w:val="000000" w:themeColor="text1"/>
                  <w:spacing w:val="-2"/>
                  <w:szCs w:val="22"/>
                </w:rPr>
                <w:t>95</w:t>
              </w:r>
            </w:hyperlink>
            <w:r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up-regulated in MCF10A cells vs knockdown of the EIF4G1 [Gene ID=1981] gene by RNAi.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3.11 e-5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8.54 e-4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16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P53_DN.V1_DN</w:t>
              </w:r>
            </w:hyperlink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</w:t>
            </w:r>
            <w:hyperlink r:id="rId17" w:tooltip="download gene list" w:history="1">
              <w:r w:rsidRPr="006A6726">
                <w:rPr>
                  <w:color w:val="000000" w:themeColor="text1"/>
                  <w:spacing w:val="-2"/>
                  <w:szCs w:val="22"/>
                </w:rPr>
                <w:t>193</w:t>
              </w:r>
            </w:hyperlink>
            <w:r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down-regulated in the NCI-60 panel of cell lines with mutated TP53 [Gene ID=7157].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5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3.16 e-5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8.54 e-4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18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MEL18_DN.V1_UP</w:t>
              </w:r>
            </w:hyperlink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</w:t>
            </w:r>
            <w:hyperlink r:id="rId19" w:tooltip="download gene list" w:history="1">
              <w:r w:rsidRPr="006A6726">
                <w:rPr>
                  <w:color w:val="000000" w:themeColor="text1"/>
                  <w:spacing w:val="-2"/>
                  <w:szCs w:val="22"/>
                </w:rPr>
                <w:t>141</w:t>
              </w:r>
            </w:hyperlink>
            <w:r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up-regulated in DAOY cells (medulloblastoma) upon knockdown of PCGF2 [Gene ID=7703] gene by RNAi.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1.45 e-4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3.42 e-3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20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LTE2_UP.V1_UP</w:t>
              </w:r>
            </w:hyperlink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</w:t>
            </w:r>
            <w:hyperlink r:id="rId21" w:tooltip="download gene list" w:history="1">
              <w:r w:rsidRPr="006A6726">
                <w:rPr>
                  <w:color w:val="000000" w:themeColor="text1"/>
                  <w:spacing w:val="-2"/>
                  <w:szCs w:val="22"/>
                </w:rPr>
                <w:t>188</w:t>
              </w:r>
            </w:hyperlink>
            <w:r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up-regulated in MCF-7 cells (breast cancer) positive for ESR1 [Gene ID=2099] MCF-7 cells (breast cancer) and long-term adapted for estrogen-independent growth.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4.33 e-4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8.51 e-3</w:t>
            </w:r>
          </w:p>
        </w:tc>
      </w:tr>
      <w:tr w:rsidR="00D24714" w:rsidRPr="006A6726" w:rsidTr="001A26EE">
        <w:trPr>
          <w:jc w:val="center"/>
        </w:trPr>
        <w:tc>
          <w:tcPr>
            <w:tcW w:w="1914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22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RPS14_DN.V1_UP</w:t>
              </w:r>
            </w:hyperlink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[</w:t>
            </w:r>
            <w:hyperlink r:id="rId23" w:tooltip="download gene list" w:history="1">
              <w:r w:rsidRPr="006A6726">
                <w:rPr>
                  <w:color w:val="000000" w:themeColor="text1"/>
                  <w:spacing w:val="-2"/>
                  <w:szCs w:val="22"/>
                </w:rPr>
                <w:t>190</w:t>
              </w:r>
            </w:hyperlink>
            <w:r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3530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Genes up-regulated in CD34</w:t>
            </w:r>
            <w:r w:rsidRPr="006A6726">
              <w:rPr>
                <w:color w:val="000000" w:themeColor="text1"/>
                <w:spacing w:val="-2"/>
                <w:szCs w:val="22"/>
                <w:vertAlign w:val="superscript"/>
              </w:rPr>
              <w:t xml:space="preserve">+ </w:t>
            </w:r>
            <w:r w:rsidRPr="006A6726">
              <w:rPr>
                <w:color w:val="000000" w:themeColor="text1"/>
                <w:spacing w:val="-2"/>
                <w:szCs w:val="22"/>
              </w:rPr>
              <w:t>hematopoietic progenitor cells after knockdown of RPS14 [Gene ID=6208] by RNAi.</w:t>
            </w:r>
          </w:p>
        </w:tc>
        <w:tc>
          <w:tcPr>
            <w:tcW w:w="1179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</w:t>
            </w:r>
          </w:p>
        </w:tc>
        <w:tc>
          <w:tcPr>
            <w:tcW w:w="1061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4.5 e-4</w:t>
            </w:r>
          </w:p>
        </w:tc>
        <w:tc>
          <w:tcPr>
            <w:tcW w:w="1376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8.51 e-3</w:t>
            </w:r>
          </w:p>
        </w:tc>
      </w:tr>
    </w:tbl>
    <w:p w:rsidR="00D24714" w:rsidRDefault="00D24714" w:rsidP="00D24714">
      <w:pPr>
        <w:pStyle w:val="MDPI71References"/>
        <w:numPr>
          <w:ilvl w:val="0"/>
          <w:numId w:val="0"/>
        </w:numPr>
        <w:spacing w:after="240" w:line="240" w:lineRule="auto"/>
        <w:rPr>
          <w:color w:val="000000" w:themeColor="text1"/>
        </w:rPr>
      </w:pPr>
    </w:p>
    <w:p w:rsidR="00D24714" w:rsidRPr="006A6726" w:rsidRDefault="00D24714" w:rsidP="00D24714">
      <w:pPr>
        <w:pStyle w:val="MDPI31text"/>
        <w:ind w:firstLine="0"/>
        <w:rPr>
          <w:color w:val="000000" w:themeColor="text1"/>
          <w:spacing w:val="-2"/>
        </w:rPr>
      </w:pPr>
      <w:r>
        <w:rPr>
          <w:b/>
          <w:color w:val="000000" w:themeColor="text1"/>
        </w:rPr>
        <w:t>Table S2</w:t>
      </w:r>
      <w:r w:rsidRPr="006A6726">
        <w:rPr>
          <w:b/>
          <w:color w:val="000000" w:themeColor="text1"/>
        </w:rPr>
        <w:t xml:space="preserve">. </w:t>
      </w:r>
      <w:r w:rsidRPr="006A6726">
        <w:rPr>
          <w:color w:val="000000" w:themeColor="text1"/>
          <w:spacing w:val="-2"/>
        </w:rPr>
        <w:t xml:space="preserve">The top 10 oncogenic signatures of the 72 genes reported by the MSigDB. #Genes (K): the number of genes in each overexpressed gene set. # Genes in overlap (k): overlaps with genes selected by TD-based unsupervised FE method. 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35"/>
        <w:gridCol w:w="1276"/>
        <w:gridCol w:w="992"/>
        <w:gridCol w:w="1015"/>
      </w:tblGrid>
      <w:tr w:rsidR="00D24714" w:rsidRPr="006A6726" w:rsidTr="001A26EE">
        <w:trPr>
          <w:jc w:val="center"/>
        </w:trPr>
        <w:tc>
          <w:tcPr>
            <w:tcW w:w="2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 xml:space="preserve">Gene Set Name 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[# Genes (K)]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Description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# Genes in overlap (k)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p-value 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FDR </w:t>
            </w:r>
          </w:p>
          <w:p w:rsidR="00D24714" w:rsidRPr="006A6726" w:rsidRDefault="00D24714" w:rsidP="001A26EE">
            <w:pPr>
              <w:pStyle w:val="MDPI42tablebody"/>
              <w:spacing w:line="240" w:lineRule="auto"/>
              <w:rPr>
                <w:b/>
                <w:color w:val="000000" w:themeColor="text1"/>
              </w:rPr>
            </w:pPr>
            <w:r w:rsidRPr="006A6726">
              <w:rPr>
                <w:b/>
                <w:color w:val="000000" w:themeColor="text1"/>
              </w:rPr>
              <w:t>q-value 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24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REACTOME_REGULATION_OF_INSULIN_LIKE_GR_GROWTH_FACTOR_IGF_TRANSPORT_AND_UPTAK</w:t>
              </w:r>
              <w:r w:rsidR="00D24714" w:rsidRPr="006A6726">
                <w:rPr>
                  <w:color w:val="000000" w:themeColor="text1"/>
                  <w:spacing w:val="-2"/>
                  <w:szCs w:val="22"/>
                </w:rPr>
                <w:br/>
                <w:t>TAKE_BY_INSULIN_LIKE_GROWTH_FACTOR_BIN</w:t>
              </w:r>
              <w:r w:rsidR="00D24714" w:rsidRPr="006A6726">
                <w:rPr>
                  <w:color w:val="000000" w:themeColor="text1"/>
                  <w:spacing w:val="-2"/>
                  <w:szCs w:val="22"/>
                </w:rPr>
                <w:br/>
                <w:t>BINDING_PROTEINS_IGFBPS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25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124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Regulation of insulin-like growth factor (IGF) transport and uptake by insulin-like growth factor binding proteins (IGFBPs)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12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9.03 e-18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1.35 e-14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26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REACTOME_CYTOKINE_SIGNALING_IN_IMMUNE_</w:t>
              </w:r>
              <w:r w:rsidR="00D24714" w:rsidRPr="006A6726">
                <w:rPr>
                  <w:color w:val="000000" w:themeColor="text1"/>
                  <w:spacing w:val="-2"/>
                  <w:szCs w:val="22"/>
                </w:rPr>
                <w:br/>
                <w:t>NE_SYSTEM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27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856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Cytokine signaling within the immune system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18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1.85 e-14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1.39 e-11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28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REACTOME_RESPONSE_TO_ELEVATED_PLATELET</w:t>
              </w:r>
              <w:r w:rsidR="00D24714" w:rsidRPr="006A6726">
                <w:rPr>
                  <w:color w:val="000000" w:themeColor="text1"/>
                  <w:spacing w:val="-2"/>
                  <w:szCs w:val="22"/>
                </w:rPr>
                <w:br/>
                <w:t>LET_CYTOSOLIC_CA2PLUS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29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132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Response to elevated platelet cytosolic Ca</w:t>
            </w:r>
            <w:r w:rsidRPr="006A6726">
              <w:rPr>
                <w:color w:val="000000" w:themeColor="text1"/>
                <w:spacing w:val="-2"/>
                <w:szCs w:val="22"/>
                <w:vertAlign w:val="superscript"/>
              </w:rPr>
              <w:t>2+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9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3.42 e-12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1.71 e-9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30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REACTOME_SIGNALING_BY_INTERLEUKINS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31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631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Signaling by interleukins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13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1.53 e-10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4.86 e-8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32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REACTOME_INNATE_IMMUNE_SYSTEM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33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1104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Innate immune system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16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1.62 e-10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4.86 e-8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34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REACTOME_PLATELET_ACTIVATION_SIGNALING</w:t>
              </w:r>
              <w:r w:rsidR="00D24714" w:rsidRPr="006A6726">
                <w:rPr>
                  <w:color w:val="000000" w:themeColor="text1"/>
                  <w:spacing w:val="-2"/>
                  <w:szCs w:val="22"/>
                </w:rPr>
                <w:br/>
                <w:t>ING_AND_AGGREGATION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35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260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Platelet activation, signaling and aggregation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9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1.45 e-9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3.63 e-7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36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REACTOME_ENDOSOMAL_VACUOLAR_PATHWAY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37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11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Endosomal/Vacuolar pathway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4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3.63 e-9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7.78 e-7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38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REACTOME_GLUCONEOGENESIS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39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34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gluconeogenesis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5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5.22 e-9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9.79 e-7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40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REACTOME_POST_TRANSLATIONAL_PROTEIN_MO</w:t>
              </w:r>
              <w:r w:rsidR="00D24714" w:rsidRPr="006A6726">
                <w:rPr>
                  <w:color w:val="000000" w:themeColor="text1"/>
                  <w:spacing w:val="-2"/>
                  <w:szCs w:val="22"/>
                </w:rPr>
                <w:br/>
                <w:t>_MODIFICATION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41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1429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Post-translational protein modification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16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6.56 e-9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1.09 e-6</w:t>
            </w:r>
          </w:p>
        </w:tc>
      </w:tr>
      <w:tr w:rsidR="00D24714" w:rsidRPr="006A6726" w:rsidTr="001A26EE">
        <w:trPr>
          <w:jc w:val="center"/>
        </w:trPr>
        <w:tc>
          <w:tcPr>
            <w:tcW w:w="2942" w:type="dxa"/>
            <w:shd w:val="clear" w:color="auto" w:fill="auto"/>
          </w:tcPr>
          <w:p w:rsidR="00D24714" w:rsidRPr="006A6726" w:rsidRDefault="00290A58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hyperlink r:id="rId42" w:tooltip="view geneset page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REACTOME_DISEASE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 [</w:t>
            </w:r>
            <w:hyperlink r:id="rId43" w:tooltip="download gene list" w:history="1">
              <w:r w:rsidR="00D24714" w:rsidRPr="006A6726">
                <w:rPr>
                  <w:color w:val="000000" w:themeColor="text1"/>
                  <w:spacing w:val="-2"/>
                  <w:szCs w:val="22"/>
                </w:rPr>
                <w:t>1075</w:t>
              </w:r>
            </w:hyperlink>
            <w:r w:rsidR="00D24714" w:rsidRPr="006A6726">
              <w:rPr>
                <w:color w:val="000000" w:themeColor="text1"/>
                <w:spacing w:val="-2"/>
                <w:szCs w:val="22"/>
              </w:rPr>
              <w:t>]</w:t>
            </w:r>
          </w:p>
        </w:tc>
        <w:tc>
          <w:tcPr>
            <w:tcW w:w="2835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Disease</w:t>
            </w:r>
          </w:p>
        </w:tc>
        <w:tc>
          <w:tcPr>
            <w:tcW w:w="1276" w:type="dxa"/>
            <w:shd w:val="clear" w:color="auto" w:fill="auto"/>
          </w:tcPr>
          <w:p w:rsidR="00D24714" w:rsidRPr="006A6726" w:rsidRDefault="00D24714" w:rsidP="001A26EE">
            <w:pPr>
              <w:pStyle w:val="MDPI42tablebody"/>
              <w:spacing w:line="240" w:lineRule="auto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14</w:t>
            </w:r>
          </w:p>
        </w:tc>
        <w:tc>
          <w:tcPr>
            <w:tcW w:w="992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1.02 e-8</w:t>
            </w:r>
          </w:p>
        </w:tc>
        <w:tc>
          <w:tcPr>
            <w:tcW w:w="1015" w:type="dxa"/>
          </w:tcPr>
          <w:p w:rsidR="00D24714" w:rsidRPr="006A6726" w:rsidRDefault="00D24714" w:rsidP="001A26EE">
            <w:pPr>
              <w:pStyle w:val="MDPI42tablebody"/>
              <w:spacing w:line="240" w:lineRule="auto"/>
              <w:jc w:val="left"/>
              <w:rPr>
                <w:color w:val="000000" w:themeColor="text1"/>
                <w:spacing w:val="-2"/>
                <w:szCs w:val="22"/>
              </w:rPr>
            </w:pPr>
            <w:r w:rsidRPr="006A6726">
              <w:rPr>
                <w:color w:val="000000" w:themeColor="text1"/>
                <w:spacing w:val="-2"/>
                <w:szCs w:val="22"/>
              </w:rPr>
              <w:t>1.53 e-6</w:t>
            </w:r>
          </w:p>
        </w:tc>
      </w:tr>
    </w:tbl>
    <w:p w:rsidR="00D24714" w:rsidRDefault="00D24714" w:rsidP="00D24714">
      <w:pPr>
        <w:pStyle w:val="MDPI71References"/>
        <w:numPr>
          <w:ilvl w:val="0"/>
          <w:numId w:val="0"/>
        </w:numPr>
        <w:spacing w:after="240" w:line="240" w:lineRule="auto"/>
        <w:rPr>
          <w:color w:val="000000" w:themeColor="text1"/>
        </w:rPr>
      </w:pPr>
    </w:p>
    <w:p w:rsidR="00D24714" w:rsidRPr="006A6726" w:rsidRDefault="00D24714" w:rsidP="00D24714">
      <w:pPr>
        <w:pStyle w:val="MDPI22heading2"/>
        <w:spacing w:before="0"/>
        <w:jc w:val="both"/>
        <w:rPr>
          <w:rFonts w:eastAsiaTheme="minorEastAsia"/>
          <w:i w:val="0"/>
          <w:noProof w:val="0"/>
          <w:color w:val="000000" w:themeColor="text1"/>
          <w:lang w:eastAsia="ja-JP"/>
        </w:rPr>
      </w:pPr>
      <w:r>
        <w:rPr>
          <w:rFonts w:eastAsiaTheme="minorEastAsia"/>
          <w:b/>
          <w:bCs/>
          <w:i w:val="0"/>
          <w:noProof w:val="0"/>
          <w:color w:val="000000" w:themeColor="text1"/>
          <w:lang w:eastAsia="ja-JP"/>
        </w:rPr>
        <w:t>Table S3</w:t>
      </w:r>
      <w:r w:rsidRPr="006A6726">
        <w:rPr>
          <w:rFonts w:eastAsiaTheme="minorEastAsia"/>
          <w:b/>
          <w:bCs/>
          <w:i w:val="0"/>
          <w:noProof w:val="0"/>
          <w:color w:val="000000" w:themeColor="text1"/>
          <w:lang w:eastAsia="ja-JP"/>
        </w:rPr>
        <w:t>.</w:t>
      </w:r>
      <w:r w:rsidRPr="006A6726">
        <w:rPr>
          <w:rFonts w:eastAsiaTheme="minorEastAsia"/>
          <w:i w:val="0"/>
          <w:noProof w:val="0"/>
          <w:color w:val="000000" w:themeColor="text1"/>
          <w:lang w:eastAsia="ja-JP"/>
        </w:rPr>
        <w:t xml:space="preserve"> Survival analysis of KIRC using OncoLnc </w:t>
      </w:r>
      <w:r w:rsidRPr="006A6726">
        <w:rPr>
          <w:rFonts w:eastAsiaTheme="minorEastAsia"/>
          <w:i w:val="0"/>
          <w:noProof w:val="0"/>
          <w:color w:val="000000" w:themeColor="text1"/>
          <w:lang w:eastAsia="ja-JP"/>
        </w:rPr>
        <w:fldChar w:fldCharType="begin"/>
      </w:r>
      <w:r>
        <w:rPr>
          <w:rFonts w:eastAsiaTheme="minorEastAsia"/>
          <w:i w:val="0"/>
          <w:noProof w:val="0"/>
          <w:color w:val="000000" w:themeColor="text1"/>
          <w:lang w:eastAsia="ja-JP"/>
        </w:rPr>
        <w:instrText xml:space="preserve"> ADDIN EN.CITE &lt;EndNote&gt;&lt;Cite&gt;&lt;Author&gt;Anaya&lt;/Author&gt;&lt;Year&gt;2016&lt;/Year&gt;&lt;RecNum&gt;247&lt;/RecNum&gt;&lt;DisplayText&gt;[31]&lt;/DisplayText&gt;&lt;record&gt;&lt;rec-number&gt;247&lt;/rec-number&gt;&lt;foreign-keys&gt;&lt;key app="EN" db-id="f2pz25zavx9tanefrx1xdxsksdxtpe2swff2" timestamp="1578285371"&gt;247&lt;/key&gt;&lt;/foreign-keys&gt;&lt;ref-type name="Journal Article"&gt;17&lt;/ref-type&gt;&lt;contributors&gt;&lt;authors&gt;&lt;author&gt;Anaya, Jordan&lt;/author&gt;&lt;/authors&gt;&lt;secondary-authors&gt;&lt;author&gt;Juan, Hsueh-Fen&lt;/author&gt;&lt;/secondary-authors&gt;&lt;/contributors&gt;&lt;titles&gt;&lt;title&gt;OncoLnc: linking TCGA survival data to mRNAs, miRNAs, and lncRNAs&lt;/title&gt;&lt;secondary-title&gt;PeerJ Computer Science&lt;/secondary-title&gt;&lt;alt-title&gt;PeerJ Computer Science&lt;/alt-title&gt;&lt;/titles&gt;&lt;periodical&gt;&lt;full-title&gt;PeerJ Computer Science&lt;/full-title&gt;&lt;/periodical&gt;&lt;alt-periodical&gt;&lt;full-title&gt;PeerJ Computer Science&lt;/full-title&gt;&lt;/alt-periodical&gt;&lt;pages&gt;e67&lt;/pages&gt;&lt;volume&gt;2&lt;/volume&gt;&lt;keywords&gt;&lt;keyword&gt;TCGA&lt;/keyword&gt;&lt;keyword&gt;Cancer&lt;/keyword&gt;&lt;keyword&gt;RNA-SEQ&lt;/keyword&gt;&lt;keyword&gt;mRNA&lt;/keyword&gt;&lt;keyword&gt;miRNA&lt;/keyword&gt;&lt;keyword&gt;lncRNA&lt;/keyword&gt;&lt;keyword&gt;Kaplan-Meier&lt;/keyword&gt;&lt;keyword&gt;Cox regression&lt;/keyword&gt;&lt;keyword&gt;Database&lt;/keyword&gt;&lt;/keywords&gt;&lt;dates&gt;&lt;year&gt;2016&lt;/year&gt;&lt;pub-dates&gt;&lt;date&gt;2016/06/13&lt;/date&gt;&lt;/pub-dates&gt;&lt;/dates&gt;&lt;isbn&gt;2376-5992&lt;/isbn&gt;&lt;urls&gt;&lt;related-urls&gt;&lt;url&gt;https://doi.org/10.7717/peerj-cs.67&lt;/url&gt;&lt;/related-urls&gt;&lt;/urls&gt;&lt;electronic-resource-num&gt;10.7717/peerj-cs.67&lt;/electronic-resource-num&gt;&lt;/record&gt;&lt;/Cite&gt;&lt;/EndNote&gt;</w:instrText>
      </w:r>
      <w:r w:rsidRPr="006A6726">
        <w:rPr>
          <w:rFonts w:eastAsiaTheme="minorEastAsia"/>
          <w:i w:val="0"/>
          <w:noProof w:val="0"/>
          <w:color w:val="000000" w:themeColor="text1"/>
          <w:lang w:eastAsia="ja-JP"/>
        </w:rPr>
        <w:fldChar w:fldCharType="separate"/>
      </w:r>
      <w:r>
        <w:rPr>
          <w:rFonts w:eastAsiaTheme="minorEastAsia"/>
          <w:i w:val="0"/>
          <w:color w:val="000000" w:themeColor="text1"/>
          <w:lang w:eastAsia="ja-JP"/>
        </w:rPr>
        <w:t>[31]</w:t>
      </w:r>
      <w:r w:rsidRPr="006A6726">
        <w:rPr>
          <w:rFonts w:eastAsiaTheme="minorEastAsia"/>
          <w:i w:val="0"/>
          <w:noProof w:val="0"/>
          <w:color w:val="000000" w:themeColor="text1"/>
          <w:lang w:eastAsia="ja-JP"/>
        </w:rPr>
        <w:fldChar w:fldCharType="end"/>
      </w:r>
      <w:r w:rsidRPr="006A6726">
        <w:rPr>
          <w:rFonts w:eastAsiaTheme="minorEastAsia"/>
          <w:i w:val="0"/>
          <w:noProof w:val="0"/>
          <w:color w:val="000000" w:themeColor="text1"/>
          <w:lang w:eastAsia="ja-JP"/>
        </w:rPr>
        <w:t xml:space="preserve"> (Kaplan plots are provided in the supplementary materials)</w:t>
      </w:r>
    </w:p>
    <w:tbl>
      <w:tblPr>
        <w:tblW w:w="9987" w:type="dxa"/>
        <w:tblInd w:w="-91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7"/>
        <w:gridCol w:w="850"/>
        <w:gridCol w:w="1134"/>
        <w:gridCol w:w="1134"/>
        <w:gridCol w:w="709"/>
        <w:gridCol w:w="1276"/>
        <w:gridCol w:w="1418"/>
        <w:gridCol w:w="708"/>
        <w:gridCol w:w="709"/>
        <w:gridCol w:w="992"/>
      </w:tblGrid>
      <w:tr w:rsidR="00D24714" w:rsidRPr="006A6726" w:rsidTr="001A26EE">
        <w:trPr>
          <w:trHeight w:val="255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714" w:rsidRPr="006A6726" w:rsidRDefault="00D24714" w:rsidP="001A26EE">
            <w:pPr>
              <w:rPr>
                <w:rFonts w:ascii="ＭＳ Ｐゴシック" w:eastAsia="Times New Roman" w:hAnsi="ＭＳ Ｐゴシック" w:cs="ＭＳ Ｐゴシック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Kaplan plot</w:t>
            </w:r>
          </w:p>
        </w:tc>
      </w:tr>
      <w:tr w:rsidR="00D24714" w:rsidRPr="006A6726" w:rsidTr="001A26EE">
        <w:trPr>
          <w:trHeight w:val="578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Gene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 xml:space="preserve">Cox Coeff.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 xml:space="preserve">P-value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 xml:space="preserve">FDR Corrected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 xml:space="preserve">Rank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Median Expression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 xml:space="preserve">Mean Expression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0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0"/>
                <w:lang w:eastAsia="ja-JP" w:bidi="en-US"/>
              </w:rPr>
              <w:t>Low (%)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0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0"/>
                <w:lang w:eastAsia="ja-JP" w:bidi="en-US"/>
              </w:rPr>
              <w:t>High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P-value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VWF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1.90E-04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1.41E-03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2253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23278.72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25958.34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3.99E-03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VEGFA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2.90E-03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1.19E-02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31629.77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35072.27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2.32E-02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TMBIM6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5.00E-03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1.82E-02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4583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27241.35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28733.19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1.34E-02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PODXL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8.00E-06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1.22E-04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1092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6659.17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7271.06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1.36E-06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PLVAP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7.10E-03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2.39E-02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4946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15470.76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17515.66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4.10E-04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PLIN2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6.20E-04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3.56E-03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2902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18947.56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22839.08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1.71E-05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PCK1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1.00E-04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8.58E-04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1931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1120.74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3037.73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7.84E-06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NDRG1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1.20E-02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3.61E-02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5506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50127.14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51689.99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2.72E-02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ITM2B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6.00E-04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3.47E-03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2880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34751.8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36807.63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1.36E-02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HSPA8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1.20E-03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5.90E-03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3363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17668.96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18139.95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1.04E-02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HLA-DRA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3.80E-03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1.46E-02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4304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29068.65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32924.27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4.22E-02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GATM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4.20E-04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2.61E-03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2683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5433.14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6800.94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3.09E-04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CYFIP2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2.20E-09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4.32E-07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3482.26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4051.73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9.88E-08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CDH16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4.40E-03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1.65E-02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4430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4093.23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4940.33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1.14E-03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CCND1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3.00E-03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1.22E-02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17278.68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19256.81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2.85E-04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ATP5B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1.10E-02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3.37E-02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5360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11450.7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13211.83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2.59E-03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ATP5A1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2.20E-03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9.54E-03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3812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7988.24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9278.65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2.86E-02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ATP1B1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1.50E-03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7.03E-03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3514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18741.07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21002.32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3.90E-02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ATP1A1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4.90E-05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4.98E-04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1634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12917.72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15392.31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2.34E-02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AQP1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4.30E-05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4.52E-04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1580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16717.87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19036.22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3.11E-08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APP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1.90E-05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2.36E-04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1329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32137.14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33051.3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1.33E-06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ALDOB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4.40E-05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4.61E-04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1587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467.22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3374.03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3.27E-06</w:t>
            </w:r>
          </w:p>
        </w:tc>
      </w:tr>
      <w:tr w:rsidR="00D24714" w:rsidRPr="006A6726" w:rsidTr="001A26EE">
        <w:trPr>
          <w:trHeight w:val="25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AIF1L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-0.2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1.50E-03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7.03E-03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3510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1984.01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2798.36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right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2.80E-02</w:t>
            </w:r>
          </w:p>
        </w:tc>
      </w:tr>
    </w:tbl>
    <w:p w:rsidR="00D24714" w:rsidRDefault="00D24714" w:rsidP="00D24714">
      <w:pPr>
        <w:pStyle w:val="MDPI71References"/>
        <w:numPr>
          <w:ilvl w:val="0"/>
          <w:numId w:val="0"/>
        </w:numPr>
        <w:spacing w:after="240" w:line="240" w:lineRule="auto"/>
        <w:ind w:left="397" w:hanging="397"/>
        <w:rPr>
          <w:color w:val="000000" w:themeColor="text1"/>
        </w:rPr>
      </w:pPr>
    </w:p>
    <w:p w:rsidR="00D24714" w:rsidRPr="006A6726" w:rsidRDefault="00D24714" w:rsidP="00D24714">
      <w:pPr>
        <w:pStyle w:val="MDPI22heading2"/>
        <w:spacing w:before="0"/>
        <w:jc w:val="both"/>
        <w:rPr>
          <w:rFonts w:eastAsiaTheme="minorEastAsia"/>
          <w:i w:val="0"/>
          <w:noProof w:val="0"/>
          <w:color w:val="000000" w:themeColor="text1"/>
          <w:lang w:eastAsia="ja-JP"/>
        </w:rPr>
      </w:pPr>
      <w:r>
        <w:rPr>
          <w:rFonts w:eastAsiaTheme="minorEastAsia"/>
          <w:b/>
          <w:bCs/>
          <w:i w:val="0"/>
          <w:noProof w:val="0"/>
          <w:color w:val="000000" w:themeColor="text1"/>
          <w:lang w:eastAsia="ja-JP"/>
        </w:rPr>
        <w:t>Table S4</w:t>
      </w:r>
      <w:r w:rsidRPr="006A6726">
        <w:rPr>
          <w:rFonts w:eastAsiaTheme="minorEastAsia"/>
          <w:b/>
          <w:bCs/>
          <w:i w:val="0"/>
          <w:noProof w:val="0"/>
          <w:color w:val="000000" w:themeColor="text1"/>
          <w:lang w:eastAsia="ja-JP"/>
        </w:rPr>
        <w:t>.</w:t>
      </w:r>
      <w:r w:rsidRPr="006A6726">
        <w:rPr>
          <w:rFonts w:eastAsiaTheme="minorEastAsia"/>
          <w:i w:val="0"/>
          <w:noProof w:val="0"/>
          <w:color w:val="000000" w:themeColor="text1"/>
          <w:lang w:eastAsia="ja-JP"/>
        </w:rPr>
        <w:t xml:space="preserve">  The top 10 enriched KEGG pathways predicted by DIANA-mirpath for the 11 identified miRNAs (P-values are corrected). The full list can be obtained from http://snf-515788.vm.okeanos.grnet.gr/#mirnas=hsa-miR-210-3p;hsa-miR-210-5p;hsa-miR-891a-3p;hsa-miR-891a-5p;hsa-miR-200c-5p;hsa-miR-200c-5p;hsa-miR-141-5p;hsa-miR-141-3p;hsa-miR-122-3p;hsa-miR-122-5p;hsa-miR-155-3p;hsa-miR-155-5p;hsa-miR-508-3p;hsa-miR-508-5p;hsa-miR-514a-3p;hsa-miR-514a-5p;hsa-miR-184&amp;methods=Tarbase;Tarbase;Tarbase;Tarbase;Tarbase;Tarbase;Tarbase;Tarbase;Tarbase;Tarbase;Tarbase;Tarbase;Tarbase;Tarbase;Tarbase;Tarbase;Tarbase&amp;selection=0</w:t>
      </w:r>
    </w:p>
    <w:tbl>
      <w:tblPr>
        <w:tblW w:w="73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61"/>
        <w:gridCol w:w="1587"/>
        <w:gridCol w:w="879"/>
        <w:gridCol w:w="1140"/>
      </w:tblGrid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KEGG pathway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P-value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#genes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#miRNAs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Chronic myeloid leukemia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5.90E-08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Proteoglycans in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3.67E-06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8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Prostate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2.58E-05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Pathways in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3.10E-05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10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Pancreatic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3.94E-05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Glioma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9.09E-05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Hepatitis B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9.11E-05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Small cell lung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0.0002621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38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Non-small cell lung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0.0002975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Colorectal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0.0002975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7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Endometrial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0.0007913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Viral carcinogenesis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0.0007913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8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Bladder cancer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0.001004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Melanoma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0.01584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Renal cell carcinoma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0.01613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5</w:t>
            </w:r>
          </w:p>
        </w:tc>
      </w:tr>
      <w:tr w:rsidR="00D24714" w:rsidRPr="006A6726" w:rsidTr="001A26EE">
        <w:trPr>
          <w:trHeight w:val="36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Hepatitis 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0.02652153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44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4714" w:rsidRPr="006A6726" w:rsidRDefault="00D24714" w:rsidP="001A26EE">
            <w:pPr>
              <w:jc w:val="center"/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</w:pPr>
            <w:r w:rsidRPr="006A6726">
              <w:rPr>
                <w:rFonts w:ascii="Palatino Linotype" w:eastAsiaTheme="minorEastAsia" w:hAnsi="Palatino Linotype"/>
                <w:snapToGrid w:val="0"/>
                <w:color w:val="000000" w:themeColor="text1"/>
                <w:sz w:val="20"/>
                <w:szCs w:val="22"/>
                <w:lang w:eastAsia="ja-JP" w:bidi="en-US"/>
              </w:rPr>
              <w:t>6</w:t>
            </w:r>
          </w:p>
        </w:tc>
      </w:tr>
    </w:tbl>
    <w:p w:rsidR="00D24714" w:rsidRDefault="00D24714" w:rsidP="00D24714">
      <w:pPr>
        <w:pStyle w:val="MDPI71References"/>
        <w:numPr>
          <w:ilvl w:val="0"/>
          <w:numId w:val="0"/>
        </w:numPr>
        <w:spacing w:after="240" w:line="240" w:lineRule="auto"/>
        <w:ind w:left="397" w:hanging="397"/>
        <w:rPr>
          <w:color w:val="000000" w:themeColor="text1"/>
        </w:rPr>
      </w:pPr>
    </w:p>
    <w:p w:rsidR="006B1DEF" w:rsidRDefault="00290A58"/>
    <w:sectPr w:rsidR="006B1D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A58" w:rsidRDefault="00290A58" w:rsidP="008A4BC3">
      <w:r>
        <w:separator/>
      </w:r>
    </w:p>
  </w:endnote>
  <w:endnote w:type="continuationSeparator" w:id="0">
    <w:p w:rsidR="00290A58" w:rsidRDefault="00290A58" w:rsidP="008A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A58" w:rsidRDefault="00290A58" w:rsidP="008A4BC3">
      <w:r>
        <w:separator/>
      </w:r>
    </w:p>
  </w:footnote>
  <w:footnote w:type="continuationSeparator" w:id="0">
    <w:p w:rsidR="00290A58" w:rsidRDefault="00290A58" w:rsidP="008A4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714"/>
    <w:rsid w:val="00290A58"/>
    <w:rsid w:val="007B1373"/>
    <w:rsid w:val="008A4BC3"/>
    <w:rsid w:val="00D24714"/>
    <w:rsid w:val="00DE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624CD3"/>
  <w15:chartTrackingRefBased/>
  <w15:docId w15:val="{01588ACE-391D-4A6F-8E9E-2CE93170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714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31text">
    <w:name w:val="MDPI_3.1_text"/>
    <w:qFormat/>
    <w:rsid w:val="00D24714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42tablebody">
    <w:name w:val="MDPI_4.2_table_body"/>
    <w:qFormat/>
    <w:rsid w:val="00D24714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22heading2">
    <w:name w:val="MDPI_2.2_heading2"/>
    <w:basedOn w:val="a"/>
    <w:qFormat/>
    <w:rsid w:val="00D24714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/>
      <w:noProof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a"/>
    <w:qFormat/>
    <w:rsid w:val="00D24714"/>
    <w:pPr>
      <w:numPr>
        <w:numId w:val="1"/>
      </w:numPr>
      <w:adjustRightInd w:val="0"/>
      <w:snapToGrid w:val="0"/>
      <w:spacing w:line="260" w:lineRule="atLeast"/>
      <w:ind w:left="425" w:hanging="425"/>
      <w:jc w:val="both"/>
    </w:pPr>
    <w:rPr>
      <w:rFonts w:ascii="Palatino Linotype" w:eastAsia="Times New Roman" w:hAnsi="Palatino Linotype"/>
      <w:snapToGrid w:val="0"/>
      <w:color w:val="000000"/>
      <w:sz w:val="18"/>
      <w:szCs w:val="20"/>
      <w:lang w:eastAsia="de-DE" w:bidi="en-US"/>
    </w:rPr>
  </w:style>
  <w:style w:type="paragraph" w:styleId="a3">
    <w:name w:val="header"/>
    <w:basedOn w:val="a"/>
    <w:link w:val="a4"/>
    <w:uiPriority w:val="99"/>
    <w:unhideWhenUsed/>
    <w:rsid w:val="008A4B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4BC3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A4B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4BC3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customStyle="1" w:styleId="MDPI12title">
    <w:name w:val="MDPI_1.2_title"/>
    <w:next w:val="MDPI13authornames"/>
    <w:qFormat/>
    <w:rsid w:val="008A4BC3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basedOn w:val="MDPI31text"/>
    <w:next w:val="a"/>
    <w:qFormat/>
    <w:rsid w:val="008A4BC3"/>
    <w:pPr>
      <w:spacing w:after="120"/>
      <w:ind w:firstLine="0"/>
      <w:jc w:val="left"/>
    </w:pPr>
    <w:rPr>
      <w:b/>
      <w:snapToGrid/>
    </w:rPr>
  </w:style>
  <w:style w:type="paragraph" w:customStyle="1" w:styleId="MDPI16affiliation">
    <w:name w:val="MDPI_1.6_affiliation"/>
    <w:basedOn w:val="a"/>
    <w:qFormat/>
    <w:rsid w:val="008A4BC3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paragraph" w:customStyle="1" w:styleId="MDPI37itemize">
    <w:name w:val="MDPI_3.7_itemize"/>
    <w:basedOn w:val="MDPI31text"/>
    <w:qFormat/>
    <w:rsid w:val="008A4BC3"/>
    <w:pPr>
      <w:numPr>
        <w:numId w:val="2"/>
      </w:numPr>
      <w:ind w:left="425" w:hanging="425"/>
    </w:pPr>
  </w:style>
  <w:style w:type="character" w:styleId="a7">
    <w:name w:val="Hyperlink"/>
    <w:uiPriority w:val="99"/>
    <w:unhideWhenUsed/>
    <w:rsid w:val="008A4BC3"/>
    <w:rPr>
      <w:color w:val="0563C1"/>
      <w:u w:val="single"/>
    </w:rPr>
  </w:style>
  <w:style w:type="paragraph" w:customStyle="1" w:styleId="Affiliation">
    <w:name w:val="Affiliation"/>
    <w:basedOn w:val="a"/>
    <w:rsid w:val="008A4BC3"/>
    <w:pPr>
      <w:spacing w:after="240" w:line="200" w:lineRule="exact"/>
      <w:jc w:val="center"/>
    </w:pPr>
    <w:rPr>
      <w:rFonts w:eastAsia="PMingLiU"/>
      <w:i/>
      <w:snapToGrid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oftware.broadinstitute.org/gsea/msigdb/download_geneset.jsp?geneSetName=ESC_V6.5_UP_EARLY.V1_DN&amp;fileType=grp" TargetMode="External"/><Relationship Id="rId18" Type="http://schemas.openxmlformats.org/officeDocument/2006/relationships/hyperlink" Target="http://software.broadinstitute.org/gsea/msigdb/geneset_page.jsp?geneSetName=MEL18_DN.V1_UP" TargetMode="External"/><Relationship Id="rId26" Type="http://schemas.openxmlformats.org/officeDocument/2006/relationships/hyperlink" Target="http://software.broadinstitute.org/gsea/msigdb/geneset_page.jsp?geneSetName=REACTOME_CYTOKINE_SIGNALING_IN_IMMUNE_SYSTEM" TargetMode="External"/><Relationship Id="rId39" Type="http://schemas.openxmlformats.org/officeDocument/2006/relationships/hyperlink" Target="http://software.broadinstitute.org/gsea/msigdb/download_geneset.jsp?geneSetName=REACTOME_GLUCONEOGENESIS&amp;fileType=grp" TargetMode="External"/><Relationship Id="rId21" Type="http://schemas.openxmlformats.org/officeDocument/2006/relationships/hyperlink" Target="http://software.broadinstitute.org/gsea/msigdb/download_geneset.jsp?geneSetName=LTE2_UP.V1_UP&amp;fileType=grp" TargetMode="External"/><Relationship Id="rId34" Type="http://schemas.openxmlformats.org/officeDocument/2006/relationships/hyperlink" Target="http://software.broadinstitute.org/gsea/msigdb/geneset_page.jsp?geneSetName=REACTOME_PLATELET_ACTIVATION_SIGNALING_AND_AGGREGATION" TargetMode="External"/><Relationship Id="rId42" Type="http://schemas.openxmlformats.org/officeDocument/2006/relationships/hyperlink" Target="http://software.broadinstitute.org/gsea/msigdb/geneset_page.jsp?geneSetName=REACTOME_DISEASE" TargetMode="External"/><Relationship Id="rId7" Type="http://schemas.openxmlformats.org/officeDocument/2006/relationships/hyperlink" Target="mailto:ppiddi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software.broadinstitute.org/gsea/msigdb/geneset_page.jsp?geneSetName=P53_DN.V1_DN" TargetMode="External"/><Relationship Id="rId29" Type="http://schemas.openxmlformats.org/officeDocument/2006/relationships/hyperlink" Target="http://software.broadinstitute.org/gsea/msigdb/download_geneset.jsp?geneSetName=REACTOME_RESPONSE_TO_ELEVATED_PLATELET_CYTOSOLIC_CA2PLUS&amp;fileType=gr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oftware.broadinstitute.org/gsea/msigdb/geneset_page.jsp?geneSetName=SNF5_DN.V1_DN" TargetMode="External"/><Relationship Id="rId24" Type="http://schemas.openxmlformats.org/officeDocument/2006/relationships/hyperlink" Target="http://software.broadinstitute.org/gsea/msigdb/geneset_page.jsp?geneSetName=REACTOME_REGULATION_OF_INSULIN_LIKE_GROWTH_FACTOR_IGF_TRANSPORT_AND_UPTAKE_BY_INSULIN_LIKE_GROWTH_FACTOR_BINDING_PROTEINS_IGFBPS" TargetMode="External"/><Relationship Id="rId32" Type="http://schemas.openxmlformats.org/officeDocument/2006/relationships/hyperlink" Target="http://software.broadinstitute.org/gsea/msigdb/geneset_page.jsp?geneSetName=REACTOME_INNATE_IMMUNE_SYSTEM" TargetMode="External"/><Relationship Id="rId37" Type="http://schemas.openxmlformats.org/officeDocument/2006/relationships/hyperlink" Target="http://software.broadinstitute.org/gsea/msigdb/download_geneset.jsp?geneSetName=REACTOME_ENDOSOMAL_VACUOLAR_PATHWAY&amp;fileType=grp" TargetMode="External"/><Relationship Id="rId40" Type="http://schemas.openxmlformats.org/officeDocument/2006/relationships/hyperlink" Target="http://software.broadinstitute.org/gsea/msigdb/geneset_page.jsp?geneSetName=REACTOME_POST_TRANSLATIONAL_PROTEIN_MODIFICATION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software.broadinstitute.org/gsea/msigdb/download_geneset.jsp?geneSetName=SIRNA_EIF4GI_UP&amp;fileType=grp" TargetMode="External"/><Relationship Id="rId23" Type="http://schemas.openxmlformats.org/officeDocument/2006/relationships/hyperlink" Target="http://software.broadinstitute.org/gsea/msigdb/download_geneset.jsp?geneSetName=RPS14_DN.V1_UP&amp;fileType=grp" TargetMode="External"/><Relationship Id="rId28" Type="http://schemas.openxmlformats.org/officeDocument/2006/relationships/hyperlink" Target="http://software.broadinstitute.org/gsea/msigdb/geneset_page.jsp?geneSetName=REACTOME_RESPONSE_TO_ELEVATED_PLATELET_CYTOSOLIC_CA2PLUS" TargetMode="External"/><Relationship Id="rId36" Type="http://schemas.openxmlformats.org/officeDocument/2006/relationships/hyperlink" Target="http://software.broadinstitute.org/gsea/msigdb/geneset_page.jsp?geneSetName=REACTOME_ENDOSOMAL_VACUOLAR_PATHWAY" TargetMode="External"/><Relationship Id="rId10" Type="http://schemas.openxmlformats.org/officeDocument/2006/relationships/hyperlink" Target="http://software.broadinstitute.org/gsea/msigdb/download_geneset.jsp?geneSetName=CAMP_UP.V1_UP&amp;fileType=grp" TargetMode="External"/><Relationship Id="rId19" Type="http://schemas.openxmlformats.org/officeDocument/2006/relationships/hyperlink" Target="http://software.broadinstitute.org/gsea/msigdb/download_geneset.jsp?geneSetName=MEL18_DN.V1_UP&amp;fileType=grp" TargetMode="External"/><Relationship Id="rId31" Type="http://schemas.openxmlformats.org/officeDocument/2006/relationships/hyperlink" Target="http://software.broadinstitute.org/gsea/msigdb/download_geneset.jsp?geneSetName=REACTOME_SIGNALING_BY_INTERLEUKINS&amp;fileType=grp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oftware.broadinstitute.org/gsea/msigdb/geneset_page.jsp?geneSetName=CAMP_UP.V1_UP" TargetMode="External"/><Relationship Id="rId14" Type="http://schemas.openxmlformats.org/officeDocument/2006/relationships/hyperlink" Target="http://software.broadinstitute.org/gsea/msigdb/geneset_page.jsp?geneSetName=SIRNA_EIF4GI_UP" TargetMode="External"/><Relationship Id="rId22" Type="http://schemas.openxmlformats.org/officeDocument/2006/relationships/hyperlink" Target="http://software.broadinstitute.org/gsea/msigdb/geneset_page.jsp?geneSetName=RPS14_DN.V1_UP" TargetMode="External"/><Relationship Id="rId27" Type="http://schemas.openxmlformats.org/officeDocument/2006/relationships/hyperlink" Target="http://software.broadinstitute.org/gsea/msigdb/download_geneset.jsp?geneSetName=REACTOME_CYTOKINE_SIGNALING_IN_IMMUNE_SYSTEM&amp;fileType=grp" TargetMode="External"/><Relationship Id="rId30" Type="http://schemas.openxmlformats.org/officeDocument/2006/relationships/hyperlink" Target="http://software.broadinstitute.org/gsea/msigdb/geneset_page.jsp?geneSetName=REACTOME_SIGNALING_BY_INTERLEUKINS" TargetMode="External"/><Relationship Id="rId35" Type="http://schemas.openxmlformats.org/officeDocument/2006/relationships/hyperlink" Target="http://software.broadinstitute.org/gsea/msigdb/download_geneset.jsp?geneSetName=REACTOME_PLATELET_ACTIVATION_SIGNALING_AND_AGGREGATION&amp;fileType=grp" TargetMode="External"/><Relationship Id="rId43" Type="http://schemas.openxmlformats.org/officeDocument/2006/relationships/hyperlink" Target="http://software.broadinstitute.org/gsea/msigdb/download_geneset.jsp?geneSetName=REACTOME_DISEASE&amp;fileType=grp" TargetMode="External"/><Relationship Id="rId8" Type="http://schemas.openxmlformats.org/officeDocument/2006/relationships/hyperlink" Target="mailto:tag@granular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oftware.broadinstitute.org/gsea/msigdb/download_geneset.jsp?geneSetName=SNF5_DN.V1_DN&amp;fileType=grp" TargetMode="External"/><Relationship Id="rId17" Type="http://schemas.openxmlformats.org/officeDocument/2006/relationships/hyperlink" Target="http://software.broadinstitute.org/gsea/msigdb/download_geneset.jsp?geneSetName=P53_DN.V1_DN&amp;fileType=grp" TargetMode="External"/><Relationship Id="rId25" Type="http://schemas.openxmlformats.org/officeDocument/2006/relationships/hyperlink" Target="http://software.broadinstitute.org/gsea/msigdb/download_geneset.jsp?geneSetName=REACTOME_REGULATION_OF_INSULIN_LIKE_GROWTH_FACTOR_IGF_TRANSPORT_AND_UPTAKE_BY_INSULIN_LIKE_GROWTH_FACTOR_BINDING_PROTEINS_IGFBPS&amp;fileType=grp" TargetMode="External"/><Relationship Id="rId33" Type="http://schemas.openxmlformats.org/officeDocument/2006/relationships/hyperlink" Target="http://software.broadinstitute.org/gsea/msigdb/download_geneset.jsp?geneSetName=REACTOME_INNATE_IMMUNE_SYSTEM&amp;fileType=grp" TargetMode="External"/><Relationship Id="rId38" Type="http://schemas.openxmlformats.org/officeDocument/2006/relationships/hyperlink" Target="http://software.broadinstitute.org/gsea/msigdb/geneset_page.jsp?geneSetName=REACTOME_GLUCONEOGENESIS" TargetMode="External"/><Relationship Id="rId20" Type="http://schemas.openxmlformats.org/officeDocument/2006/relationships/hyperlink" Target="http://software.broadinstitute.org/gsea/msigdb/geneset_page.jsp?geneSetName=LTE2_UP.V1_UP" TargetMode="External"/><Relationship Id="rId41" Type="http://schemas.openxmlformats.org/officeDocument/2006/relationships/hyperlink" Target="http://software.broadinstitute.org/gsea/msigdb/download_geneset.jsp?geneSetName=REACTOME_POST_TRANSLATIONAL_PROTEIN_MODIFICATION&amp;fileType=gr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2072</Words>
  <Characters>11817</Characters>
  <Application>Microsoft Office Word</Application>
  <DocSecurity>0</DocSecurity>
  <Lines>98</Lines>
  <Paragraphs>27</Paragraphs>
  <ScaleCrop>false</ScaleCrop>
  <Company/>
  <LinksUpToDate>false</LinksUpToDate>
  <CharactersWithSpaces>13862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田口 善弘</dc:creator>
  <cp:keywords/>
  <dc:description/>
  <cp:lastModifiedBy>田口 善弘</cp:lastModifiedBy>
  <cp:revision>2</cp:revision>
  <dcterms:created xsi:type="dcterms:W3CDTF">2020-06-23T23:27:00Z</dcterms:created>
  <dcterms:modified xsi:type="dcterms:W3CDTF">2020-07-14T05:07:00Z</dcterms:modified>
</cp:coreProperties>
</file>