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0ECCA3" w14:textId="77777777" w:rsidR="005E0530" w:rsidRDefault="005E0530" w:rsidP="005E0530">
      <w:pPr>
        <w:spacing w:line="480" w:lineRule="auto"/>
        <w:rPr>
          <w:rFonts w:ascii="Calibri" w:hAnsi="Calibri" w:cs="Calibri"/>
          <w:b/>
          <w:bCs/>
          <w:lang w:val="en-US"/>
        </w:rPr>
      </w:pPr>
      <w:r w:rsidRPr="00C31D5A">
        <w:rPr>
          <w:b/>
          <w:bCs/>
          <w:lang w:val="en-US"/>
        </w:rPr>
        <w:t xml:space="preserve">Fueling of a marine-terrestrial ecosystem </w:t>
      </w:r>
      <w:r w:rsidRPr="00C31D5A">
        <w:rPr>
          <w:rFonts w:ascii="Calibri" w:hAnsi="Calibri" w:cs="Calibri"/>
          <w:b/>
          <w:bCs/>
          <w:lang w:val="en-US"/>
        </w:rPr>
        <w:t>by a major seabird colony</w:t>
      </w:r>
    </w:p>
    <w:p w14:paraId="22CD55CB" w14:textId="77777777" w:rsidR="005E0530" w:rsidRPr="005E0530" w:rsidRDefault="005E0530" w:rsidP="005E0530">
      <w:pPr>
        <w:spacing w:line="480" w:lineRule="auto"/>
        <w:rPr>
          <w:rFonts w:ascii="Calibri" w:hAnsi="Calibri" w:cs="Calibri"/>
          <w:lang w:val="en-US"/>
        </w:rPr>
      </w:pPr>
      <w:r w:rsidRPr="005E0530">
        <w:rPr>
          <w:rFonts w:ascii="Calibri" w:hAnsi="Calibri" w:cs="Calibri"/>
          <w:lang w:val="en-US"/>
        </w:rPr>
        <w:t>Hentati-Sundberg, J., Raymond C. , Sköld, M., Svensson, O., Gustafsson, B. &amp; Bonaglia, S.</w:t>
      </w:r>
    </w:p>
    <w:p w14:paraId="1626568B" w14:textId="77777777" w:rsidR="00C31D5A" w:rsidRPr="00C31D5A" w:rsidRDefault="00C31D5A" w:rsidP="0074475E">
      <w:pPr>
        <w:spacing w:line="276" w:lineRule="auto"/>
        <w:jc w:val="center"/>
        <w:rPr>
          <w:b/>
          <w:sz w:val="28"/>
          <w:lang w:val="en-US"/>
        </w:rPr>
      </w:pPr>
    </w:p>
    <w:p w14:paraId="3072411B" w14:textId="7D7BEC54" w:rsidR="00CE73F4" w:rsidRPr="001B0D5E" w:rsidRDefault="00CE73F4" w:rsidP="0074475E">
      <w:pPr>
        <w:spacing w:line="276" w:lineRule="auto"/>
        <w:jc w:val="center"/>
        <w:rPr>
          <w:b/>
          <w:sz w:val="28"/>
          <w:lang w:val="en-US"/>
        </w:rPr>
      </w:pPr>
      <w:r w:rsidRPr="001B0D5E">
        <w:rPr>
          <w:b/>
          <w:sz w:val="28"/>
          <w:lang w:val="en-US"/>
        </w:rPr>
        <w:t>SUPPORTING INFORMATION</w:t>
      </w:r>
    </w:p>
    <w:p w14:paraId="2A38740A" w14:textId="77777777" w:rsidR="00CE73F4" w:rsidRDefault="00CE73F4" w:rsidP="00B27156">
      <w:pPr>
        <w:spacing w:line="276" w:lineRule="auto"/>
        <w:outlineLvl w:val="0"/>
        <w:rPr>
          <w:lang w:val="en-US"/>
        </w:rPr>
      </w:pPr>
    </w:p>
    <w:p w14:paraId="52C87C32" w14:textId="1C789337" w:rsidR="00CE73F4" w:rsidRPr="001B0D5E" w:rsidRDefault="00CE73F4" w:rsidP="00B27156">
      <w:pPr>
        <w:spacing w:line="276" w:lineRule="auto"/>
        <w:jc w:val="center"/>
        <w:outlineLvl w:val="0"/>
        <w:rPr>
          <w:b/>
          <w:lang w:val="en-US"/>
        </w:rPr>
      </w:pPr>
      <w:r>
        <w:rPr>
          <w:b/>
          <w:lang w:val="en-US"/>
        </w:rPr>
        <w:t xml:space="preserve">Calculation of seabird </w:t>
      </w:r>
      <w:r w:rsidR="00AD7A93">
        <w:rPr>
          <w:b/>
          <w:lang w:val="en-US"/>
        </w:rPr>
        <w:t xml:space="preserve">nutrient emissions </w:t>
      </w:r>
    </w:p>
    <w:p w14:paraId="2A452833" w14:textId="33549E4C" w:rsidR="00CE73F4" w:rsidRDefault="00CE73F4" w:rsidP="00B27156">
      <w:pPr>
        <w:spacing w:line="276" w:lineRule="auto"/>
        <w:rPr>
          <w:rFonts w:ascii="Calibri" w:hAnsi="Calibri" w:cs="Calibri"/>
          <w:lang w:val="en-US"/>
        </w:rPr>
      </w:pPr>
    </w:p>
    <w:p w14:paraId="5049900B" w14:textId="514509B3" w:rsidR="00AD7A93" w:rsidRDefault="00AD7A93" w:rsidP="00B27156">
      <w:pPr>
        <w:spacing w:line="276" w:lineRule="auto"/>
        <w:rPr>
          <w:rFonts w:ascii="Calibri" w:hAnsi="Calibri" w:cs="Calibri"/>
          <w:lang w:val="en-US"/>
        </w:rPr>
      </w:pPr>
    </w:p>
    <w:p w14:paraId="60920678" w14:textId="307EA595" w:rsidR="00AD7A93" w:rsidRDefault="00B27156" w:rsidP="00B27156">
      <w:pPr>
        <w:spacing w:line="276" w:lineRule="auto"/>
        <w:rPr>
          <w:rFonts w:ascii="Calibri" w:hAnsi="Calibri" w:cs="Calibri"/>
          <w:lang w:val="en-US"/>
        </w:rPr>
      </w:pPr>
      <w:r w:rsidRPr="00B27156">
        <w:rPr>
          <w:rFonts w:ascii="Calibri" w:hAnsi="Calibri" w:cs="Calibri"/>
          <w:b/>
          <w:lang w:val="en-US"/>
        </w:rPr>
        <w:t>Table S1.</w:t>
      </w:r>
      <w:r>
        <w:rPr>
          <w:rFonts w:ascii="Calibri" w:hAnsi="Calibri" w:cs="Calibri"/>
          <w:lang w:val="en-US"/>
        </w:rPr>
        <w:t xml:space="preserve"> N and P concentrations in seabird feaces from a number of previous studies. </w:t>
      </w:r>
    </w:p>
    <w:p w14:paraId="05A30A84" w14:textId="77777777" w:rsidR="00B82F8B" w:rsidRDefault="00B82F8B" w:rsidP="00B27156">
      <w:pPr>
        <w:spacing w:line="276" w:lineRule="auto"/>
        <w:rPr>
          <w:rFonts w:ascii="Calibri" w:hAnsi="Calibri" w:cs="Calibri"/>
          <w:lang w:val="en-US"/>
        </w:rPr>
      </w:pPr>
    </w:p>
    <w:tbl>
      <w:tblPr>
        <w:tblW w:w="8448" w:type="dxa"/>
        <w:tblCellMar>
          <w:left w:w="70" w:type="dxa"/>
          <w:right w:w="70" w:type="dxa"/>
        </w:tblCellMar>
        <w:tblLook w:val="04A0" w:firstRow="1" w:lastRow="0" w:firstColumn="1" w:lastColumn="0" w:noHBand="0" w:noVBand="1"/>
      </w:tblPr>
      <w:tblGrid>
        <w:gridCol w:w="2100"/>
        <w:gridCol w:w="1063"/>
        <w:gridCol w:w="1460"/>
        <w:gridCol w:w="1460"/>
        <w:gridCol w:w="2365"/>
      </w:tblGrid>
      <w:tr w:rsidR="001C3D2D" w:rsidRPr="001C3D2D" w14:paraId="2AAB86AB" w14:textId="77777777" w:rsidTr="00C84B82">
        <w:trPr>
          <w:trHeight w:val="320"/>
        </w:trPr>
        <w:tc>
          <w:tcPr>
            <w:tcW w:w="2100" w:type="dxa"/>
            <w:tcBorders>
              <w:top w:val="single" w:sz="4" w:space="0" w:color="auto"/>
              <w:left w:val="nil"/>
              <w:bottom w:val="single" w:sz="4" w:space="0" w:color="auto"/>
              <w:right w:val="nil"/>
            </w:tcBorders>
            <w:shd w:val="clear" w:color="auto" w:fill="auto"/>
            <w:noWrap/>
            <w:vAlign w:val="bottom"/>
            <w:hideMark/>
          </w:tcPr>
          <w:p w14:paraId="15AF1890" w14:textId="77777777" w:rsidR="001C3D2D" w:rsidRPr="001C3D2D" w:rsidRDefault="001C3D2D" w:rsidP="00B27156">
            <w:pPr>
              <w:spacing w:line="276" w:lineRule="auto"/>
              <w:rPr>
                <w:rFonts w:ascii="Arial" w:eastAsia="Times New Roman" w:hAnsi="Arial" w:cs="Arial"/>
                <w:b/>
                <w:bCs/>
                <w:color w:val="000000"/>
                <w:sz w:val="20"/>
                <w:szCs w:val="20"/>
                <w:lang w:eastAsia="sv-SE"/>
              </w:rPr>
            </w:pPr>
            <w:r w:rsidRPr="001C3D2D">
              <w:rPr>
                <w:rFonts w:ascii="Arial" w:eastAsia="Times New Roman" w:hAnsi="Arial" w:cs="Arial"/>
                <w:b/>
                <w:bCs/>
                <w:color w:val="000000"/>
                <w:sz w:val="20"/>
                <w:szCs w:val="20"/>
                <w:lang w:eastAsia="sv-SE"/>
              </w:rPr>
              <w:t xml:space="preserve">Species </w:t>
            </w:r>
          </w:p>
        </w:tc>
        <w:tc>
          <w:tcPr>
            <w:tcW w:w="1063" w:type="dxa"/>
            <w:tcBorders>
              <w:top w:val="single" w:sz="4" w:space="0" w:color="auto"/>
              <w:left w:val="nil"/>
              <w:bottom w:val="single" w:sz="4" w:space="0" w:color="auto"/>
              <w:right w:val="nil"/>
            </w:tcBorders>
            <w:shd w:val="clear" w:color="auto" w:fill="auto"/>
            <w:noWrap/>
            <w:vAlign w:val="bottom"/>
            <w:hideMark/>
          </w:tcPr>
          <w:p w14:paraId="794E155D" w14:textId="4BB43562" w:rsidR="001C3D2D" w:rsidRPr="001C3D2D" w:rsidRDefault="001C3D2D" w:rsidP="00B27156">
            <w:pPr>
              <w:spacing w:line="276" w:lineRule="auto"/>
              <w:rPr>
                <w:rFonts w:ascii="Arial" w:eastAsia="Times New Roman" w:hAnsi="Arial" w:cs="Arial"/>
                <w:b/>
                <w:bCs/>
                <w:color w:val="000000"/>
                <w:sz w:val="20"/>
                <w:szCs w:val="20"/>
                <w:lang w:eastAsia="sv-SE"/>
              </w:rPr>
            </w:pPr>
            <w:r>
              <w:rPr>
                <w:rFonts w:ascii="Arial" w:eastAsia="Times New Roman" w:hAnsi="Arial" w:cs="Arial"/>
                <w:b/>
                <w:bCs/>
                <w:color w:val="000000"/>
                <w:sz w:val="20"/>
                <w:szCs w:val="20"/>
                <w:lang w:eastAsia="sv-SE"/>
              </w:rPr>
              <w:t>Dataset</w:t>
            </w:r>
          </w:p>
        </w:tc>
        <w:tc>
          <w:tcPr>
            <w:tcW w:w="1460" w:type="dxa"/>
            <w:tcBorders>
              <w:top w:val="single" w:sz="4" w:space="0" w:color="auto"/>
              <w:left w:val="nil"/>
              <w:bottom w:val="single" w:sz="4" w:space="0" w:color="auto"/>
              <w:right w:val="nil"/>
            </w:tcBorders>
            <w:shd w:val="clear" w:color="auto" w:fill="auto"/>
            <w:noWrap/>
            <w:vAlign w:val="bottom"/>
            <w:hideMark/>
          </w:tcPr>
          <w:p w14:paraId="439694CF" w14:textId="77777777" w:rsidR="001C3D2D" w:rsidRPr="001C3D2D" w:rsidRDefault="001C3D2D" w:rsidP="00B27156">
            <w:pPr>
              <w:spacing w:line="276" w:lineRule="auto"/>
              <w:rPr>
                <w:rFonts w:ascii="Arial" w:eastAsia="Times New Roman" w:hAnsi="Arial" w:cs="Arial"/>
                <w:b/>
                <w:bCs/>
                <w:color w:val="000000"/>
                <w:sz w:val="20"/>
                <w:szCs w:val="20"/>
                <w:lang w:eastAsia="sv-SE"/>
              </w:rPr>
            </w:pPr>
            <w:r w:rsidRPr="001C3D2D">
              <w:rPr>
                <w:rFonts w:ascii="Arial" w:eastAsia="Times New Roman" w:hAnsi="Arial" w:cs="Arial"/>
                <w:b/>
                <w:bCs/>
                <w:color w:val="000000"/>
                <w:sz w:val="20"/>
                <w:szCs w:val="20"/>
                <w:lang w:eastAsia="sv-SE"/>
              </w:rPr>
              <w:t>% N</w:t>
            </w:r>
          </w:p>
        </w:tc>
        <w:tc>
          <w:tcPr>
            <w:tcW w:w="1460" w:type="dxa"/>
            <w:tcBorders>
              <w:top w:val="single" w:sz="4" w:space="0" w:color="auto"/>
              <w:left w:val="nil"/>
              <w:bottom w:val="single" w:sz="4" w:space="0" w:color="auto"/>
              <w:right w:val="nil"/>
            </w:tcBorders>
            <w:shd w:val="clear" w:color="auto" w:fill="auto"/>
            <w:noWrap/>
            <w:vAlign w:val="bottom"/>
            <w:hideMark/>
          </w:tcPr>
          <w:p w14:paraId="02D7A524" w14:textId="77777777" w:rsidR="001C3D2D" w:rsidRPr="001C3D2D" w:rsidRDefault="001C3D2D" w:rsidP="00B27156">
            <w:pPr>
              <w:spacing w:line="276" w:lineRule="auto"/>
              <w:rPr>
                <w:rFonts w:ascii="Arial" w:eastAsia="Times New Roman" w:hAnsi="Arial" w:cs="Arial"/>
                <w:b/>
                <w:bCs/>
                <w:color w:val="000000"/>
                <w:sz w:val="20"/>
                <w:szCs w:val="20"/>
                <w:lang w:eastAsia="sv-SE"/>
              </w:rPr>
            </w:pPr>
            <w:r w:rsidRPr="001C3D2D">
              <w:rPr>
                <w:rFonts w:ascii="Arial" w:eastAsia="Times New Roman" w:hAnsi="Arial" w:cs="Arial"/>
                <w:b/>
                <w:bCs/>
                <w:color w:val="000000"/>
                <w:sz w:val="20"/>
                <w:szCs w:val="20"/>
                <w:lang w:eastAsia="sv-SE"/>
              </w:rPr>
              <w:t>% P</w:t>
            </w:r>
          </w:p>
        </w:tc>
        <w:tc>
          <w:tcPr>
            <w:tcW w:w="2365" w:type="dxa"/>
            <w:tcBorders>
              <w:top w:val="single" w:sz="4" w:space="0" w:color="auto"/>
              <w:left w:val="nil"/>
              <w:bottom w:val="single" w:sz="4" w:space="0" w:color="auto"/>
              <w:right w:val="nil"/>
            </w:tcBorders>
            <w:shd w:val="clear" w:color="auto" w:fill="auto"/>
            <w:noWrap/>
            <w:vAlign w:val="bottom"/>
            <w:hideMark/>
          </w:tcPr>
          <w:p w14:paraId="25E704AF" w14:textId="5039599F" w:rsidR="001C3D2D" w:rsidRPr="001C3D2D" w:rsidRDefault="006E4B8F" w:rsidP="00B27156">
            <w:pPr>
              <w:spacing w:line="276" w:lineRule="auto"/>
              <w:rPr>
                <w:rFonts w:ascii="Arial" w:eastAsia="Times New Roman" w:hAnsi="Arial" w:cs="Arial"/>
                <w:b/>
                <w:bCs/>
                <w:color w:val="000000"/>
                <w:sz w:val="20"/>
                <w:szCs w:val="20"/>
                <w:lang w:eastAsia="sv-SE"/>
              </w:rPr>
            </w:pPr>
            <w:r>
              <w:rPr>
                <w:rFonts w:ascii="Arial" w:eastAsia="Times New Roman" w:hAnsi="Arial" w:cs="Arial"/>
                <w:b/>
                <w:bCs/>
                <w:color w:val="000000"/>
                <w:sz w:val="20"/>
                <w:szCs w:val="20"/>
                <w:lang w:eastAsia="sv-SE"/>
              </w:rPr>
              <w:t>Reference</w:t>
            </w:r>
          </w:p>
        </w:tc>
      </w:tr>
      <w:tr w:rsidR="001C3D2D" w:rsidRPr="001C3D2D" w14:paraId="0A7E1C55" w14:textId="77777777" w:rsidTr="00C84B82">
        <w:trPr>
          <w:trHeight w:val="320"/>
        </w:trPr>
        <w:tc>
          <w:tcPr>
            <w:tcW w:w="2100" w:type="dxa"/>
            <w:tcBorders>
              <w:top w:val="single" w:sz="4" w:space="0" w:color="auto"/>
              <w:left w:val="nil"/>
              <w:bottom w:val="nil"/>
              <w:right w:val="nil"/>
            </w:tcBorders>
            <w:shd w:val="clear" w:color="auto" w:fill="auto"/>
            <w:noWrap/>
            <w:vAlign w:val="bottom"/>
            <w:hideMark/>
          </w:tcPr>
          <w:p w14:paraId="115A177B" w14:textId="77777777" w:rsidR="001C3D2D" w:rsidRPr="001C3D2D" w:rsidRDefault="001C3D2D" w:rsidP="00B27156">
            <w:pPr>
              <w:spacing w:line="276" w:lineRule="auto"/>
              <w:rPr>
                <w:rFonts w:ascii="Arial" w:eastAsia="Times New Roman" w:hAnsi="Arial" w:cs="Arial"/>
                <w:color w:val="000000"/>
                <w:sz w:val="20"/>
                <w:szCs w:val="20"/>
                <w:lang w:eastAsia="sv-SE"/>
              </w:rPr>
            </w:pPr>
            <w:r w:rsidRPr="001C3D2D">
              <w:rPr>
                <w:rFonts w:ascii="Arial" w:eastAsia="Times New Roman" w:hAnsi="Arial" w:cs="Arial"/>
                <w:color w:val="000000"/>
                <w:sz w:val="20"/>
                <w:szCs w:val="20"/>
                <w:lang w:eastAsia="sv-SE"/>
              </w:rPr>
              <w:t>Common guillemot</w:t>
            </w:r>
          </w:p>
        </w:tc>
        <w:tc>
          <w:tcPr>
            <w:tcW w:w="1063" w:type="dxa"/>
            <w:tcBorders>
              <w:top w:val="single" w:sz="4" w:space="0" w:color="auto"/>
              <w:left w:val="nil"/>
              <w:bottom w:val="nil"/>
              <w:right w:val="nil"/>
            </w:tcBorders>
            <w:shd w:val="clear" w:color="auto" w:fill="auto"/>
            <w:noWrap/>
            <w:vAlign w:val="bottom"/>
            <w:hideMark/>
          </w:tcPr>
          <w:p w14:paraId="4843767E" w14:textId="77777777" w:rsidR="001C3D2D" w:rsidRPr="001C3D2D" w:rsidRDefault="001C3D2D" w:rsidP="00B27156">
            <w:pPr>
              <w:spacing w:line="276" w:lineRule="auto"/>
              <w:rPr>
                <w:rFonts w:ascii="Arial" w:eastAsia="Times New Roman" w:hAnsi="Arial" w:cs="Arial"/>
                <w:color w:val="000000"/>
                <w:sz w:val="20"/>
                <w:szCs w:val="20"/>
                <w:lang w:eastAsia="sv-SE"/>
              </w:rPr>
            </w:pPr>
          </w:p>
        </w:tc>
        <w:tc>
          <w:tcPr>
            <w:tcW w:w="1460" w:type="dxa"/>
            <w:tcBorders>
              <w:top w:val="single" w:sz="4" w:space="0" w:color="auto"/>
              <w:left w:val="nil"/>
              <w:bottom w:val="nil"/>
              <w:right w:val="nil"/>
            </w:tcBorders>
            <w:shd w:val="clear" w:color="auto" w:fill="auto"/>
            <w:noWrap/>
            <w:vAlign w:val="bottom"/>
            <w:hideMark/>
          </w:tcPr>
          <w:p w14:paraId="5F258B13" w14:textId="77777777" w:rsidR="001C3D2D" w:rsidRPr="001C3D2D" w:rsidRDefault="001C3D2D" w:rsidP="00B27156">
            <w:pPr>
              <w:spacing w:line="276" w:lineRule="auto"/>
              <w:jc w:val="center"/>
              <w:rPr>
                <w:rFonts w:ascii="Arial" w:eastAsia="Times New Roman" w:hAnsi="Arial" w:cs="Arial"/>
                <w:color w:val="000000"/>
                <w:sz w:val="20"/>
                <w:szCs w:val="20"/>
                <w:lang w:eastAsia="sv-SE"/>
              </w:rPr>
            </w:pPr>
            <w:r w:rsidRPr="001C3D2D">
              <w:rPr>
                <w:rFonts w:ascii="Arial" w:eastAsia="Times New Roman" w:hAnsi="Arial" w:cs="Arial"/>
                <w:color w:val="000000"/>
                <w:sz w:val="20"/>
                <w:szCs w:val="20"/>
                <w:lang w:eastAsia="sv-SE"/>
              </w:rPr>
              <w:t>22.2</w:t>
            </w:r>
          </w:p>
        </w:tc>
        <w:tc>
          <w:tcPr>
            <w:tcW w:w="1460" w:type="dxa"/>
            <w:tcBorders>
              <w:top w:val="single" w:sz="4" w:space="0" w:color="auto"/>
              <w:left w:val="nil"/>
              <w:bottom w:val="nil"/>
              <w:right w:val="nil"/>
            </w:tcBorders>
            <w:shd w:val="clear" w:color="auto" w:fill="auto"/>
            <w:noWrap/>
            <w:vAlign w:val="bottom"/>
            <w:hideMark/>
          </w:tcPr>
          <w:p w14:paraId="3E5546CC" w14:textId="77777777" w:rsidR="001C3D2D" w:rsidRPr="001C3D2D" w:rsidRDefault="001C3D2D" w:rsidP="00B27156">
            <w:pPr>
              <w:spacing w:line="276" w:lineRule="auto"/>
              <w:jc w:val="center"/>
              <w:rPr>
                <w:rFonts w:ascii="Arial" w:eastAsia="Times New Roman" w:hAnsi="Arial" w:cs="Arial"/>
                <w:color w:val="000000"/>
                <w:sz w:val="20"/>
                <w:szCs w:val="20"/>
                <w:lang w:eastAsia="sv-SE"/>
              </w:rPr>
            </w:pPr>
          </w:p>
        </w:tc>
        <w:tc>
          <w:tcPr>
            <w:tcW w:w="2365" w:type="dxa"/>
            <w:tcBorders>
              <w:top w:val="single" w:sz="4" w:space="0" w:color="auto"/>
              <w:left w:val="nil"/>
              <w:bottom w:val="nil"/>
              <w:right w:val="nil"/>
            </w:tcBorders>
            <w:shd w:val="clear" w:color="auto" w:fill="auto"/>
            <w:noWrap/>
            <w:vAlign w:val="bottom"/>
            <w:hideMark/>
          </w:tcPr>
          <w:p w14:paraId="6889D35A" w14:textId="2019F10D" w:rsidR="001C3D2D" w:rsidRPr="001C3D2D" w:rsidRDefault="00C84B82" w:rsidP="00B27156">
            <w:pPr>
              <w:spacing w:line="276" w:lineRule="auto"/>
              <w:rPr>
                <w:rFonts w:ascii="Arial" w:eastAsia="Times New Roman" w:hAnsi="Arial" w:cs="Arial"/>
                <w:color w:val="000000"/>
                <w:sz w:val="20"/>
                <w:szCs w:val="20"/>
                <w:lang w:eastAsia="sv-SE"/>
              </w:rPr>
            </w:pPr>
            <w:r>
              <w:rPr>
                <w:rFonts w:ascii="Arial" w:eastAsia="Times New Roman" w:hAnsi="Arial" w:cs="Arial"/>
                <w:color w:val="000000"/>
                <w:sz w:val="20"/>
                <w:szCs w:val="20"/>
                <w:lang w:eastAsia="sv-SE"/>
              </w:rPr>
              <w:fldChar w:fldCharType="begin" w:fldLock="1"/>
            </w:r>
            <w:r w:rsidR="00315A3A">
              <w:rPr>
                <w:rFonts w:ascii="Arial" w:eastAsia="Times New Roman" w:hAnsi="Arial" w:cs="Arial"/>
                <w:color w:val="000000"/>
                <w:sz w:val="20"/>
                <w:szCs w:val="20"/>
                <w:lang w:eastAsia="sv-SE"/>
              </w:rPr>
              <w:instrText>ADDIN CSL_CITATION {"citationItems":[{"id":"ITEM-1","itemData":{"DOI":"10.1007/BF00239177","ISBN":"0722-4060","ISSN":"0722-4060","abstract":"The mean assimilation efficiencies of 10 adult Kittiwakes (Rissa tridactyla) and 10 Brünnich's Guillemots (Uria lomvia) fed on Capelin (Mallotus villosus) were 77.5% and 74.4%, respectively. When fed on Arctic Cod (Boreogadus saida) they were 83.1% and 78.2%, respectively. After correction for nitrogen retention, the assimilation efficiencies decreased to 72.2%, 70.6%, 81.2% and 74.7%, respectively. Kittiwakes and Brünnich's Guillemots seem to have the same ability to utilize the energy of the different food items. The differences in assimilation efficiencies when fed two fish species was mainly related to the fat content of the fish.","author":[{"dropping-particle":"","family":"Brekke","given":"Bente","non-dropping-particle":"","parse-names":false,"suffix":""},{"dropping-particle":"","family":"Gabrielsen","given":"Geir W","non-dropping-particle":"","parse-names":false,"suffix":""}],"container-title":"Polar Biology","id":"ITEM-1","issue":"4","issued":{"date-parts":[["1994"]]},"page":"279-284","title":"Assimilation efficiency of adult Kittiwakes and Brünnich's Guillemots fed Capelin and Arctic Cod","type":"article-journal","volume":"14"},"uris":["http://www.mendeley.com/documents/?uuid=a2d4fbee-0987-402d-b1b7-e9596013c6e0"]}],"mendeley":{"formattedCitation":"&lt;sup&gt;1&lt;/sup&gt;","plainTextFormattedCitation":"1","previouslyFormattedCitation":"&lt;sup&gt;1&lt;/sup&gt;"},"properties":{"noteIndex":0},"schema":"https://github.com/citation-style-language/schema/raw/master/csl-citation.json"}</w:instrText>
            </w:r>
            <w:r>
              <w:rPr>
                <w:rFonts w:ascii="Arial" w:eastAsia="Times New Roman" w:hAnsi="Arial" w:cs="Arial"/>
                <w:color w:val="000000"/>
                <w:sz w:val="20"/>
                <w:szCs w:val="20"/>
                <w:lang w:eastAsia="sv-SE"/>
              </w:rPr>
              <w:fldChar w:fldCharType="separate"/>
            </w:r>
            <w:r w:rsidR="006E4B8F" w:rsidRPr="006E4B8F">
              <w:rPr>
                <w:rFonts w:ascii="Arial" w:eastAsia="Times New Roman" w:hAnsi="Arial" w:cs="Arial"/>
                <w:noProof/>
                <w:color w:val="000000"/>
                <w:sz w:val="20"/>
                <w:szCs w:val="20"/>
                <w:vertAlign w:val="superscript"/>
                <w:lang w:eastAsia="sv-SE"/>
              </w:rPr>
              <w:t>1</w:t>
            </w:r>
            <w:r>
              <w:rPr>
                <w:rFonts w:ascii="Arial" w:eastAsia="Times New Roman" w:hAnsi="Arial" w:cs="Arial"/>
                <w:color w:val="000000"/>
                <w:sz w:val="20"/>
                <w:szCs w:val="20"/>
                <w:lang w:eastAsia="sv-SE"/>
              </w:rPr>
              <w:fldChar w:fldCharType="end"/>
            </w:r>
          </w:p>
        </w:tc>
      </w:tr>
      <w:tr w:rsidR="00C84B82" w:rsidRPr="001C3D2D" w14:paraId="7CE403FE" w14:textId="77777777" w:rsidTr="00C84B82">
        <w:trPr>
          <w:trHeight w:val="320"/>
        </w:trPr>
        <w:tc>
          <w:tcPr>
            <w:tcW w:w="2100" w:type="dxa"/>
            <w:tcBorders>
              <w:top w:val="nil"/>
              <w:left w:val="nil"/>
              <w:bottom w:val="nil"/>
              <w:right w:val="nil"/>
            </w:tcBorders>
            <w:shd w:val="clear" w:color="auto" w:fill="auto"/>
            <w:noWrap/>
            <w:vAlign w:val="bottom"/>
            <w:hideMark/>
          </w:tcPr>
          <w:p w14:paraId="2311AD4A" w14:textId="77777777" w:rsidR="00C84B82" w:rsidRPr="001C3D2D" w:rsidRDefault="00C84B82" w:rsidP="00B27156">
            <w:pPr>
              <w:spacing w:line="276" w:lineRule="auto"/>
              <w:rPr>
                <w:rFonts w:ascii="Arial" w:eastAsia="Times New Roman" w:hAnsi="Arial" w:cs="Arial"/>
                <w:color w:val="000000"/>
                <w:sz w:val="20"/>
                <w:szCs w:val="20"/>
                <w:lang w:eastAsia="sv-SE"/>
              </w:rPr>
            </w:pPr>
            <w:r w:rsidRPr="001C3D2D">
              <w:rPr>
                <w:rFonts w:ascii="Arial" w:eastAsia="Times New Roman" w:hAnsi="Arial" w:cs="Arial"/>
                <w:color w:val="000000"/>
                <w:sz w:val="20"/>
                <w:szCs w:val="20"/>
                <w:lang w:eastAsia="sv-SE"/>
              </w:rPr>
              <w:t>Black guillemot</w:t>
            </w:r>
          </w:p>
        </w:tc>
        <w:tc>
          <w:tcPr>
            <w:tcW w:w="1063" w:type="dxa"/>
            <w:tcBorders>
              <w:top w:val="nil"/>
              <w:left w:val="nil"/>
              <w:bottom w:val="nil"/>
              <w:right w:val="nil"/>
            </w:tcBorders>
            <w:shd w:val="clear" w:color="auto" w:fill="auto"/>
            <w:noWrap/>
            <w:vAlign w:val="bottom"/>
            <w:hideMark/>
          </w:tcPr>
          <w:p w14:paraId="7831C380" w14:textId="77777777" w:rsidR="00C84B82" w:rsidRPr="001C3D2D" w:rsidRDefault="00C84B82" w:rsidP="00B27156">
            <w:pPr>
              <w:spacing w:line="276" w:lineRule="auto"/>
              <w:rPr>
                <w:rFonts w:ascii="Arial" w:eastAsia="Times New Roman" w:hAnsi="Arial" w:cs="Arial"/>
                <w:color w:val="000000"/>
                <w:sz w:val="20"/>
                <w:szCs w:val="20"/>
                <w:lang w:eastAsia="sv-SE"/>
              </w:rPr>
            </w:pPr>
          </w:p>
        </w:tc>
        <w:tc>
          <w:tcPr>
            <w:tcW w:w="1460" w:type="dxa"/>
            <w:tcBorders>
              <w:top w:val="nil"/>
              <w:left w:val="nil"/>
              <w:bottom w:val="nil"/>
              <w:right w:val="nil"/>
            </w:tcBorders>
            <w:shd w:val="clear" w:color="auto" w:fill="auto"/>
            <w:noWrap/>
            <w:vAlign w:val="bottom"/>
            <w:hideMark/>
          </w:tcPr>
          <w:p w14:paraId="2825FA9D" w14:textId="77777777" w:rsidR="00C84B82" w:rsidRPr="001C3D2D" w:rsidRDefault="00C84B82" w:rsidP="00B27156">
            <w:pPr>
              <w:spacing w:line="276" w:lineRule="auto"/>
              <w:jc w:val="center"/>
              <w:rPr>
                <w:rFonts w:ascii="Arial" w:eastAsia="Times New Roman" w:hAnsi="Arial" w:cs="Arial"/>
                <w:color w:val="000000"/>
                <w:sz w:val="20"/>
                <w:szCs w:val="20"/>
                <w:lang w:eastAsia="sv-SE"/>
              </w:rPr>
            </w:pPr>
            <w:r w:rsidRPr="001C3D2D">
              <w:rPr>
                <w:rFonts w:ascii="Arial" w:eastAsia="Times New Roman" w:hAnsi="Arial" w:cs="Arial"/>
                <w:color w:val="000000"/>
                <w:sz w:val="20"/>
                <w:szCs w:val="20"/>
                <w:lang w:eastAsia="sv-SE"/>
              </w:rPr>
              <w:t>21.6</w:t>
            </w:r>
          </w:p>
        </w:tc>
        <w:tc>
          <w:tcPr>
            <w:tcW w:w="1460" w:type="dxa"/>
            <w:tcBorders>
              <w:top w:val="nil"/>
              <w:left w:val="nil"/>
              <w:bottom w:val="nil"/>
              <w:right w:val="nil"/>
            </w:tcBorders>
            <w:shd w:val="clear" w:color="auto" w:fill="auto"/>
            <w:noWrap/>
            <w:vAlign w:val="bottom"/>
            <w:hideMark/>
          </w:tcPr>
          <w:p w14:paraId="540C2F47" w14:textId="77777777" w:rsidR="00C84B82" w:rsidRPr="001C3D2D" w:rsidRDefault="00C84B82" w:rsidP="00B27156">
            <w:pPr>
              <w:spacing w:line="276" w:lineRule="auto"/>
              <w:jc w:val="center"/>
              <w:rPr>
                <w:rFonts w:ascii="Arial" w:eastAsia="Times New Roman" w:hAnsi="Arial" w:cs="Arial"/>
                <w:color w:val="000000"/>
                <w:sz w:val="20"/>
                <w:szCs w:val="20"/>
                <w:lang w:eastAsia="sv-SE"/>
              </w:rPr>
            </w:pPr>
          </w:p>
        </w:tc>
        <w:tc>
          <w:tcPr>
            <w:tcW w:w="2365" w:type="dxa"/>
            <w:tcBorders>
              <w:top w:val="nil"/>
              <w:left w:val="nil"/>
              <w:bottom w:val="nil"/>
              <w:right w:val="nil"/>
            </w:tcBorders>
            <w:shd w:val="clear" w:color="auto" w:fill="auto"/>
            <w:noWrap/>
            <w:vAlign w:val="bottom"/>
            <w:hideMark/>
          </w:tcPr>
          <w:p w14:paraId="727E9340" w14:textId="15BB0DAC" w:rsidR="00C84B82" w:rsidRPr="001C3D2D" w:rsidRDefault="00C84B82" w:rsidP="00B27156">
            <w:pPr>
              <w:spacing w:line="276" w:lineRule="auto"/>
              <w:rPr>
                <w:rFonts w:ascii="Arial" w:eastAsia="Times New Roman" w:hAnsi="Arial" w:cs="Arial"/>
                <w:color w:val="000000"/>
                <w:sz w:val="20"/>
                <w:szCs w:val="20"/>
                <w:lang w:eastAsia="sv-SE"/>
              </w:rPr>
            </w:pPr>
            <w:r>
              <w:rPr>
                <w:rFonts w:ascii="Arial" w:eastAsia="Times New Roman" w:hAnsi="Arial" w:cs="Arial"/>
                <w:color w:val="000000"/>
                <w:sz w:val="20"/>
                <w:szCs w:val="20"/>
                <w:lang w:eastAsia="sv-SE"/>
              </w:rPr>
              <w:fldChar w:fldCharType="begin" w:fldLock="1"/>
            </w:r>
            <w:r w:rsidR="00315A3A">
              <w:rPr>
                <w:rFonts w:ascii="Arial" w:eastAsia="Times New Roman" w:hAnsi="Arial" w:cs="Arial"/>
                <w:color w:val="000000"/>
                <w:sz w:val="20"/>
                <w:szCs w:val="20"/>
                <w:lang w:eastAsia="sv-SE"/>
              </w:rPr>
              <w:instrText>ADDIN CSL_CITATION {"citationItems":[{"id":"ITEM-1","itemData":{"DOI":"10.1007/BF00239177","ISBN":"0722-4060","ISSN":"0722-4060","abstract":"The mean assimilation efficiencies of 10 adult Kittiwakes (Rissa tridactyla) and 10 Brünnich's Guillemots (Uria lomvia) fed on Capelin (Mallotus villosus) were 77.5% and 74.4%, respectively. When fed on Arctic Cod (Boreogadus saida) they were 83.1% and 78.2%, respectively. After correction for nitrogen retention, the assimilation efficiencies decreased to 72.2%, 70.6%, 81.2% and 74.7%, respectively. Kittiwakes and Brünnich's Guillemots seem to have the same ability to utilize the energy of the different food items. The differences in assimilation efficiencies when fed two fish species was mainly related to the fat content of the fish.","author":[{"dropping-particle":"","family":"Brekke","given":"Bente","non-dropping-particle":"","parse-names":false,"suffix":""},{"dropping-particle":"","family":"Gabrielsen","given":"Geir W","non-dropping-particle":"","parse-names":false,"suffix":""}],"container-title":"Polar Biology","id":"ITEM-1","issue":"4","issued":{"date-parts":[["1994"]]},"page":"279-284","title":"Assimilation efficiency of adult Kittiwakes and Brünnich's Guillemots fed Capelin and Arctic Cod","type":"article-journal","volume":"14"},"uris":["http://www.mendeley.com/documents/?uuid=a2d4fbee-0987-402d-b1b7-e9596013c6e0"]}],"mendeley":{"formattedCitation":"&lt;sup&gt;1&lt;/sup&gt;","plainTextFormattedCitation":"1","previouslyFormattedCitation":"&lt;sup&gt;1&lt;/sup&gt;"},"properties":{"noteIndex":0},"schema":"https://github.com/citation-style-language/schema/raw/master/csl-citation.json"}</w:instrText>
            </w:r>
            <w:r>
              <w:rPr>
                <w:rFonts w:ascii="Arial" w:eastAsia="Times New Roman" w:hAnsi="Arial" w:cs="Arial"/>
                <w:color w:val="000000"/>
                <w:sz w:val="20"/>
                <w:szCs w:val="20"/>
                <w:lang w:eastAsia="sv-SE"/>
              </w:rPr>
              <w:fldChar w:fldCharType="separate"/>
            </w:r>
            <w:r w:rsidR="006E4B8F" w:rsidRPr="006E4B8F">
              <w:rPr>
                <w:rFonts w:ascii="Arial" w:eastAsia="Times New Roman" w:hAnsi="Arial" w:cs="Arial"/>
                <w:noProof/>
                <w:color w:val="000000"/>
                <w:sz w:val="20"/>
                <w:szCs w:val="20"/>
                <w:vertAlign w:val="superscript"/>
                <w:lang w:eastAsia="sv-SE"/>
              </w:rPr>
              <w:t>1</w:t>
            </w:r>
            <w:r>
              <w:rPr>
                <w:rFonts w:ascii="Arial" w:eastAsia="Times New Roman" w:hAnsi="Arial" w:cs="Arial"/>
                <w:color w:val="000000"/>
                <w:sz w:val="20"/>
                <w:szCs w:val="20"/>
                <w:lang w:eastAsia="sv-SE"/>
              </w:rPr>
              <w:fldChar w:fldCharType="end"/>
            </w:r>
          </w:p>
        </w:tc>
      </w:tr>
      <w:tr w:rsidR="00C84B82" w:rsidRPr="001C3D2D" w14:paraId="2222A727" w14:textId="77777777" w:rsidTr="00C84B82">
        <w:trPr>
          <w:trHeight w:val="320"/>
        </w:trPr>
        <w:tc>
          <w:tcPr>
            <w:tcW w:w="2100" w:type="dxa"/>
            <w:tcBorders>
              <w:top w:val="nil"/>
              <w:left w:val="nil"/>
              <w:bottom w:val="nil"/>
              <w:right w:val="nil"/>
            </w:tcBorders>
            <w:shd w:val="clear" w:color="auto" w:fill="auto"/>
            <w:noWrap/>
            <w:vAlign w:val="bottom"/>
            <w:hideMark/>
          </w:tcPr>
          <w:p w14:paraId="527A3051" w14:textId="77777777" w:rsidR="00C84B82" w:rsidRPr="001C3D2D" w:rsidRDefault="00C84B82" w:rsidP="00B27156">
            <w:pPr>
              <w:spacing w:line="276" w:lineRule="auto"/>
              <w:rPr>
                <w:rFonts w:ascii="Arial" w:eastAsia="Times New Roman" w:hAnsi="Arial" w:cs="Arial"/>
                <w:color w:val="000000"/>
                <w:sz w:val="20"/>
                <w:szCs w:val="20"/>
                <w:lang w:eastAsia="sv-SE"/>
              </w:rPr>
            </w:pPr>
            <w:r w:rsidRPr="001C3D2D">
              <w:rPr>
                <w:rFonts w:ascii="Arial" w:eastAsia="Times New Roman" w:hAnsi="Arial" w:cs="Arial"/>
                <w:color w:val="000000"/>
                <w:sz w:val="20"/>
                <w:szCs w:val="20"/>
                <w:lang w:eastAsia="sv-SE"/>
              </w:rPr>
              <w:t>King penguin</w:t>
            </w:r>
          </w:p>
        </w:tc>
        <w:tc>
          <w:tcPr>
            <w:tcW w:w="1063" w:type="dxa"/>
            <w:tcBorders>
              <w:top w:val="nil"/>
              <w:left w:val="nil"/>
              <w:bottom w:val="nil"/>
              <w:right w:val="nil"/>
            </w:tcBorders>
            <w:shd w:val="clear" w:color="auto" w:fill="auto"/>
            <w:noWrap/>
            <w:vAlign w:val="bottom"/>
            <w:hideMark/>
          </w:tcPr>
          <w:p w14:paraId="349C75CF" w14:textId="77777777" w:rsidR="00C84B82" w:rsidRPr="001C3D2D" w:rsidRDefault="00C84B82" w:rsidP="00B27156">
            <w:pPr>
              <w:spacing w:line="276" w:lineRule="auto"/>
              <w:rPr>
                <w:rFonts w:ascii="Arial" w:eastAsia="Times New Roman" w:hAnsi="Arial" w:cs="Arial"/>
                <w:color w:val="000000"/>
                <w:sz w:val="20"/>
                <w:szCs w:val="20"/>
                <w:lang w:eastAsia="sv-SE"/>
              </w:rPr>
            </w:pPr>
          </w:p>
        </w:tc>
        <w:tc>
          <w:tcPr>
            <w:tcW w:w="1460" w:type="dxa"/>
            <w:tcBorders>
              <w:top w:val="nil"/>
              <w:left w:val="nil"/>
              <w:bottom w:val="nil"/>
              <w:right w:val="nil"/>
            </w:tcBorders>
            <w:shd w:val="clear" w:color="auto" w:fill="auto"/>
            <w:noWrap/>
            <w:vAlign w:val="bottom"/>
            <w:hideMark/>
          </w:tcPr>
          <w:p w14:paraId="71604CA1" w14:textId="77777777" w:rsidR="00C84B82" w:rsidRPr="001C3D2D" w:rsidRDefault="00C84B82" w:rsidP="00B27156">
            <w:pPr>
              <w:spacing w:line="276" w:lineRule="auto"/>
              <w:jc w:val="center"/>
              <w:rPr>
                <w:rFonts w:ascii="Arial" w:eastAsia="Times New Roman" w:hAnsi="Arial" w:cs="Arial"/>
                <w:color w:val="000000"/>
                <w:sz w:val="20"/>
                <w:szCs w:val="20"/>
                <w:lang w:eastAsia="sv-SE"/>
              </w:rPr>
            </w:pPr>
            <w:r w:rsidRPr="001C3D2D">
              <w:rPr>
                <w:rFonts w:ascii="Arial" w:eastAsia="Times New Roman" w:hAnsi="Arial" w:cs="Arial"/>
                <w:color w:val="000000"/>
                <w:sz w:val="20"/>
                <w:szCs w:val="20"/>
                <w:lang w:eastAsia="sv-SE"/>
              </w:rPr>
              <w:t>20.00</w:t>
            </w:r>
          </w:p>
        </w:tc>
        <w:tc>
          <w:tcPr>
            <w:tcW w:w="1460" w:type="dxa"/>
            <w:tcBorders>
              <w:top w:val="nil"/>
              <w:left w:val="nil"/>
              <w:bottom w:val="nil"/>
              <w:right w:val="nil"/>
            </w:tcBorders>
            <w:shd w:val="clear" w:color="auto" w:fill="auto"/>
            <w:noWrap/>
            <w:vAlign w:val="bottom"/>
            <w:hideMark/>
          </w:tcPr>
          <w:p w14:paraId="1668B2CE" w14:textId="77777777" w:rsidR="00C84B82" w:rsidRPr="001C3D2D" w:rsidRDefault="00C84B82" w:rsidP="00B27156">
            <w:pPr>
              <w:spacing w:line="276" w:lineRule="auto"/>
              <w:jc w:val="center"/>
              <w:rPr>
                <w:rFonts w:ascii="Arial" w:eastAsia="Times New Roman" w:hAnsi="Arial" w:cs="Arial"/>
                <w:color w:val="000000"/>
                <w:sz w:val="20"/>
                <w:szCs w:val="20"/>
                <w:lang w:eastAsia="sv-SE"/>
              </w:rPr>
            </w:pPr>
            <w:r w:rsidRPr="001C3D2D">
              <w:rPr>
                <w:rFonts w:ascii="Arial" w:eastAsia="Times New Roman" w:hAnsi="Arial" w:cs="Arial"/>
                <w:color w:val="000000"/>
                <w:sz w:val="20"/>
                <w:szCs w:val="20"/>
                <w:lang w:eastAsia="sv-SE"/>
              </w:rPr>
              <w:t>0.4</w:t>
            </w:r>
          </w:p>
        </w:tc>
        <w:tc>
          <w:tcPr>
            <w:tcW w:w="2365" w:type="dxa"/>
            <w:tcBorders>
              <w:top w:val="nil"/>
              <w:left w:val="nil"/>
              <w:bottom w:val="nil"/>
              <w:right w:val="nil"/>
            </w:tcBorders>
            <w:shd w:val="clear" w:color="auto" w:fill="auto"/>
            <w:noWrap/>
            <w:vAlign w:val="bottom"/>
          </w:tcPr>
          <w:p w14:paraId="49A0351E" w14:textId="1A1CF9D6" w:rsidR="00C84B82" w:rsidRPr="001C3D2D" w:rsidRDefault="00C84B82" w:rsidP="00B27156">
            <w:pPr>
              <w:spacing w:line="276" w:lineRule="auto"/>
              <w:rPr>
                <w:rFonts w:ascii="Arial" w:eastAsia="Times New Roman" w:hAnsi="Arial" w:cs="Arial"/>
                <w:color w:val="000000"/>
                <w:sz w:val="20"/>
                <w:szCs w:val="20"/>
                <w:lang w:eastAsia="sv-SE"/>
              </w:rPr>
            </w:pPr>
            <w:r>
              <w:rPr>
                <w:rFonts w:ascii="Arial" w:eastAsia="Times New Roman" w:hAnsi="Arial" w:cs="Arial"/>
                <w:color w:val="000000"/>
                <w:sz w:val="20"/>
                <w:szCs w:val="20"/>
                <w:lang w:eastAsia="sv-SE"/>
              </w:rPr>
              <w:fldChar w:fldCharType="begin" w:fldLock="1"/>
            </w:r>
            <w:r w:rsidR="00315A3A">
              <w:rPr>
                <w:rFonts w:ascii="Arial" w:eastAsia="Times New Roman" w:hAnsi="Arial" w:cs="Arial"/>
                <w:color w:val="000000"/>
                <w:sz w:val="20"/>
                <w:szCs w:val="20"/>
                <w:lang w:eastAsia="sv-SE"/>
              </w:rPr>
              <w:instrText>ADDIN CSL_CITATION {"citationItems":[{"id":"ITEM-1","itemData":{"author":[{"dropping-particle":"","family":"Lindeboom","given":"H J","non-dropping-particle":"","parse-names":false,"suffix":""}],"container-title":"Ecology","id":"ITEM-1","issue":"1","issued":{"date-parts":[["1984"]]},"page":"269-277","title":"The Nitrogen Pathway in a Penguin Rookery","type":"article-journal","volume":"65"},"uris":["http://www.mendeley.com/documents/?uuid=fa2fbf0b-05ac-4853-9f6a-e70fd259a54f"]}],"mendeley":{"formattedCitation":"&lt;sup&gt;2&lt;/sup&gt;","plainTextFormattedCitation":"2","previouslyFormattedCitation":"&lt;sup&gt;2&lt;/sup&gt;"},"properties":{"noteIndex":0},"schema":"https://github.com/citation-style-language/schema/raw/master/csl-citation.json"}</w:instrText>
            </w:r>
            <w:r>
              <w:rPr>
                <w:rFonts w:ascii="Arial" w:eastAsia="Times New Roman" w:hAnsi="Arial" w:cs="Arial"/>
                <w:color w:val="000000"/>
                <w:sz w:val="20"/>
                <w:szCs w:val="20"/>
                <w:lang w:eastAsia="sv-SE"/>
              </w:rPr>
              <w:fldChar w:fldCharType="separate"/>
            </w:r>
            <w:r w:rsidR="006E4B8F" w:rsidRPr="006E4B8F">
              <w:rPr>
                <w:rFonts w:ascii="Arial" w:eastAsia="Times New Roman" w:hAnsi="Arial" w:cs="Arial"/>
                <w:noProof/>
                <w:color w:val="000000"/>
                <w:sz w:val="20"/>
                <w:szCs w:val="20"/>
                <w:vertAlign w:val="superscript"/>
                <w:lang w:eastAsia="sv-SE"/>
              </w:rPr>
              <w:t>2</w:t>
            </w:r>
            <w:r>
              <w:rPr>
                <w:rFonts w:ascii="Arial" w:eastAsia="Times New Roman" w:hAnsi="Arial" w:cs="Arial"/>
                <w:color w:val="000000"/>
                <w:sz w:val="20"/>
                <w:szCs w:val="20"/>
                <w:lang w:eastAsia="sv-SE"/>
              </w:rPr>
              <w:fldChar w:fldCharType="end"/>
            </w:r>
          </w:p>
        </w:tc>
      </w:tr>
      <w:tr w:rsidR="00C84B82" w:rsidRPr="001C3D2D" w14:paraId="28D0F75A" w14:textId="77777777" w:rsidTr="00C84B82">
        <w:trPr>
          <w:trHeight w:val="320"/>
        </w:trPr>
        <w:tc>
          <w:tcPr>
            <w:tcW w:w="2100" w:type="dxa"/>
            <w:tcBorders>
              <w:top w:val="nil"/>
              <w:left w:val="nil"/>
              <w:bottom w:val="nil"/>
              <w:right w:val="nil"/>
            </w:tcBorders>
            <w:shd w:val="clear" w:color="auto" w:fill="auto"/>
            <w:noWrap/>
            <w:vAlign w:val="bottom"/>
            <w:hideMark/>
          </w:tcPr>
          <w:p w14:paraId="2673422F" w14:textId="77777777" w:rsidR="00C84B82" w:rsidRPr="001C3D2D" w:rsidRDefault="00C84B82" w:rsidP="00B27156">
            <w:pPr>
              <w:spacing w:line="276" w:lineRule="auto"/>
              <w:rPr>
                <w:rFonts w:ascii="Arial" w:eastAsia="Times New Roman" w:hAnsi="Arial" w:cs="Arial"/>
                <w:color w:val="000000"/>
                <w:sz w:val="20"/>
                <w:szCs w:val="20"/>
                <w:lang w:eastAsia="sv-SE"/>
              </w:rPr>
            </w:pPr>
            <w:r w:rsidRPr="001C3D2D">
              <w:rPr>
                <w:rFonts w:ascii="Arial" w:eastAsia="Times New Roman" w:hAnsi="Arial" w:cs="Arial"/>
                <w:color w:val="000000"/>
                <w:sz w:val="20"/>
                <w:szCs w:val="20"/>
                <w:lang w:eastAsia="sv-SE"/>
              </w:rPr>
              <w:t>Macaroni penguin 1</w:t>
            </w:r>
          </w:p>
        </w:tc>
        <w:tc>
          <w:tcPr>
            <w:tcW w:w="1063" w:type="dxa"/>
            <w:tcBorders>
              <w:top w:val="nil"/>
              <w:left w:val="nil"/>
              <w:bottom w:val="nil"/>
              <w:right w:val="nil"/>
            </w:tcBorders>
            <w:shd w:val="clear" w:color="auto" w:fill="auto"/>
            <w:noWrap/>
            <w:vAlign w:val="bottom"/>
            <w:hideMark/>
          </w:tcPr>
          <w:p w14:paraId="2EBED5B3" w14:textId="77777777" w:rsidR="00C84B82" w:rsidRPr="001C3D2D" w:rsidRDefault="00C84B82" w:rsidP="00B27156">
            <w:pPr>
              <w:spacing w:line="276" w:lineRule="auto"/>
              <w:rPr>
                <w:rFonts w:ascii="Arial" w:eastAsia="Times New Roman" w:hAnsi="Arial" w:cs="Arial"/>
                <w:color w:val="000000"/>
                <w:sz w:val="20"/>
                <w:szCs w:val="20"/>
                <w:lang w:eastAsia="sv-SE"/>
              </w:rPr>
            </w:pPr>
          </w:p>
        </w:tc>
        <w:tc>
          <w:tcPr>
            <w:tcW w:w="1460" w:type="dxa"/>
            <w:tcBorders>
              <w:top w:val="nil"/>
              <w:left w:val="nil"/>
              <w:bottom w:val="nil"/>
              <w:right w:val="nil"/>
            </w:tcBorders>
            <w:shd w:val="clear" w:color="auto" w:fill="auto"/>
            <w:noWrap/>
            <w:vAlign w:val="bottom"/>
            <w:hideMark/>
          </w:tcPr>
          <w:p w14:paraId="6A18F896" w14:textId="77777777" w:rsidR="00C84B82" w:rsidRPr="001C3D2D" w:rsidRDefault="00C84B82" w:rsidP="00B27156">
            <w:pPr>
              <w:spacing w:line="276" w:lineRule="auto"/>
              <w:jc w:val="center"/>
              <w:rPr>
                <w:rFonts w:ascii="Arial" w:eastAsia="Times New Roman" w:hAnsi="Arial" w:cs="Arial"/>
                <w:color w:val="000000"/>
                <w:sz w:val="20"/>
                <w:szCs w:val="20"/>
                <w:lang w:eastAsia="sv-SE"/>
              </w:rPr>
            </w:pPr>
            <w:r w:rsidRPr="001C3D2D">
              <w:rPr>
                <w:rFonts w:ascii="Arial" w:eastAsia="Times New Roman" w:hAnsi="Arial" w:cs="Arial"/>
                <w:color w:val="000000"/>
                <w:sz w:val="20"/>
                <w:szCs w:val="20"/>
                <w:lang w:eastAsia="sv-SE"/>
              </w:rPr>
              <w:t>21.54</w:t>
            </w:r>
          </w:p>
        </w:tc>
        <w:tc>
          <w:tcPr>
            <w:tcW w:w="1460" w:type="dxa"/>
            <w:tcBorders>
              <w:top w:val="nil"/>
              <w:left w:val="nil"/>
              <w:bottom w:val="nil"/>
              <w:right w:val="nil"/>
            </w:tcBorders>
            <w:shd w:val="clear" w:color="auto" w:fill="auto"/>
            <w:noWrap/>
            <w:vAlign w:val="bottom"/>
            <w:hideMark/>
          </w:tcPr>
          <w:p w14:paraId="5B05740C" w14:textId="324350E0" w:rsidR="00C84B82" w:rsidRPr="001C3D2D" w:rsidRDefault="00C84B82" w:rsidP="00B27156">
            <w:pPr>
              <w:spacing w:line="276" w:lineRule="auto"/>
              <w:jc w:val="center"/>
              <w:rPr>
                <w:rFonts w:ascii="Arial" w:eastAsia="Times New Roman" w:hAnsi="Arial" w:cs="Arial"/>
                <w:color w:val="000000"/>
                <w:sz w:val="20"/>
                <w:szCs w:val="20"/>
                <w:lang w:eastAsia="sv-SE"/>
              </w:rPr>
            </w:pPr>
            <w:r w:rsidRPr="001C3D2D">
              <w:rPr>
                <w:rFonts w:ascii="Arial" w:eastAsia="Times New Roman" w:hAnsi="Arial" w:cs="Arial"/>
                <w:color w:val="000000"/>
                <w:sz w:val="20"/>
                <w:szCs w:val="20"/>
                <w:lang w:eastAsia="sv-SE"/>
              </w:rPr>
              <w:t>0.36</w:t>
            </w:r>
            <w:r w:rsidR="00917272">
              <w:rPr>
                <w:rFonts w:ascii="Arial" w:eastAsia="Times New Roman" w:hAnsi="Arial" w:cs="Arial"/>
                <w:color w:val="000000"/>
                <w:sz w:val="20"/>
                <w:szCs w:val="20"/>
                <w:lang w:eastAsia="sv-SE"/>
              </w:rPr>
              <w:t>2</w:t>
            </w:r>
          </w:p>
        </w:tc>
        <w:tc>
          <w:tcPr>
            <w:tcW w:w="2365" w:type="dxa"/>
            <w:tcBorders>
              <w:top w:val="nil"/>
              <w:left w:val="nil"/>
              <w:bottom w:val="nil"/>
              <w:right w:val="nil"/>
            </w:tcBorders>
            <w:shd w:val="clear" w:color="auto" w:fill="auto"/>
            <w:noWrap/>
            <w:vAlign w:val="bottom"/>
          </w:tcPr>
          <w:p w14:paraId="7B41DD3A" w14:textId="49D3F8AB" w:rsidR="00C84B82" w:rsidRPr="001C3D2D" w:rsidRDefault="00C84B82" w:rsidP="00B27156">
            <w:pPr>
              <w:spacing w:line="276" w:lineRule="auto"/>
              <w:rPr>
                <w:rFonts w:ascii="Arial" w:eastAsia="Times New Roman" w:hAnsi="Arial" w:cs="Arial"/>
                <w:color w:val="000000"/>
                <w:sz w:val="20"/>
                <w:szCs w:val="20"/>
                <w:lang w:eastAsia="sv-SE"/>
              </w:rPr>
            </w:pPr>
            <w:r>
              <w:rPr>
                <w:rFonts w:ascii="Arial" w:eastAsia="Times New Roman" w:hAnsi="Arial" w:cs="Arial"/>
                <w:color w:val="000000"/>
                <w:sz w:val="20"/>
                <w:szCs w:val="20"/>
                <w:lang w:eastAsia="sv-SE"/>
              </w:rPr>
              <w:fldChar w:fldCharType="begin" w:fldLock="1"/>
            </w:r>
            <w:r w:rsidR="00315A3A">
              <w:rPr>
                <w:rFonts w:ascii="Arial" w:eastAsia="Times New Roman" w:hAnsi="Arial" w:cs="Arial"/>
                <w:color w:val="000000"/>
                <w:sz w:val="20"/>
                <w:szCs w:val="20"/>
                <w:lang w:eastAsia="sv-SE"/>
              </w:rPr>
              <w:instrText>ADDIN CSL_CITATION {"citationItems":[{"id":"ITEM-1","itemData":{"author":[{"dropping-particle":"","family":"Lindeboom","given":"H J","non-dropping-particle":"","parse-names":false,"suffix":""}],"container-title":"Ecology","id":"ITEM-1","issue":"1","issued":{"date-parts":[["1984"]]},"page":"269-277","title":"The Nitrogen Pathway in a Penguin Rookery","type":"article-journal","volume":"65"},"uris":["http://www.mendeley.com/documents/?uuid=fa2fbf0b-05ac-4853-9f6a-e70fd259a54f"]}],"mendeley":{"formattedCitation":"&lt;sup&gt;2&lt;/sup&gt;","plainTextFormattedCitation":"2","previouslyFormattedCitation":"&lt;sup&gt;2&lt;/sup&gt;"},"properties":{"noteIndex":0},"schema":"https://github.com/citation-style-language/schema/raw/master/csl-citation.json"}</w:instrText>
            </w:r>
            <w:r>
              <w:rPr>
                <w:rFonts w:ascii="Arial" w:eastAsia="Times New Roman" w:hAnsi="Arial" w:cs="Arial"/>
                <w:color w:val="000000"/>
                <w:sz w:val="20"/>
                <w:szCs w:val="20"/>
                <w:lang w:eastAsia="sv-SE"/>
              </w:rPr>
              <w:fldChar w:fldCharType="separate"/>
            </w:r>
            <w:r w:rsidR="006E4B8F" w:rsidRPr="006E4B8F">
              <w:rPr>
                <w:rFonts w:ascii="Arial" w:eastAsia="Times New Roman" w:hAnsi="Arial" w:cs="Arial"/>
                <w:noProof/>
                <w:color w:val="000000"/>
                <w:sz w:val="20"/>
                <w:szCs w:val="20"/>
                <w:vertAlign w:val="superscript"/>
                <w:lang w:eastAsia="sv-SE"/>
              </w:rPr>
              <w:t>2</w:t>
            </w:r>
            <w:r>
              <w:rPr>
                <w:rFonts w:ascii="Arial" w:eastAsia="Times New Roman" w:hAnsi="Arial" w:cs="Arial"/>
                <w:color w:val="000000"/>
                <w:sz w:val="20"/>
                <w:szCs w:val="20"/>
                <w:lang w:eastAsia="sv-SE"/>
              </w:rPr>
              <w:fldChar w:fldCharType="end"/>
            </w:r>
          </w:p>
        </w:tc>
      </w:tr>
      <w:tr w:rsidR="00C84B82" w:rsidRPr="001C3D2D" w14:paraId="76AAFD39" w14:textId="77777777" w:rsidTr="00C84B82">
        <w:trPr>
          <w:trHeight w:val="320"/>
        </w:trPr>
        <w:tc>
          <w:tcPr>
            <w:tcW w:w="2100" w:type="dxa"/>
            <w:tcBorders>
              <w:top w:val="nil"/>
              <w:left w:val="nil"/>
              <w:bottom w:val="nil"/>
              <w:right w:val="nil"/>
            </w:tcBorders>
            <w:shd w:val="clear" w:color="auto" w:fill="auto"/>
            <w:noWrap/>
            <w:vAlign w:val="bottom"/>
            <w:hideMark/>
          </w:tcPr>
          <w:p w14:paraId="73AE0624" w14:textId="77777777" w:rsidR="00C84B82" w:rsidRPr="001C3D2D" w:rsidRDefault="00C84B82" w:rsidP="00B27156">
            <w:pPr>
              <w:spacing w:line="276" w:lineRule="auto"/>
              <w:rPr>
                <w:rFonts w:ascii="Arial" w:eastAsia="Times New Roman" w:hAnsi="Arial" w:cs="Arial"/>
                <w:color w:val="000000"/>
                <w:sz w:val="20"/>
                <w:szCs w:val="20"/>
                <w:lang w:eastAsia="sv-SE"/>
              </w:rPr>
            </w:pPr>
            <w:r w:rsidRPr="001C3D2D">
              <w:rPr>
                <w:rFonts w:ascii="Arial" w:eastAsia="Times New Roman" w:hAnsi="Arial" w:cs="Arial"/>
                <w:color w:val="000000"/>
                <w:sz w:val="20"/>
                <w:szCs w:val="20"/>
                <w:lang w:eastAsia="sv-SE"/>
              </w:rPr>
              <w:t>Macaroni penguin 2</w:t>
            </w:r>
          </w:p>
        </w:tc>
        <w:tc>
          <w:tcPr>
            <w:tcW w:w="1063" w:type="dxa"/>
            <w:tcBorders>
              <w:top w:val="nil"/>
              <w:left w:val="nil"/>
              <w:bottom w:val="nil"/>
              <w:right w:val="nil"/>
            </w:tcBorders>
            <w:shd w:val="clear" w:color="auto" w:fill="auto"/>
            <w:noWrap/>
            <w:vAlign w:val="bottom"/>
            <w:hideMark/>
          </w:tcPr>
          <w:p w14:paraId="762E9A19" w14:textId="77777777" w:rsidR="00C84B82" w:rsidRPr="001C3D2D" w:rsidRDefault="00C84B82" w:rsidP="00B27156">
            <w:pPr>
              <w:spacing w:line="276" w:lineRule="auto"/>
              <w:rPr>
                <w:rFonts w:ascii="Arial" w:eastAsia="Times New Roman" w:hAnsi="Arial" w:cs="Arial"/>
                <w:color w:val="000000"/>
                <w:sz w:val="20"/>
                <w:szCs w:val="20"/>
                <w:lang w:eastAsia="sv-SE"/>
              </w:rPr>
            </w:pPr>
          </w:p>
        </w:tc>
        <w:tc>
          <w:tcPr>
            <w:tcW w:w="1460" w:type="dxa"/>
            <w:tcBorders>
              <w:top w:val="nil"/>
              <w:left w:val="nil"/>
              <w:bottom w:val="nil"/>
              <w:right w:val="nil"/>
            </w:tcBorders>
            <w:shd w:val="clear" w:color="auto" w:fill="auto"/>
            <w:noWrap/>
            <w:vAlign w:val="bottom"/>
            <w:hideMark/>
          </w:tcPr>
          <w:p w14:paraId="74DA9735" w14:textId="77777777" w:rsidR="00C84B82" w:rsidRPr="001C3D2D" w:rsidRDefault="00C84B82" w:rsidP="00B27156">
            <w:pPr>
              <w:spacing w:line="276" w:lineRule="auto"/>
              <w:jc w:val="center"/>
              <w:rPr>
                <w:rFonts w:ascii="Arial" w:eastAsia="Times New Roman" w:hAnsi="Arial" w:cs="Arial"/>
                <w:color w:val="000000"/>
                <w:sz w:val="20"/>
                <w:szCs w:val="20"/>
                <w:lang w:eastAsia="sv-SE"/>
              </w:rPr>
            </w:pPr>
            <w:r w:rsidRPr="001C3D2D">
              <w:rPr>
                <w:rFonts w:ascii="Arial" w:eastAsia="Times New Roman" w:hAnsi="Arial" w:cs="Arial"/>
                <w:color w:val="000000"/>
                <w:sz w:val="20"/>
                <w:szCs w:val="20"/>
                <w:lang w:eastAsia="sv-SE"/>
              </w:rPr>
              <w:t>21.64</w:t>
            </w:r>
          </w:p>
        </w:tc>
        <w:tc>
          <w:tcPr>
            <w:tcW w:w="1460" w:type="dxa"/>
            <w:tcBorders>
              <w:top w:val="nil"/>
              <w:left w:val="nil"/>
              <w:bottom w:val="nil"/>
              <w:right w:val="nil"/>
            </w:tcBorders>
            <w:shd w:val="clear" w:color="auto" w:fill="auto"/>
            <w:noWrap/>
            <w:vAlign w:val="bottom"/>
            <w:hideMark/>
          </w:tcPr>
          <w:p w14:paraId="00E7BC47" w14:textId="5B825F6A" w:rsidR="00C84B82" w:rsidRPr="001C3D2D" w:rsidRDefault="00C84B82" w:rsidP="00B27156">
            <w:pPr>
              <w:spacing w:line="276" w:lineRule="auto"/>
              <w:jc w:val="center"/>
              <w:rPr>
                <w:rFonts w:ascii="Arial" w:eastAsia="Times New Roman" w:hAnsi="Arial" w:cs="Arial"/>
                <w:color w:val="000000"/>
                <w:sz w:val="20"/>
                <w:szCs w:val="20"/>
                <w:lang w:eastAsia="sv-SE"/>
              </w:rPr>
            </w:pPr>
            <w:r w:rsidRPr="001C3D2D">
              <w:rPr>
                <w:rFonts w:ascii="Arial" w:eastAsia="Times New Roman" w:hAnsi="Arial" w:cs="Arial"/>
                <w:color w:val="000000"/>
                <w:sz w:val="20"/>
                <w:szCs w:val="20"/>
                <w:lang w:eastAsia="sv-SE"/>
              </w:rPr>
              <w:t>0.358</w:t>
            </w:r>
          </w:p>
        </w:tc>
        <w:tc>
          <w:tcPr>
            <w:tcW w:w="2365" w:type="dxa"/>
            <w:tcBorders>
              <w:top w:val="nil"/>
              <w:left w:val="nil"/>
              <w:bottom w:val="nil"/>
              <w:right w:val="nil"/>
            </w:tcBorders>
            <w:shd w:val="clear" w:color="auto" w:fill="auto"/>
            <w:noWrap/>
            <w:vAlign w:val="bottom"/>
          </w:tcPr>
          <w:p w14:paraId="552E922F" w14:textId="028B585C" w:rsidR="00C84B82" w:rsidRPr="001C3D2D" w:rsidRDefault="00C84B82" w:rsidP="00B27156">
            <w:pPr>
              <w:spacing w:line="276" w:lineRule="auto"/>
              <w:rPr>
                <w:rFonts w:ascii="Arial" w:eastAsia="Times New Roman" w:hAnsi="Arial" w:cs="Arial"/>
                <w:color w:val="000000"/>
                <w:sz w:val="20"/>
                <w:szCs w:val="20"/>
                <w:lang w:eastAsia="sv-SE"/>
              </w:rPr>
            </w:pPr>
            <w:r>
              <w:rPr>
                <w:rFonts w:ascii="Arial" w:eastAsia="Times New Roman" w:hAnsi="Arial" w:cs="Arial"/>
                <w:color w:val="000000"/>
                <w:sz w:val="20"/>
                <w:szCs w:val="20"/>
                <w:lang w:eastAsia="sv-SE"/>
              </w:rPr>
              <w:fldChar w:fldCharType="begin" w:fldLock="1"/>
            </w:r>
            <w:r w:rsidR="00315A3A">
              <w:rPr>
                <w:rFonts w:ascii="Arial" w:eastAsia="Times New Roman" w:hAnsi="Arial" w:cs="Arial"/>
                <w:color w:val="000000"/>
                <w:sz w:val="20"/>
                <w:szCs w:val="20"/>
                <w:lang w:eastAsia="sv-SE"/>
              </w:rPr>
              <w:instrText>ADDIN CSL_CITATION {"citationItems":[{"id":"ITEM-1","itemData":{"author":[{"dropping-particle":"","family":"Lindeboom","given":"H J","non-dropping-particle":"","parse-names":false,"suffix":""}],"container-title":"Ecology","id":"ITEM-1","issue":"1","issued":{"date-parts":[["1984"]]},"page":"269-277","title":"The Nitrogen Pathway in a Penguin Rookery","type":"article-journal","volume":"65"},"uris":["http://www.mendeley.com/documents/?uuid=fa2fbf0b-05ac-4853-9f6a-e70fd259a54f"]}],"mendeley":{"formattedCitation":"&lt;sup&gt;2&lt;/sup&gt;","plainTextFormattedCitation":"2","previouslyFormattedCitation":"&lt;sup&gt;2&lt;/sup&gt;"},"properties":{"noteIndex":0},"schema":"https://github.com/citation-style-language/schema/raw/master/csl-citation.json"}</w:instrText>
            </w:r>
            <w:r>
              <w:rPr>
                <w:rFonts w:ascii="Arial" w:eastAsia="Times New Roman" w:hAnsi="Arial" w:cs="Arial"/>
                <w:color w:val="000000"/>
                <w:sz w:val="20"/>
                <w:szCs w:val="20"/>
                <w:lang w:eastAsia="sv-SE"/>
              </w:rPr>
              <w:fldChar w:fldCharType="separate"/>
            </w:r>
            <w:r w:rsidR="006E4B8F" w:rsidRPr="006E4B8F">
              <w:rPr>
                <w:rFonts w:ascii="Arial" w:eastAsia="Times New Roman" w:hAnsi="Arial" w:cs="Arial"/>
                <w:noProof/>
                <w:color w:val="000000"/>
                <w:sz w:val="20"/>
                <w:szCs w:val="20"/>
                <w:vertAlign w:val="superscript"/>
                <w:lang w:eastAsia="sv-SE"/>
              </w:rPr>
              <w:t>2</w:t>
            </w:r>
            <w:r>
              <w:rPr>
                <w:rFonts w:ascii="Arial" w:eastAsia="Times New Roman" w:hAnsi="Arial" w:cs="Arial"/>
                <w:color w:val="000000"/>
                <w:sz w:val="20"/>
                <w:szCs w:val="20"/>
                <w:lang w:eastAsia="sv-SE"/>
              </w:rPr>
              <w:fldChar w:fldCharType="end"/>
            </w:r>
          </w:p>
        </w:tc>
      </w:tr>
      <w:tr w:rsidR="00C84B82" w:rsidRPr="001C3D2D" w14:paraId="631265E4" w14:textId="77777777" w:rsidTr="00C84B82">
        <w:trPr>
          <w:trHeight w:val="320"/>
        </w:trPr>
        <w:tc>
          <w:tcPr>
            <w:tcW w:w="2100" w:type="dxa"/>
            <w:tcBorders>
              <w:top w:val="nil"/>
              <w:left w:val="nil"/>
              <w:bottom w:val="nil"/>
              <w:right w:val="nil"/>
            </w:tcBorders>
            <w:shd w:val="clear" w:color="auto" w:fill="auto"/>
            <w:noWrap/>
            <w:vAlign w:val="bottom"/>
            <w:hideMark/>
          </w:tcPr>
          <w:p w14:paraId="18C16B72" w14:textId="50F636B4" w:rsidR="00C84B82" w:rsidRPr="001C3D2D" w:rsidRDefault="00C84B82" w:rsidP="00B27156">
            <w:pPr>
              <w:spacing w:line="276" w:lineRule="auto"/>
              <w:rPr>
                <w:rFonts w:ascii="Arial" w:eastAsia="Times New Roman" w:hAnsi="Arial" w:cs="Arial"/>
                <w:i/>
                <w:color w:val="000000"/>
                <w:sz w:val="20"/>
                <w:szCs w:val="20"/>
                <w:lang w:eastAsia="sv-SE"/>
              </w:rPr>
            </w:pPr>
            <w:r w:rsidRPr="001C3D2D">
              <w:rPr>
                <w:rFonts w:ascii="Arial" w:eastAsia="Times New Roman" w:hAnsi="Arial" w:cs="Arial"/>
                <w:i/>
                <w:color w:val="000000"/>
                <w:sz w:val="20"/>
                <w:szCs w:val="20"/>
                <w:lang w:eastAsia="sv-SE"/>
              </w:rPr>
              <w:t>Commercial guano</w:t>
            </w:r>
          </w:p>
        </w:tc>
        <w:tc>
          <w:tcPr>
            <w:tcW w:w="1063" w:type="dxa"/>
            <w:tcBorders>
              <w:top w:val="nil"/>
              <w:left w:val="nil"/>
              <w:bottom w:val="nil"/>
              <w:right w:val="nil"/>
            </w:tcBorders>
            <w:shd w:val="clear" w:color="auto" w:fill="auto"/>
            <w:noWrap/>
            <w:vAlign w:val="bottom"/>
            <w:hideMark/>
          </w:tcPr>
          <w:p w14:paraId="4F43B214" w14:textId="77777777" w:rsidR="00C84B82" w:rsidRPr="001C3D2D" w:rsidRDefault="00C84B82" w:rsidP="00B27156">
            <w:pPr>
              <w:spacing w:line="276" w:lineRule="auto"/>
              <w:rPr>
                <w:rFonts w:ascii="Arial" w:eastAsia="Times New Roman" w:hAnsi="Arial" w:cs="Arial"/>
                <w:color w:val="000000"/>
                <w:sz w:val="20"/>
                <w:szCs w:val="20"/>
                <w:lang w:eastAsia="sv-SE"/>
              </w:rPr>
            </w:pPr>
          </w:p>
        </w:tc>
        <w:tc>
          <w:tcPr>
            <w:tcW w:w="1460" w:type="dxa"/>
            <w:tcBorders>
              <w:top w:val="nil"/>
              <w:left w:val="nil"/>
              <w:bottom w:val="nil"/>
              <w:right w:val="nil"/>
            </w:tcBorders>
            <w:shd w:val="clear" w:color="auto" w:fill="auto"/>
            <w:noWrap/>
            <w:vAlign w:val="bottom"/>
            <w:hideMark/>
          </w:tcPr>
          <w:p w14:paraId="731395E9" w14:textId="77777777" w:rsidR="00C84B82" w:rsidRPr="001C3D2D" w:rsidRDefault="00C84B82" w:rsidP="00B27156">
            <w:pPr>
              <w:spacing w:line="276" w:lineRule="auto"/>
              <w:jc w:val="center"/>
              <w:rPr>
                <w:rFonts w:ascii="Arial" w:eastAsia="Times New Roman" w:hAnsi="Arial" w:cs="Arial"/>
                <w:color w:val="000000"/>
                <w:sz w:val="20"/>
                <w:szCs w:val="20"/>
                <w:lang w:eastAsia="sv-SE"/>
              </w:rPr>
            </w:pPr>
            <w:r w:rsidRPr="001C3D2D">
              <w:rPr>
                <w:rFonts w:ascii="Arial" w:eastAsia="Times New Roman" w:hAnsi="Arial" w:cs="Arial"/>
                <w:color w:val="000000"/>
                <w:sz w:val="20"/>
                <w:szCs w:val="20"/>
                <w:lang w:eastAsia="sv-SE"/>
              </w:rPr>
              <w:t>11.70</w:t>
            </w:r>
          </w:p>
        </w:tc>
        <w:tc>
          <w:tcPr>
            <w:tcW w:w="1460" w:type="dxa"/>
            <w:tcBorders>
              <w:top w:val="nil"/>
              <w:left w:val="nil"/>
              <w:bottom w:val="nil"/>
              <w:right w:val="nil"/>
            </w:tcBorders>
            <w:shd w:val="clear" w:color="auto" w:fill="auto"/>
            <w:noWrap/>
            <w:vAlign w:val="bottom"/>
            <w:hideMark/>
          </w:tcPr>
          <w:p w14:paraId="516AF405" w14:textId="77777777" w:rsidR="00C84B82" w:rsidRPr="001C3D2D" w:rsidRDefault="00C84B82" w:rsidP="00B27156">
            <w:pPr>
              <w:spacing w:line="276" w:lineRule="auto"/>
              <w:jc w:val="center"/>
              <w:rPr>
                <w:rFonts w:ascii="Arial" w:eastAsia="Times New Roman" w:hAnsi="Arial" w:cs="Arial"/>
                <w:color w:val="000000"/>
                <w:sz w:val="20"/>
                <w:szCs w:val="20"/>
                <w:lang w:eastAsia="sv-SE"/>
              </w:rPr>
            </w:pPr>
            <w:r w:rsidRPr="001C3D2D">
              <w:rPr>
                <w:rFonts w:ascii="Arial" w:eastAsia="Times New Roman" w:hAnsi="Arial" w:cs="Arial"/>
                <w:color w:val="000000"/>
                <w:sz w:val="20"/>
                <w:szCs w:val="20"/>
                <w:lang w:eastAsia="sv-SE"/>
              </w:rPr>
              <w:t>2.6</w:t>
            </w:r>
          </w:p>
        </w:tc>
        <w:tc>
          <w:tcPr>
            <w:tcW w:w="2365" w:type="dxa"/>
            <w:tcBorders>
              <w:top w:val="nil"/>
              <w:left w:val="nil"/>
              <w:bottom w:val="nil"/>
              <w:right w:val="nil"/>
            </w:tcBorders>
            <w:shd w:val="clear" w:color="auto" w:fill="auto"/>
            <w:noWrap/>
            <w:vAlign w:val="bottom"/>
          </w:tcPr>
          <w:p w14:paraId="0F203EB5" w14:textId="7B3AF7B3" w:rsidR="00C84B82" w:rsidRPr="001C3D2D" w:rsidRDefault="00C84B82" w:rsidP="00B27156">
            <w:pPr>
              <w:spacing w:line="276" w:lineRule="auto"/>
              <w:rPr>
                <w:rFonts w:ascii="Arial" w:eastAsia="Times New Roman" w:hAnsi="Arial" w:cs="Arial"/>
                <w:color w:val="000000"/>
                <w:sz w:val="20"/>
                <w:szCs w:val="20"/>
                <w:lang w:eastAsia="sv-SE"/>
              </w:rPr>
            </w:pPr>
            <w:r>
              <w:rPr>
                <w:rFonts w:ascii="Arial" w:eastAsia="Times New Roman" w:hAnsi="Arial" w:cs="Arial"/>
                <w:color w:val="000000"/>
                <w:sz w:val="20"/>
                <w:szCs w:val="20"/>
                <w:lang w:eastAsia="sv-SE"/>
              </w:rPr>
              <w:fldChar w:fldCharType="begin" w:fldLock="1"/>
            </w:r>
            <w:r w:rsidR="00315A3A">
              <w:rPr>
                <w:rFonts w:ascii="Arial" w:eastAsia="Times New Roman" w:hAnsi="Arial" w:cs="Arial"/>
                <w:color w:val="000000"/>
                <w:sz w:val="20"/>
                <w:szCs w:val="20"/>
                <w:lang w:eastAsia="sv-SE"/>
              </w:rPr>
              <w:instrText>ADDIN CSL_CITATION {"citationItems":[{"id":"ITEM-1","itemData":{"DOI":"10.21273/horttech.16.1.0039","ISSN":"10630198","abstract":"Limited soil nitrogen (N) availability is a common problem in organic vegetable production that often necessitates in-season fertilization. The rate of net nitrogen mineralization (Nmin) from four organic fertilizers (seabird guano, hydrolyzed fish powder, feather meal, and blood meal) containing between 11.7% and 15.8% N was compared in a laboratory incubation. The fertilizers were mixed with soil from a field under organic management and incubated aerobically at constant moisture at 10, 15, 20, and 25??C. N min was determined on samples extracted after 1, 2, 4, and 8 weeks. Rapid Nmin was observed from all fertilizers at all temperatures; within 2 weeks between 47% and 60% of organic N had been mineralized. Temperature had only modest effects, with 8-week Nmin averaging 56% and 66% across fertilizers at 10 and 25??C, respectively. Across temperatures, 8-week Nmin averaged 60%, 61%, 62%, and 66% for feather meal, seabird guano, fish powder, and blood meal, respectively. Cost per unit of available N (mineralized N + initial inorganic N) varied widely among fertilizers, with feather meal the least and fish powder the most expensive.","author":[{"dropping-particle":"","family":"Hartz","given":"T. K.","non-dropping-particle":"","parse-names":false,"suffix":""},{"dropping-particle":"","family":"Johnstone","given":"P. R.","non-dropping-particle":"","parse-names":false,"suffix":""}],"container-title":"HortTechnology","id":"ITEM-1","issue":"1","issued":{"date-parts":[["2006"]]},"page":"39-42","title":"Nitrogen availability from high-nitrogen-containing organic fertilizers","type":"article-journal","volume":"16"},"uris":["http://www.mendeley.com/documents/?uuid=cfc8f3ed-0540-4fb5-9528-1c4322031c31"]}],"mendeley":{"formattedCitation":"&lt;sup&gt;3&lt;/sup&gt;","plainTextFormattedCitation":"3","previouslyFormattedCitation":"&lt;sup&gt;3&lt;/sup&gt;"},"properties":{"noteIndex":0},"schema":"https://github.com/citation-style-language/schema/raw/master/csl-citation.json"}</w:instrText>
            </w:r>
            <w:r>
              <w:rPr>
                <w:rFonts w:ascii="Arial" w:eastAsia="Times New Roman" w:hAnsi="Arial" w:cs="Arial"/>
                <w:color w:val="000000"/>
                <w:sz w:val="20"/>
                <w:szCs w:val="20"/>
                <w:lang w:eastAsia="sv-SE"/>
              </w:rPr>
              <w:fldChar w:fldCharType="separate"/>
            </w:r>
            <w:r w:rsidR="006E4B8F" w:rsidRPr="006E4B8F">
              <w:rPr>
                <w:rFonts w:ascii="Arial" w:eastAsia="Times New Roman" w:hAnsi="Arial" w:cs="Arial"/>
                <w:noProof/>
                <w:color w:val="000000"/>
                <w:sz w:val="20"/>
                <w:szCs w:val="20"/>
                <w:vertAlign w:val="superscript"/>
                <w:lang w:eastAsia="sv-SE"/>
              </w:rPr>
              <w:t>3</w:t>
            </w:r>
            <w:r>
              <w:rPr>
                <w:rFonts w:ascii="Arial" w:eastAsia="Times New Roman" w:hAnsi="Arial" w:cs="Arial"/>
                <w:color w:val="000000"/>
                <w:sz w:val="20"/>
                <w:szCs w:val="20"/>
                <w:lang w:eastAsia="sv-SE"/>
              </w:rPr>
              <w:fldChar w:fldCharType="end"/>
            </w:r>
          </w:p>
        </w:tc>
      </w:tr>
      <w:tr w:rsidR="00C84B82" w:rsidRPr="001C3D2D" w14:paraId="6177891C" w14:textId="77777777" w:rsidTr="00C84B82">
        <w:trPr>
          <w:trHeight w:val="320"/>
        </w:trPr>
        <w:tc>
          <w:tcPr>
            <w:tcW w:w="2100" w:type="dxa"/>
            <w:tcBorders>
              <w:top w:val="nil"/>
              <w:left w:val="nil"/>
              <w:bottom w:val="nil"/>
              <w:right w:val="nil"/>
            </w:tcBorders>
            <w:shd w:val="clear" w:color="auto" w:fill="auto"/>
            <w:noWrap/>
            <w:vAlign w:val="bottom"/>
            <w:hideMark/>
          </w:tcPr>
          <w:p w14:paraId="53DBC840" w14:textId="3E9E2760" w:rsidR="00C84B82" w:rsidRPr="001C3D2D" w:rsidRDefault="00C84B82" w:rsidP="00B27156">
            <w:pPr>
              <w:spacing w:line="276" w:lineRule="auto"/>
              <w:rPr>
                <w:rFonts w:ascii="Arial" w:eastAsia="Times New Roman" w:hAnsi="Arial" w:cs="Arial"/>
                <w:i/>
                <w:color w:val="000000"/>
                <w:sz w:val="20"/>
                <w:szCs w:val="20"/>
                <w:lang w:eastAsia="sv-SE"/>
              </w:rPr>
            </w:pPr>
            <w:r w:rsidRPr="001C3D2D">
              <w:rPr>
                <w:rFonts w:ascii="Arial" w:eastAsia="Times New Roman" w:hAnsi="Arial" w:cs="Arial"/>
                <w:i/>
                <w:color w:val="000000"/>
                <w:sz w:val="20"/>
                <w:szCs w:val="20"/>
                <w:lang w:eastAsia="sv-SE"/>
              </w:rPr>
              <w:t>Tropical seabirds</w:t>
            </w:r>
          </w:p>
        </w:tc>
        <w:tc>
          <w:tcPr>
            <w:tcW w:w="1063" w:type="dxa"/>
            <w:tcBorders>
              <w:top w:val="nil"/>
              <w:left w:val="nil"/>
              <w:bottom w:val="nil"/>
              <w:right w:val="nil"/>
            </w:tcBorders>
            <w:shd w:val="clear" w:color="auto" w:fill="auto"/>
            <w:noWrap/>
            <w:vAlign w:val="bottom"/>
            <w:hideMark/>
          </w:tcPr>
          <w:p w14:paraId="319E12B9" w14:textId="77777777" w:rsidR="00C84B82" w:rsidRPr="001C3D2D" w:rsidRDefault="00C84B82" w:rsidP="00B27156">
            <w:pPr>
              <w:spacing w:line="276" w:lineRule="auto"/>
              <w:rPr>
                <w:rFonts w:ascii="Arial" w:eastAsia="Times New Roman" w:hAnsi="Arial" w:cs="Arial"/>
                <w:color w:val="000000"/>
                <w:sz w:val="20"/>
                <w:szCs w:val="20"/>
                <w:lang w:eastAsia="sv-SE"/>
              </w:rPr>
            </w:pPr>
          </w:p>
        </w:tc>
        <w:tc>
          <w:tcPr>
            <w:tcW w:w="1460" w:type="dxa"/>
            <w:tcBorders>
              <w:top w:val="nil"/>
              <w:left w:val="nil"/>
              <w:bottom w:val="nil"/>
              <w:right w:val="nil"/>
            </w:tcBorders>
            <w:shd w:val="clear" w:color="auto" w:fill="auto"/>
            <w:noWrap/>
            <w:vAlign w:val="bottom"/>
            <w:hideMark/>
          </w:tcPr>
          <w:p w14:paraId="18410406" w14:textId="77777777" w:rsidR="00C84B82" w:rsidRPr="001C3D2D" w:rsidRDefault="00C84B82" w:rsidP="00B27156">
            <w:pPr>
              <w:spacing w:line="276" w:lineRule="auto"/>
              <w:jc w:val="center"/>
              <w:rPr>
                <w:rFonts w:ascii="Arial" w:eastAsia="Times New Roman" w:hAnsi="Arial" w:cs="Arial"/>
                <w:color w:val="000000"/>
                <w:sz w:val="20"/>
                <w:szCs w:val="20"/>
                <w:lang w:eastAsia="sv-SE"/>
              </w:rPr>
            </w:pPr>
            <w:r w:rsidRPr="001C3D2D">
              <w:rPr>
                <w:rFonts w:ascii="Arial" w:eastAsia="Times New Roman" w:hAnsi="Arial" w:cs="Arial"/>
                <w:color w:val="000000"/>
                <w:sz w:val="20"/>
                <w:szCs w:val="20"/>
                <w:lang w:eastAsia="sv-SE"/>
              </w:rPr>
              <w:t>18.25</w:t>
            </w:r>
          </w:p>
        </w:tc>
        <w:tc>
          <w:tcPr>
            <w:tcW w:w="1460" w:type="dxa"/>
            <w:tcBorders>
              <w:top w:val="nil"/>
              <w:left w:val="nil"/>
              <w:bottom w:val="nil"/>
              <w:right w:val="nil"/>
            </w:tcBorders>
            <w:shd w:val="clear" w:color="auto" w:fill="auto"/>
            <w:noWrap/>
            <w:vAlign w:val="bottom"/>
            <w:hideMark/>
          </w:tcPr>
          <w:p w14:paraId="1144123B" w14:textId="77777777" w:rsidR="00C84B82" w:rsidRPr="001C3D2D" w:rsidRDefault="00C84B82" w:rsidP="00B27156">
            <w:pPr>
              <w:spacing w:line="276" w:lineRule="auto"/>
              <w:jc w:val="center"/>
              <w:rPr>
                <w:rFonts w:ascii="Arial" w:eastAsia="Times New Roman" w:hAnsi="Arial" w:cs="Arial"/>
                <w:color w:val="000000"/>
                <w:sz w:val="20"/>
                <w:szCs w:val="20"/>
                <w:lang w:eastAsia="sv-SE"/>
              </w:rPr>
            </w:pPr>
            <w:r w:rsidRPr="001C3D2D">
              <w:rPr>
                <w:rFonts w:ascii="Arial" w:eastAsia="Times New Roman" w:hAnsi="Arial" w:cs="Arial"/>
                <w:color w:val="000000"/>
                <w:sz w:val="20"/>
                <w:szCs w:val="20"/>
                <w:lang w:eastAsia="sv-SE"/>
              </w:rPr>
              <w:t>3.75</w:t>
            </w:r>
          </w:p>
        </w:tc>
        <w:tc>
          <w:tcPr>
            <w:tcW w:w="2365" w:type="dxa"/>
            <w:tcBorders>
              <w:top w:val="nil"/>
              <w:left w:val="nil"/>
              <w:bottom w:val="nil"/>
              <w:right w:val="nil"/>
            </w:tcBorders>
            <w:shd w:val="clear" w:color="auto" w:fill="auto"/>
            <w:noWrap/>
            <w:vAlign w:val="bottom"/>
          </w:tcPr>
          <w:p w14:paraId="7B7C0FD0" w14:textId="20AD38D3" w:rsidR="00C84B82" w:rsidRPr="001C3D2D" w:rsidRDefault="00C84B82" w:rsidP="00B27156">
            <w:pPr>
              <w:spacing w:line="276" w:lineRule="auto"/>
              <w:rPr>
                <w:rFonts w:ascii="Arial" w:eastAsia="Times New Roman" w:hAnsi="Arial" w:cs="Arial"/>
                <w:color w:val="000000"/>
                <w:sz w:val="20"/>
                <w:szCs w:val="20"/>
                <w:lang w:eastAsia="sv-SE"/>
              </w:rPr>
            </w:pPr>
            <w:r>
              <w:rPr>
                <w:rFonts w:ascii="Arial" w:eastAsia="Times New Roman" w:hAnsi="Arial" w:cs="Arial"/>
                <w:color w:val="000000"/>
                <w:sz w:val="20"/>
                <w:szCs w:val="20"/>
                <w:lang w:eastAsia="sv-SE"/>
              </w:rPr>
              <w:fldChar w:fldCharType="begin" w:fldLock="1"/>
            </w:r>
            <w:r w:rsidR="00315A3A">
              <w:rPr>
                <w:rFonts w:ascii="Arial" w:eastAsia="Times New Roman" w:hAnsi="Arial" w:cs="Arial"/>
                <w:color w:val="000000"/>
                <w:sz w:val="20"/>
                <w:szCs w:val="20"/>
                <w:lang w:eastAsia="sv-SE"/>
              </w:rPr>
              <w:instrText>ADDIN CSL_CITATION {"citationItems":[{"id":"ITEM-1","itemData":{"author":[{"dropping-particle":"","family":"Smith","given":"Jonathan Staunton","non-dropping-particle":"","parse-names":false,"suffix":""},{"dropping-particle":"","family":"Johnson","given":"Craig R","non-dropping-particle":"","parse-names":false,"suffix":""}],"container-title":"Marine Ecology Progress Series","id":"ITEM-1","issued":{"date-parts":[["1995"]]},"page":"189-200","title":"Nutrient inputs from seabirds and humans on a populated coral cay","type":"article-journal","volume":"124"},"uris":["http://www.mendeley.com/documents/?uuid=1f5fbee1-0647-495f-a800-9328ee14b016"]}],"mendeley":{"formattedCitation":"&lt;sup&gt;4&lt;/sup&gt;","plainTextFormattedCitation":"4","previouslyFormattedCitation":"&lt;sup&gt;4&lt;/sup&gt;"},"properties":{"noteIndex":0},"schema":"https://github.com/citation-style-language/schema/raw/master/csl-citation.json"}</w:instrText>
            </w:r>
            <w:r>
              <w:rPr>
                <w:rFonts w:ascii="Arial" w:eastAsia="Times New Roman" w:hAnsi="Arial" w:cs="Arial"/>
                <w:color w:val="000000"/>
                <w:sz w:val="20"/>
                <w:szCs w:val="20"/>
                <w:lang w:eastAsia="sv-SE"/>
              </w:rPr>
              <w:fldChar w:fldCharType="separate"/>
            </w:r>
            <w:r w:rsidR="006E4B8F" w:rsidRPr="006E4B8F">
              <w:rPr>
                <w:rFonts w:ascii="Arial" w:eastAsia="Times New Roman" w:hAnsi="Arial" w:cs="Arial"/>
                <w:noProof/>
                <w:color w:val="000000"/>
                <w:sz w:val="20"/>
                <w:szCs w:val="20"/>
                <w:vertAlign w:val="superscript"/>
                <w:lang w:eastAsia="sv-SE"/>
              </w:rPr>
              <w:t>4</w:t>
            </w:r>
            <w:r>
              <w:rPr>
                <w:rFonts w:ascii="Arial" w:eastAsia="Times New Roman" w:hAnsi="Arial" w:cs="Arial"/>
                <w:color w:val="000000"/>
                <w:sz w:val="20"/>
                <w:szCs w:val="20"/>
                <w:lang w:eastAsia="sv-SE"/>
              </w:rPr>
              <w:fldChar w:fldCharType="end"/>
            </w:r>
          </w:p>
        </w:tc>
      </w:tr>
      <w:tr w:rsidR="00C84B82" w:rsidRPr="001C3D2D" w14:paraId="19FACC74" w14:textId="77777777" w:rsidTr="00C84B82">
        <w:trPr>
          <w:trHeight w:val="320"/>
        </w:trPr>
        <w:tc>
          <w:tcPr>
            <w:tcW w:w="2100" w:type="dxa"/>
            <w:tcBorders>
              <w:top w:val="nil"/>
              <w:left w:val="nil"/>
              <w:bottom w:val="nil"/>
              <w:right w:val="nil"/>
            </w:tcBorders>
            <w:shd w:val="clear" w:color="auto" w:fill="auto"/>
            <w:noWrap/>
            <w:vAlign w:val="bottom"/>
            <w:hideMark/>
          </w:tcPr>
          <w:p w14:paraId="41D3DC66" w14:textId="77777777" w:rsidR="00C84B82" w:rsidRPr="001C3D2D" w:rsidRDefault="00C84B82" w:rsidP="00B27156">
            <w:pPr>
              <w:spacing w:line="276" w:lineRule="auto"/>
              <w:rPr>
                <w:rFonts w:ascii="Arial" w:eastAsia="Times New Roman" w:hAnsi="Arial" w:cs="Arial"/>
                <w:i/>
                <w:color w:val="000000"/>
                <w:sz w:val="20"/>
                <w:szCs w:val="20"/>
                <w:lang w:eastAsia="sv-SE"/>
              </w:rPr>
            </w:pPr>
            <w:r w:rsidRPr="001C3D2D">
              <w:rPr>
                <w:rFonts w:ascii="Arial" w:eastAsia="Times New Roman" w:hAnsi="Arial" w:cs="Arial"/>
                <w:i/>
                <w:color w:val="000000"/>
                <w:sz w:val="20"/>
                <w:szCs w:val="20"/>
                <w:lang w:eastAsia="sv-SE"/>
              </w:rPr>
              <w:t>Temperate seabirds</w:t>
            </w:r>
          </w:p>
        </w:tc>
        <w:tc>
          <w:tcPr>
            <w:tcW w:w="1063" w:type="dxa"/>
            <w:tcBorders>
              <w:top w:val="nil"/>
              <w:left w:val="nil"/>
              <w:bottom w:val="nil"/>
              <w:right w:val="nil"/>
            </w:tcBorders>
            <w:shd w:val="clear" w:color="auto" w:fill="auto"/>
            <w:noWrap/>
            <w:vAlign w:val="bottom"/>
            <w:hideMark/>
          </w:tcPr>
          <w:p w14:paraId="77BB1E1A" w14:textId="77777777" w:rsidR="00C84B82" w:rsidRPr="001C3D2D" w:rsidRDefault="00C84B82" w:rsidP="00B27156">
            <w:pPr>
              <w:spacing w:line="276" w:lineRule="auto"/>
              <w:rPr>
                <w:rFonts w:ascii="Arial" w:eastAsia="Times New Roman" w:hAnsi="Arial" w:cs="Arial"/>
                <w:color w:val="000000"/>
                <w:sz w:val="20"/>
                <w:szCs w:val="20"/>
                <w:lang w:eastAsia="sv-SE"/>
              </w:rPr>
            </w:pPr>
          </w:p>
        </w:tc>
        <w:tc>
          <w:tcPr>
            <w:tcW w:w="1460" w:type="dxa"/>
            <w:tcBorders>
              <w:top w:val="nil"/>
              <w:left w:val="nil"/>
              <w:bottom w:val="nil"/>
              <w:right w:val="nil"/>
            </w:tcBorders>
            <w:shd w:val="clear" w:color="auto" w:fill="auto"/>
            <w:noWrap/>
            <w:vAlign w:val="bottom"/>
            <w:hideMark/>
          </w:tcPr>
          <w:p w14:paraId="607EBE9C" w14:textId="77777777" w:rsidR="00C84B82" w:rsidRPr="001C3D2D" w:rsidRDefault="00C84B82" w:rsidP="00B27156">
            <w:pPr>
              <w:spacing w:line="276" w:lineRule="auto"/>
              <w:jc w:val="center"/>
              <w:rPr>
                <w:rFonts w:ascii="Arial" w:eastAsia="Times New Roman" w:hAnsi="Arial" w:cs="Arial"/>
                <w:color w:val="000000"/>
                <w:sz w:val="20"/>
                <w:szCs w:val="20"/>
                <w:lang w:eastAsia="sv-SE"/>
              </w:rPr>
            </w:pPr>
            <w:r w:rsidRPr="001C3D2D">
              <w:rPr>
                <w:rFonts w:ascii="Arial" w:eastAsia="Times New Roman" w:hAnsi="Arial" w:cs="Arial"/>
                <w:color w:val="000000"/>
                <w:sz w:val="20"/>
                <w:szCs w:val="20"/>
                <w:lang w:eastAsia="sv-SE"/>
              </w:rPr>
              <w:t>9.00</w:t>
            </w:r>
          </w:p>
        </w:tc>
        <w:tc>
          <w:tcPr>
            <w:tcW w:w="1460" w:type="dxa"/>
            <w:tcBorders>
              <w:top w:val="nil"/>
              <w:left w:val="nil"/>
              <w:bottom w:val="nil"/>
              <w:right w:val="nil"/>
            </w:tcBorders>
            <w:shd w:val="clear" w:color="auto" w:fill="auto"/>
            <w:noWrap/>
            <w:vAlign w:val="bottom"/>
            <w:hideMark/>
          </w:tcPr>
          <w:p w14:paraId="7963478D" w14:textId="77777777" w:rsidR="00C84B82" w:rsidRPr="001C3D2D" w:rsidRDefault="00C84B82" w:rsidP="00B27156">
            <w:pPr>
              <w:spacing w:line="276" w:lineRule="auto"/>
              <w:jc w:val="center"/>
              <w:rPr>
                <w:rFonts w:ascii="Arial" w:eastAsia="Times New Roman" w:hAnsi="Arial" w:cs="Arial"/>
                <w:color w:val="000000"/>
                <w:sz w:val="20"/>
                <w:szCs w:val="20"/>
                <w:lang w:eastAsia="sv-SE"/>
              </w:rPr>
            </w:pPr>
          </w:p>
        </w:tc>
        <w:tc>
          <w:tcPr>
            <w:tcW w:w="2365" w:type="dxa"/>
            <w:tcBorders>
              <w:top w:val="nil"/>
              <w:left w:val="nil"/>
              <w:bottom w:val="nil"/>
              <w:right w:val="nil"/>
            </w:tcBorders>
            <w:shd w:val="clear" w:color="auto" w:fill="auto"/>
            <w:noWrap/>
            <w:vAlign w:val="bottom"/>
          </w:tcPr>
          <w:p w14:paraId="70BCE71A" w14:textId="7B0AA768" w:rsidR="00C84B82" w:rsidRPr="001C3D2D" w:rsidRDefault="00C84B82" w:rsidP="00B27156">
            <w:pPr>
              <w:spacing w:line="276" w:lineRule="auto"/>
              <w:rPr>
                <w:rFonts w:ascii="Arial" w:eastAsia="Times New Roman" w:hAnsi="Arial" w:cs="Arial"/>
                <w:color w:val="000000"/>
                <w:sz w:val="20"/>
                <w:szCs w:val="20"/>
                <w:lang w:val="en-US" w:eastAsia="sv-SE"/>
              </w:rPr>
            </w:pPr>
            <w:r>
              <w:rPr>
                <w:rFonts w:ascii="Arial" w:eastAsia="Times New Roman" w:hAnsi="Arial" w:cs="Arial"/>
                <w:color w:val="000000"/>
                <w:sz w:val="20"/>
                <w:szCs w:val="20"/>
                <w:lang w:eastAsia="sv-SE"/>
              </w:rPr>
              <w:fldChar w:fldCharType="begin" w:fldLock="1"/>
            </w:r>
            <w:r w:rsidR="00315A3A">
              <w:rPr>
                <w:rFonts w:ascii="Arial" w:eastAsia="Times New Roman" w:hAnsi="Arial" w:cs="Arial"/>
                <w:color w:val="000000"/>
                <w:sz w:val="20"/>
                <w:szCs w:val="20"/>
                <w:lang w:eastAsia="sv-SE"/>
              </w:rPr>
              <w:instrText>ADDIN CSL_CITATION {"citationItems":[{"id":"ITEM-1","itemData":{"DOI":"10.2307/2256831","ISSN":"00220477","abstract":"(1) Deposition of guano is one of the most influential habitat factors in the bird colonies, selecting towards a similar type of flora in widely divergent areas. (2) Rabbit pellets are of little importance to the soil nutrient content except in non-organic cliff soils newly exposed by erosion. The dung of Soay sheep is most influential in the cliff sheltering grounds. (3) Deposition of seabird manure in summer is very concentrated locally and greatly enriches the soil, the material added being brought chiefly from the sea or the adjacent mainland. (4) All vegetation is eliminated where deposition of guano is most intense as in the Grassholm gannetry. Where slightly less intense, as in the Stellarietum of the Middleholm gull roost, only a few specialized nitrophiles can exist. (5) In shearwater colonies a high proportion of the defaecation takes place inside the burrows, diffusely throughout their ramifications. (6) In puffin colonies deposition occurs in three main areas, on the communal cliff edge `standing grounds', at the burrow entrances and in special defaecation chambers within the burrows. (7) Defaecation by razorbills may be directly on to mats of Agrostis stolonifera, which suffer little harm as a result. (8) Areas most affected in the gull colonies are the feeding, preening and observation areas, defaecation in the immediate vicinity of the nest being often less. (9) Guano contains nitrogen, phosphate, potash and lime and is stimulatory to most plants when in moderate amounts. Feathers and food remains also add to the soil nutrient content. (10) The amount of nitrate in the soil is closely dependent on the deposition of manure and ranges from the equivalent of 0-2 lb./acre in areas unfrequented by the vertebrate fauna to over 100 lb./acre where manuring is concentrated. Mammals increase the soil nitrate content 20-40 fold, birds 100 fold, amounts in the nesting colonies having decreased by about 50 per cent six weeks after the birds have left in autumn. The C:N ratio is not usually low enough to suppress flowering. (11) Soil phosphate content is closely related to the amount of guano present and ranges from 0.02 per cent in areas remote from the birds to 0.7 per cent where defaecation is heavy. Guano samples contained up to 12.84 per cent, rabbit dung 0.5 per cent. (12) Exchangeable calcium and carbonate of the soil are little affected by guano, being more closely related to the amount of organic matter present. (13) Both guano and salt make t…","author":[{"dropping-particle":"","family":"Gillham","given":"Mary E.","non-dropping-particle":"","parse-names":false,"suffix":""}],"container-title":"The Journal of Ecology","id":"ITEM-1","issue":"2","issued":{"date-parts":[["1956"]]},"page":"429","title":"Ecology of the Pembrokeshire Islands: V. Manuring by the Colonial Seabirds and Mammals, with a Note on Seed Distribution by Gulls","type":"article-journal","volume":"44"},"uris":["http://www.mendeley.com/documents/?uuid=967146b3-01e0-4e7c-ba35-389a9e22d8f7"]}],"mendeley":{"formattedCitation":"&lt;sup&gt;5&lt;/sup&gt;","plainTextFormattedCitation":"5","previouslyFormattedCitation":"&lt;sup&gt;5&lt;/sup&gt;"},"properties":{"noteIndex":0},"schema":"https://github.com/citation-style-language/schema/raw/master/csl-citation.json"}</w:instrText>
            </w:r>
            <w:r>
              <w:rPr>
                <w:rFonts w:ascii="Arial" w:eastAsia="Times New Roman" w:hAnsi="Arial" w:cs="Arial"/>
                <w:color w:val="000000"/>
                <w:sz w:val="20"/>
                <w:szCs w:val="20"/>
                <w:lang w:eastAsia="sv-SE"/>
              </w:rPr>
              <w:fldChar w:fldCharType="separate"/>
            </w:r>
            <w:r w:rsidR="006E4B8F" w:rsidRPr="006E4B8F">
              <w:rPr>
                <w:rFonts w:ascii="Arial" w:eastAsia="Times New Roman" w:hAnsi="Arial" w:cs="Arial"/>
                <w:noProof/>
                <w:color w:val="000000"/>
                <w:sz w:val="20"/>
                <w:szCs w:val="20"/>
                <w:vertAlign w:val="superscript"/>
                <w:lang w:val="en-US" w:eastAsia="sv-SE"/>
              </w:rPr>
              <w:t>5</w:t>
            </w:r>
            <w:r>
              <w:rPr>
                <w:rFonts w:ascii="Arial" w:eastAsia="Times New Roman" w:hAnsi="Arial" w:cs="Arial"/>
                <w:color w:val="000000"/>
                <w:sz w:val="20"/>
                <w:szCs w:val="20"/>
                <w:lang w:eastAsia="sv-SE"/>
              </w:rPr>
              <w:fldChar w:fldCharType="end"/>
            </w:r>
          </w:p>
        </w:tc>
      </w:tr>
      <w:tr w:rsidR="00C84B82" w:rsidRPr="001C3D2D" w14:paraId="08F282B8" w14:textId="77777777" w:rsidTr="00C84B82">
        <w:trPr>
          <w:trHeight w:val="320"/>
        </w:trPr>
        <w:tc>
          <w:tcPr>
            <w:tcW w:w="2100" w:type="dxa"/>
            <w:tcBorders>
              <w:top w:val="nil"/>
              <w:left w:val="nil"/>
              <w:bottom w:val="nil"/>
              <w:right w:val="nil"/>
            </w:tcBorders>
            <w:shd w:val="clear" w:color="auto" w:fill="auto"/>
            <w:noWrap/>
            <w:vAlign w:val="bottom"/>
            <w:hideMark/>
          </w:tcPr>
          <w:p w14:paraId="4582494B" w14:textId="77777777" w:rsidR="00C84B82" w:rsidRPr="001C3D2D" w:rsidRDefault="00C84B82" w:rsidP="00B27156">
            <w:pPr>
              <w:spacing w:line="276" w:lineRule="auto"/>
              <w:rPr>
                <w:rFonts w:ascii="Arial" w:eastAsia="Times New Roman" w:hAnsi="Arial" w:cs="Arial"/>
                <w:i/>
                <w:color w:val="000000"/>
                <w:sz w:val="20"/>
                <w:szCs w:val="20"/>
                <w:lang w:val="en-US" w:eastAsia="sv-SE"/>
              </w:rPr>
            </w:pPr>
            <w:r w:rsidRPr="001C3D2D">
              <w:rPr>
                <w:rFonts w:ascii="Arial" w:eastAsia="Times New Roman" w:hAnsi="Arial" w:cs="Arial"/>
                <w:i/>
                <w:color w:val="000000"/>
                <w:sz w:val="20"/>
                <w:szCs w:val="20"/>
                <w:lang w:val="en-US" w:eastAsia="sv-SE"/>
              </w:rPr>
              <w:t>Temperate seabirds</w:t>
            </w:r>
          </w:p>
        </w:tc>
        <w:tc>
          <w:tcPr>
            <w:tcW w:w="1063" w:type="dxa"/>
            <w:tcBorders>
              <w:top w:val="nil"/>
              <w:left w:val="nil"/>
              <w:bottom w:val="nil"/>
              <w:right w:val="nil"/>
            </w:tcBorders>
            <w:shd w:val="clear" w:color="auto" w:fill="auto"/>
            <w:noWrap/>
            <w:vAlign w:val="bottom"/>
            <w:hideMark/>
          </w:tcPr>
          <w:p w14:paraId="3242A334" w14:textId="77777777" w:rsidR="00C84B82" w:rsidRPr="001C3D2D" w:rsidRDefault="00C84B82" w:rsidP="00B27156">
            <w:pPr>
              <w:spacing w:line="276" w:lineRule="auto"/>
              <w:rPr>
                <w:rFonts w:ascii="Arial" w:eastAsia="Times New Roman" w:hAnsi="Arial" w:cs="Arial"/>
                <w:color w:val="000000"/>
                <w:sz w:val="20"/>
                <w:szCs w:val="20"/>
                <w:lang w:val="en-US" w:eastAsia="sv-SE"/>
              </w:rPr>
            </w:pPr>
          </w:p>
        </w:tc>
        <w:tc>
          <w:tcPr>
            <w:tcW w:w="1460" w:type="dxa"/>
            <w:tcBorders>
              <w:top w:val="nil"/>
              <w:left w:val="nil"/>
              <w:bottom w:val="nil"/>
              <w:right w:val="nil"/>
            </w:tcBorders>
            <w:shd w:val="clear" w:color="auto" w:fill="auto"/>
            <w:noWrap/>
            <w:vAlign w:val="bottom"/>
            <w:hideMark/>
          </w:tcPr>
          <w:p w14:paraId="417BDD61" w14:textId="77777777" w:rsidR="00C84B82" w:rsidRPr="001C3D2D" w:rsidRDefault="00C84B82" w:rsidP="00B27156">
            <w:pPr>
              <w:spacing w:line="276" w:lineRule="auto"/>
              <w:jc w:val="center"/>
              <w:rPr>
                <w:rFonts w:ascii="Arial" w:eastAsia="Times New Roman" w:hAnsi="Arial" w:cs="Arial"/>
                <w:color w:val="000000"/>
                <w:sz w:val="20"/>
                <w:szCs w:val="20"/>
                <w:lang w:val="en-US" w:eastAsia="sv-SE"/>
              </w:rPr>
            </w:pPr>
            <w:r w:rsidRPr="001C3D2D">
              <w:rPr>
                <w:rFonts w:ascii="Arial" w:eastAsia="Times New Roman" w:hAnsi="Arial" w:cs="Arial"/>
                <w:color w:val="000000"/>
                <w:sz w:val="20"/>
                <w:szCs w:val="20"/>
                <w:lang w:val="en-US" w:eastAsia="sv-SE"/>
              </w:rPr>
              <w:t>18.00</w:t>
            </w:r>
          </w:p>
        </w:tc>
        <w:tc>
          <w:tcPr>
            <w:tcW w:w="1460" w:type="dxa"/>
            <w:tcBorders>
              <w:top w:val="nil"/>
              <w:left w:val="nil"/>
              <w:bottom w:val="nil"/>
              <w:right w:val="nil"/>
            </w:tcBorders>
            <w:shd w:val="clear" w:color="auto" w:fill="auto"/>
            <w:noWrap/>
            <w:vAlign w:val="bottom"/>
            <w:hideMark/>
          </w:tcPr>
          <w:p w14:paraId="47E8A3C3" w14:textId="77777777" w:rsidR="00C84B82" w:rsidRPr="001C3D2D" w:rsidRDefault="00C84B82" w:rsidP="00B27156">
            <w:pPr>
              <w:spacing w:line="276" w:lineRule="auto"/>
              <w:jc w:val="center"/>
              <w:rPr>
                <w:rFonts w:ascii="Arial" w:eastAsia="Times New Roman" w:hAnsi="Arial" w:cs="Arial"/>
                <w:color w:val="000000"/>
                <w:sz w:val="20"/>
                <w:szCs w:val="20"/>
                <w:lang w:val="en-US" w:eastAsia="sv-SE"/>
              </w:rPr>
            </w:pPr>
          </w:p>
        </w:tc>
        <w:tc>
          <w:tcPr>
            <w:tcW w:w="2365" w:type="dxa"/>
            <w:tcBorders>
              <w:top w:val="nil"/>
              <w:left w:val="nil"/>
              <w:bottom w:val="nil"/>
              <w:right w:val="nil"/>
            </w:tcBorders>
            <w:shd w:val="clear" w:color="auto" w:fill="auto"/>
            <w:noWrap/>
            <w:vAlign w:val="bottom"/>
          </w:tcPr>
          <w:p w14:paraId="42DF3B4B" w14:textId="4008FB5F" w:rsidR="00C84B82" w:rsidRPr="001C3D2D" w:rsidRDefault="00C84B82" w:rsidP="00B27156">
            <w:pPr>
              <w:spacing w:line="276" w:lineRule="auto"/>
              <w:rPr>
                <w:rFonts w:ascii="Arial" w:eastAsia="Times New Roman" w:hAnsi="Arial" w:cs="Arial"/>
                <w:color w:val="000000"/>
                <w:sz w:val="20"/>
                <w:szCs w:val="20"/>
                <w:lang w:val="en-US" w:eastAsia="sv-SE"/>
              </w:rPr>
            </w:pPr>
            <w:r>
              <w:rPr>
                <w:rFonts w:ascii="Arial" w:eastAsia="Times New Roman" w:hAnsi="Arial" w:cs="Arial"/>
                <w:color w:val="000000"/>
                <w:sz w:val="20"/>
                <w:szCs w:val="20"/>
                <w:lang w:eastAsia="sv-SE"/>
              </w:rPr>
              <w:fldChar w:fldCharType="begin" w:fldLock="1"/>
            </w:r>
            <w:r w:rsidR="00315A3A">
              <w:rPr>
                <w:rFonts w:ascii="Arial" w:eastAsia="Times New Roman" w:hAnsi="Arial" w:cs="Arial"/>
                <w:color w:val="000000"/>
                <w:sz w:val="20"/>
                <w:szCs w:val="20"/>
                <w:lang w:eastAsia="sv-SE"/>
              </w:rPr>
              <w:instrText>ADDIN CSL_CITATION {"citationItems":[{"id":"ITEM-1","itemData":{"DOI":"10.2307/2256831","ISSN":"00220477","abstract":"(1) Deposition of guano is one of the most influential habitat factors in the bird colonies, selecting towards a similar type of flora in widely divergent areas. (2) Rabbit pellets are of little importance to the soil nutrient content except in non-organic cliff soils newly exposed by erosion. The dung of Soay sheep is most influential in the cliff sheltering grounds. (3) Deposition of seabird manure in summer is very concentrated locally and greatly enriches the soil, the material added being brought chiefly from the sea or the adjacent mainland. (4) All vegetation is eliminated where deposition of guano is most intense as in the Grassholm gannetry. Where slightly less intense, as in the Stellarietum of the Middleholm gull roost, only a few specialized nitrophiles can exist. (5) In shearwater colonies a high proportion of the defaecation takes place inside the burrows, diffusely throughout their ramifications. (6) In puffin colonies deposition occurs in three main areas, on the communal cliff edge `standing grounds', at the burrow entrances and in special defaecation chambers within the burrows. (7) Defaecation by razorbills may be directly on to mats of Agrostis stolonifera, which suffer little harm as a result. (8) Areas most affected in the gull colonies are the feeding, preening and observation areas, defaecation in the immediate vicinity of the nest being often less. (9) Guano contains nitrogen, phosphate, potash and lime and is stimulatory to most plants when in moderate amounts. Feathers and food remains also add to the soil nutrient content. (10) The amount of nitrate in the soil is closely dependent on the deposition of manure and ranges from the equivalent of 0-2 lb./acre in areas unfrequented by the vertebrate fauna to over 100 lb./acre where manuring is concentrated. Mammals increase the soil nitrate content 20-40 fold, birds 100 fold, amounts in the nesting colonies having decreased by about 50 per cent six weeks after the birds have left in autumn. The C:N ratio is not usually low enough to suppress flowering. (11) Soil phosphate content is closely related to the amount of guano present and ranges from 0.02 per cent in areas remote from the birds to 0.7 per cent where defaecation is heavy. Guano samples contained up to 12.84 per cent, rabbit dung 0.5 per cent. (12) Exchangeable calcium and carbonate of the soil are little affected by guano, being more closely related to the amount of organic matter present. (13) Both guano and salt make t…","author":[{"dropping-particle":"","family":"Gillham","given":"Mary E.","non-dropping-particle":"","parse-names":false,"suffix":""}],"container-title":"The Journal of Ecology","id":"ITEM-1","issue":"2","issued":{"date-parts":[["1956"]]},"page":"429","title":"Ecology of the Pembrokeshire Islands: V. Manuring by the Colonial Seabirds and Mammals, with a Note on Seed Distribution by Gulls","type":"article-journal","volume":"44"},"uris":["http://www.mendeley.com/documents/?uuid=967146b3-01e0-4e7c-ba35-389a9e22d8f7"]}],"mendeley":{"formattedCitation":"&lt;sup&gt;5&lt;/sup&gt;","plainTextFormattedCitation":"5","previouslyFormattedCitation":"&lt;sup&gt;5&lt;/sup&gt;"},"properties":{"noteIndex":0},"schema":"https://github.com/citation-style-language/schema/raw/master/csl-citation.json"}</w:instrText>
            </w:r>
            <w:r>
              <w:rPr>
                <w:rFonts w:ascii="Arial" w:eastAsia="Times New Roman" w:hAnsi="Arial" w:cs="Arial"/>
                <w:color w:val="000000"/>
                <w:sz w:val="20"/>
                <w:szCs w:val="20"/>
                <w:lang w:eastAsia="sv-SE"/>
              </w:rPr>
              <w:fldChar w:fldCharType="separate"/>
            </w:r>
            <w:r w:rsidR="006E4B8F" w:rsidRPr="006E4B8F">
              <w:rPr>
                <w:rFonts w:ascii="Arial" w:eastAsia="Times New Roman" w:hAnsi="Arial" w:cs="Arial"/>
                <w:noProof/>
                <w:color w:val="000000"/>
                <w:sz w:val="20"/>
                <w:szCs w:val="20"/>
                <w:vertAlign w:val="superscript"/>
                <w:lang w:val="en-US" w:eastAsia="sv-SE"/>
              </w:rPr>
              <w:t>5</w:t>
            </w:r>
            <w:r>
              <w:rPr>
                <w:rFonts w:ascii="Arial" w:eastAsia="Times New Roman" w:hAnsi="Arial" w:cs="Arial"/>
                <w:color w:val="000000"/>
                <w:sz w:val="20"/>
                <w:szCs w:val="20"/>
                <w:lang w:eastAsia="sv-SE"/>
              </w:rPr>
              <w:fldChar w:fldCharType="end"/>
            </w:r>
          </w:p>
        </w:tc>
      </w:tr>
      <w:tr w:rsidR="00C84B82" w:rsidRPr="001C3D2D" w14:paraId="15858335" w14:textId="77777777" w:rsidTr="00C84B82">
        <w:trPr>
          <w:trHeight w:val="320"/>
        </w:trPr>
        <w:tc>
          <w:tcPr>
            <w:tcW w:w="2100" w:type="dxa"/>
            <w:tcBorders>
              <w:top w:val="nil"/>
              <w:left w:val="nil"/>
              <w:bottom w:val="nil"/>
              <w:right w:val="nil"/>
            </w:tcBorders>
            <w:shd w:val="clear" w:color="auto" w:fill="auto"/>
            <w:noWrap/>
            <w:vAlign w:val="bottom"/>
            <w:hideMark/>
          </w:tcPr>
          <w:p w14:paraId="5A8D717B" w14:textId="017E2816" w:rsidR="00C84B82" w:rsidRPr="001C3D2D" w:rsidRDefault="00C84B82" w:rsidP="00B27156">
            <w:pPr>
              <w:spacing w:line="276" w:lineRule="auto"/>
              <w:rPr>
                <w:rFonts w:ascii="Arial" w:eastAsia="Times New Roman" w:hAnsi="Arial" w:cs="Arial"/>
                <w:color w:val="000000"/>
                <w:sz w:val="20"/>
                <w:szCs w:val="20"/>
                <w:lang w:val="en-US" w:eastAsia="sv-SE"/>
              </w:rPr>
            </w:pPr>
            <w:r w:rsidRPr="00C84B82">
              <w:rPr>
                <w:rFonts w:ascii="Arial" w:eastAsia="Times New Roman" w:hAnsi="Arial" w:cs="Arial"/>
                <w:color w:val="000000"/>
                <w:sz w:val="20"/>
                <w:szCs w:val="20"/>
                <w:lang w:val="en-US" w:eastAsia="sv-SE"/>
              </w:rPr>
              <w:t>W</w:t>
            </w:r>
            <w:r w:rsidRPr="001C3D2D">
              <w:rPr>
                <w:rFonts w:ascii="Arial" w:eastAsia="Times New Roman" w:hAnsi="Arial" w:cs="Arial"/>
                <w:color w:val="000000"/>
                <w:sz w:val="20"/>
                <w:szCs w:val="20"/>
                <w:lang w:val="en-US" w:eastAsia="sv-SE"/>
              </w:rPr>
              <w:t>estland petrel</w:t>
            </w:r>
          </w:p>
        </w:tc>
        <w:tc>
          <w:tcPr>
            <w:tcW w:w="1063" w:type="dxa"/>
            <w:tcBorders>
              <w:top w:val="nil"/>
              <w:left w:val="nil"/>
              <w:bottom w:val="nil"/>
              <w:right w:val="nil"/>
            </w:tcBorders>
            <w:shd w:val="clear" w:color="auto" w:fill="auto"/>
            <w:noWrap/>
            <w:vAlign w:val="bottom"/>
            <w:hideMark/>
          </w:tcPr>
          <w:p w14:paraId="7F477510" w14:textId="77777777" w:rsidR="00C84B82" w:rsidRPr="001C3D2D" w:rsidRDefault="00C84B82" w:rsidP="00B27156">
            <w:pPr>
              <w:spacing w:line="276" w:lineRule="auto"/>
              <w:rPr>
                <w:rFonts w:ascii="Arial" w:eastAsia="Times New Roman" w:hAnsi="Arial" w:cs="Arial"/>
                <w:color w:val="000000"/>
                <w:sz w:val="20"/>
                <w:szCs w:val="20"/>
                <w:lang w:val="en-US" w:eastAsia="sv-SE"/>
              </w:rPr>
            </w:pPr>
            <w:r w:rsidRPr="001C3D2D">
              <w:rPr>
                <w:rFonts w:ascii="Arial" w:eastAsia="Times New Roman" w:hAnsi="Arial" w:cs="Arial"/>
                <w:color w:val="000000"/>
                <w:sz w:val="20"/>
                <w:szCs w:val="20"/>
                <w:lang w:val="en-US" w:eastAsia="sv-SE"/>
              </w:rPr>
              <w:t>June</w:t>
            </w:r>
          </w:p>
        </w:tc>
        <w:tc>
          <w:tcPr>
            <w:tcW w:w="1460" w:type="dxa"/>
            <w:tcBorders>
              <w:top w:val="nil"/>
              <w:left w:val="nil"/>
              <w:bottom w:val="nil"/>
              <w:right w:val="nil"/>
            </w:tcBorders>
            <w:shd w:val="clear" w:color="auto" w:fill="auto"/>
            <w:noWrap/>
            <w:vAlign w:val="bottom"/>
            <w:hideMark/>
          </w:tcPr>
          <w:p w14:paraId="7362F0E7" w14:textId="77777777" w:rsidR="00C84B82" w:rsidRPr="001C3D2D" w:rsidRDefault="00C84B82" w:rsidP="00B27156">
            <w:pPr>
              <w:spacing w:line="276" w:lineRule="auto"/>
              <w:jc w:val="center"/>
              <w:rPr>
                <w:rFonts w:ascii="Arial" w:eastAsia="Times New Roman" w:hAnsi="Arial" w:cs="Arial"/>
                <w:color w:val="000000"/>
                <w:sz w:val="20"/>
                <w:szCs w:val="20"/>
                <w:lang w:val="en-US" w:eastAsia="sv-SE"/>
              </w:rPr>
            </w:pPr>
            <w:r w:rsidRPr="001C3D2D">
              <w:rPr>
                <w:rFonts w:ascii="Arial" w:eastAsia="Times New Roman" w:hAnsi="Arial" w:cs="Arial"/>
                <w:color w:val="000000"/>
                <w:sz w:val="20"/>
                <w:szCs w:val="20"/>
                <w:lang w:val="en-US" w:eastAsia="sv-SE"/>
              </w:rPr>
              <w:t>3.00</w:t>
            </w:r>
          </w:p>
        </w:tc>
        <w:tc>
          <w:tcPr>
            <w:tcW w:w="1460" w:type="dxa"/>
            <w:tcBorders>
              <w:top w:val="nil"/>
              <w:left w:val="nil"/>
              <w:bottom w:val="nil"/>
              <w:right w:val="nil"/>
            </w:tcBorders>
            <w:shd w:val="clear" w:color="auto" w:fill="auto"/>
            <w:noWrap/>
            <w:vAlign w:val="bottom"/>
            <w:hideMark/>
          </w:tcPr>
          <w:p w14:paraId="35C0C521" w14:textId="77777777" w:rsidR="00C84B82" w:rsidRPr="001C3D2D" w:rsidRDefault="00C84B82" w:rsidP="00B27156">
            <w:pPr>
              <w:spacing w:line="276" w:lineRule="auto"/>
              <w:jc w:val="center"/>
              <w:rPr>
                <w:rFonts w:ascii="Arial" w:eastAsia="Times New Roman" w:hAnsi="Arial" w:cs="Arial"/>
                <w:color w:val="000000"/>
                <w:sz w:val="20"/>
                <w:szCs w:val="20"/>
                <w:lang w:val="en-US" w:eastAsia="sv-SE"/>
              </w:rPr>
            </w:pPr>
            <w:r w:rsidRPr="001C3D2D">
              <w:rPr>
                <w:rFonts w:ascii="Arial" w:eastAsia="Times New Roman" w:hAnsi="Arial" w:cs="Arial"/>
                <w:color w:val="000000"/>
                <w:sz w:val="20"/>
                <w:szCs w:val="20"/>
                <w:lang w:val="en-US" w:eastAsia="sv-SE"/>
              </w:rPr>
              <w:t>1.62</w:t>
            </w:r>
          </w:p>
        </w:tc>
        <w:tc>
          <w:tcPr>
            <w:tcW w:w="2365" w:type="dxa"/>
            <w:tcBorders>
              <w:top w:val="nil"/>
              <w:left w:val="nil"/>
              <w:bottom w:val="nil"/>
              <w:right w:val="nil"/>
            </w:tcBorders>
            <w:shd w:val="clear" w:color="auto" w:fill="auto"/>
            <w:noWrap/>
            <w:vAlign w:val="bottom"/>
          </w:tcPr>
          <w:p w14:paraId="3F575C87" w14:textId="511DBED0" w:rsidR="00C84B82" w:rsidRPr="001C3D2D" w:rsidRDefault="00C84B82" w:rsidP="00B27156">
            <w:pPr>
              <w:spacing w:line="276" w:lineRule="auto"/>
              <w:rPr>
                <w:rFonts w:ascii="Arial" w:eastAsia="Times New Roman" w:hAnsi="Arial" w:cs="Arial"/>
                <w:color w:val="000000"/>
                <w:sz w:val="20"/>
                <w:szCs w:val="20"/>
                <w:lang w:val="en-US" w:eastAsia="sv-SE"/>
              </w:rPr>
            </w:pPr>
            <w:r>
              <w:rPr>
                <w:rFonts w:ascii="Arial" w:eastAsia="Times New Roman" w:hAnsi="Arial" w:cs="Arial"/>
                <w:color w:val="000000"/>
                <w:sz w:val="20"/>
                <w:szCs w:val="20"/>
                <w:lang w:val="en-US" w:eastAsia="sv-SE"/>
              </w:rPr>
              <w:fldChar w:fldCharType="begin" w:fldLock="1"/>
            </w:r>
            <w:r w:rsidR="00315A3A">
              <w:rPr>
                <w:rFonts w:ascii="Arial" w:eastAsia="Times New Roman" w:hAnsi="Arial" w:cs="Arial"/>
                <w:color w:val="000000"/>
                <w:sz w:val="20"/>
                <w:szCs w:val="20"/>
                <w:lang w:val="en-US" w:eastAsia="sv-SE"/>
              </w:rPr>
              <w:instrText>ADDIN CSL_CITATION {"citationItems":[{"id":"ITEM-1","itemData":{"DOI":"10.1071/SR05075","ISSN":"00049573","abstract":"Guano from breeding seabirds provides a large external source of nutrients to the soils of breeding colonies. However, little is known of guano P retention relative to N or the relative importance of guano and soil parent material as P sources. Soil profile N and P inventories (0-0.60 m, n = 4; 0-0.36 m, n = 1) and guano N and P concentrations were measured at a Westland petrel colony, and the parent material contributions of P were calculated using Ca, Al, Fe, Ti, and Zr as reference elements. Median inventories (0-0.60 m) were 1.49 kg N/m 2 and 332 × 10-3 kg P/m2, the N result being similar to that from a seabird colony on peat soil where N retention was very low. Calculated parent material contributions were smallest (32-66% of soil P) when based on Ca and largest (47-102% of soil P) when based on Zr. Contributions were similar for Al, Fe, and Ti; Al (41-87% soil P) was selected for subsequent calculations. Regardless of the reference element, parent material therefore contributed a large part of soil P. Phosphorus in excess of parent material supply (Pexcess) was significantly correlated with soil C, implying that guano P is held primarily in organic form. The median soil N:P molar ratios were 9.6:1 based on total P and 11.2:1 based on P excess, compared with ratios for Westland petrel guano of 4.1:1 (when birds were consuming fisheries waste) and 16.4:1 (when fisheries waste was replaced by fish). The similarity between soil and guano N:P ratios implies that both N and P are lost from soil at similar rates, although volatilisation of N would enrich soil drainage water in P. Calculations using guano deposition rates from the literature yielded P residence times of 4-15 years (P excess) and 11-41 years (total P), consistent with a highly dynamic soil system. © CSIRO 2005.","author":[{"dropping-particle":"","family":"Hawke","given":"David J.","non-dropping-particle":"","parse-names":false,"suffix":""}],"container-title":"Australian Journal of Soil Research","id":"ITEM-1","issue":"8","issued":{"date-parts":[["2005"]]},"page":"957-962","title":"Soil P in a forested seabird colony: Inventories, parent material contributions, and N:P stoichiometry","type":"article-journal","volume":"43"},"uris":["http://www.mendeley.com/documents/?uuid=61fe2692-9883-446e-996d-ab349637a563"]}],"mendeley":{"formattedCitation":"&lt;sup&gt;6&lt;/sup&gt;","plainTextFormattedCitation":"6","previouslyFormattedCitation":"&lt;sup&gt;6&lt;/sup&gt;"},"properties":{"noteIndex":0},"schema":"https://github.com/citation-style-language/schema/raw/master/csl-citation.json"}</w:instrText>
            </w:r>
            <w:r>
              <w:rPr>
                <w:rFonts w:ascii="Arial" w:eastAsia="Times New Roman" w:hAnsi="Arial" w:cs="Arial"/>
                <w:color w:val="000000"/>
                <w:sz w:val="20"/>
                <w:szCs w:val="20"/>
                <w:lang w:val="en-US" w:eastAsia="sv-SE"/>
              </w:rPr>
              <w:fldChar w:fldCharType="separate"/>
            </w:r>
            <w:r w:rsidR="006E4B8F" w:rsidRPr="006E4B8F">
              <w:rPr>
                <w:rFonts w:ascii="Arial" w:eastAsia="Times New Roman" w:hAnsi="Arial" w:cs="Arial"/>
                <w:noProof/>
                <w:color w:val="000000"/>
                <w:sz w:val="20"/>
                <w:szCs w:val="20"/>
                <w:vertAlign w:val="superscript"/>
                <w:lang w:val="en-US" w:eastAsia="sv-SE"/>
              </w:rPr>
              <w:t>6</w:t>
            </w:r>
            <w:r>
              <w:rPr>
                <w:rFonts w:ascii="Arial" w:eastAsia="Times New Roman" w:hAnsi="Arial" w:cs="Arial"/>
                <w:color w:val="000000"/>
                <w:sz w:val="20"/>
                <w:szCs w:val="20"/>
                <w:lang w:val="en-US" w:eastAsia="sv-SE"/>
              </w:rPr>
              <w:fldChar w:fldCharType="end"/>
            </w:r>
          </w:p>
        </w:tc>
      </w:tr>
      <w:tr w:rsidR="00C84B82" w:rsidRPr="001C3D2D" w14:paraId="3381832E" w14:textId="77777777" w:rsidTr="00C84B82">
        <w:trPr>
          <w:trHeight w:val="320"/>
        </w:trPr>
        <w:tc>
          <w:tcPr>
            <w:tcW w:w="2100" w:type="dxa"/>
            <w:tcBorders>
              <w:top w:val="nil"/>
              <w:left w:val="nil"/>
              <w:bottom w:val="nil"/>
              <w:right w:val="nil"/>
            </w:tcBorders>
            <w:shd w:val="clear" w:color="auto" w:fill="auto"/>
            <w:noWrap/>
            <w:vAlign w:val="bottom"/>
            <w:hideMark/>
          </w:tcPr>
          <w:p w14:paraId="3E074BC4" w14:textId="76E7FD91" w:rsidR="00C84B82" w:rsidRPr="001C3D2D" w:rsidRDefault="00C84B82" w:rsidP="00B27156">
            <w:pPr>
              <w:spacing w:line="276" w:lineRule="auto"/>
              <w:rPr>
                <w:rFonts w:ascii="Arial" w:eastAsia="Times New Roman" w:hAnsi="Arial" w:cs="Arial"/>
                <w:color w:val="000000"/>
                <w:sz w:val="20"/>
                <w:szCs w:val="20"/>
                <w:lang w:val="en-US" w:eastAsia="sv-SE"/>
              </w:rPr>
            </w:pPr>
            <w:r w:rsidRPr="00C84B82">
              <w:rPr>
                <w:rFonts w:ascii="Arial" w:eastAsia="Times New Roman" w:hAnsi="Arial" w:cs="Arial"/>
                <w:color w:val="000000"/>
                <w:sz w:val="20"/>
                <w:szCs w:val="20"/>
                <w:lang w:val="en-US" w:eastAsia="sv-SE"/>
              </w:rPr>
              <w:t>W</w:t>
            </w:r>
            <w:r w:rsidRPr="001C3D2D">
              <w:rPr>
                <w:rFonts w:ascii="Arial" w:eastAsia="Times New Roman" w:hAnsi="Arial" w:cs="Arial"/>
                <w:color w:val="000000"/>
                <w:sz w:val="20"/>
                <w:szCs w:val="20"/>
                <w:lang w:val="en-US" w:eastAsia="sv-SE"/>
              </w:rPr>
              <w:t>estland petrel</w:t>
            </w:r>
          </w:p>
        </w:tc>
        <w:tc>
          <w:tcPr>
            <w:tcW w:w="1063" w:type="dxa"/>
            <w:tcBorders>
              <w:top w:val="nil"/>
              <w:left w:val="nil"/>
              <w:bottom w:val="nil"/>
              <w:right w:val="nil"/>
            </w:tcBorders>
            <w:shd w:val="clear" w:color="auto" w:fill="auto"/>
            <w:noWrap/>
            <w:vAlign w:val="bottom"/>
            <w:hideMark/>
          </w:tcPr>
          <w:p w14:paraId="38F26AEE" w14:textId="77777777" w:rsidR="00C84B82" w:rsidRPr="001C3D2D" w:rsidRDefault="00C84B82" w:rsidP="00B27156">
            <w:pPr>
              <w:spacing w:line="276" w:lineRule="auto"/>
              <w:rPr>
                <w:rFonts w:ascii="Arial" w:eastAsia="Times New Roman" w:hAnsi="Arial" w:cs="Arial"/>
                <w:color w:val="000000"/>
                <w:sz w:val="20"/>
                <w:szCs w:val="20"/>
                <w:lang w:val="en-US" w:eastAsia="sv-SE"/>
              </w:rPr>
            </w:pPr>
            <w:r w:rsidRPr="001C3D2D">
              <w:rPr>
                <w:rFonts w:ascii="Arial" w:eastAsia="Times New Roman" w:hAnsi="Arial" w:cs="Arial"/>
                <w:color w:val="000000"/>
                <w:sz w:val="20"/>
                <w:szCs w:val="20"/>
                <w:lang w:val="en-US" w:eastAsia="sv-SE"/>
              </w:rPr>
              <w:t>November</w:t>
            </w:r>
          </w:p>
        </w:tc>
        <w:tc>
          <w:tcPr>
            <w:tcW w:w="1460" w:type="dxa"/>
            <w:tcBorders>
              <w:top w:val="nil"/>
              <w:left w:val="nil"/>
              <w:bottom w:val="nil"/>
              <w:right w:val="nil"/>
            </w:tcBorders>
            <w:shd w:val="clear" w:color="auto" w:fill="auto"/>
            <w:noWrap/>
            <w:vAlign w:val="bottom"/>
            <w:hideMark/>
          </w:tcPr>
          <w:p w14:paraId="46FD064D" w14:textId="77777777" w:rsidR="00C84B82" w:rsidRPr="001C3D2D" w:rsidRDefault="00C84B82" w:rsidP="00B27156">
            <w:pPr>
              <w:spacing w:line="276" w:lineRule="auto"/>
              <w:jc w:val="center"/>
              <w:rPr>
                <w:rFonts w:ascii="Arial" w:eastAsia="Times New Roman" w:hAnsi="Arial" w:cs="Arial"/>
                <w:color w:val="000000"/>
                <w:sz w:val="20"/>
                <w:szCs w:val="20"/>
                <w:lang w:val="en-US" w:eastAsia="sv-SE"/>
              </w:rPr>
            </w:pPr>
            <w:r w:rsidRPr="001C3D2D">
              <w:rPr>
                <w:rFonts w:ascii="Arial" w:eastAsia="Times New Roman" w:hAnsi="Arial" w:cs="Arial"/>
                <w:color w:val="000000"/>
                <w:sz w:val="20"/>
                <w:szCs w:val="20"/>
                <w:lang w:val="en-US" w:eastAsia="sv-SE"/>
              </w:rPr>
              <w:t>12.80</w:t>
            </w:r>
          </w:p>
        </w:tc>
        <w:tc>
          <w:tcPr>
            <w:tcW w:w="1460" w:type="dxa"/>
            <w:tcBorders>
              <w:top w:val="nil"/>
              <w:left w:val="nil"/>
              <w:bottom w:val="nil"/>
              <w:right w:val="nil"/>
            </w:tcBorders>
            <w:shd w:val="clear" w:color="auto" w:fill="auto"/>
            <w:noWrap/>
            <w:vAlign w:val="bottom"/>
            <w:hideMark/>
          </w:tcPr>
          <w:p w14:paraId="73E789A4" w14:textId="77777777" w:rsidR="00C84B82" w:rsidRPr="001C3D2D" w:rsidRDefault="00C84B82" w:rsidP="00B27156">
            <w:pPr>
              <w:spacing w:line="276" w:lineRule="auto"/>
              <w:jc w:val="center"/>
              <w:rPr>
                <w:rFonts w:ascii="Arial" w:eastAsia="Times New Roman" w:hAnsi="Arial" w:cs="Arial"/>
                <w:color w:val="000000"/>
                <w:sz w:val="20"/>
                <w:szCs w:val="20"/>
                <w:lang w:val="en-US" w:eastAsia="sv-SE"/>
              </w:rPr>
            </w:pPr>
            <w:r w:rsidRPr="001C3D2D">
              <w:rPr>
                <w:rFonts w:ascii="Arial" w:eastAsia="Times New Roman" w:hAnsi="Arial" w:cs="Arial"/>
                <w:color w:val="000000"/>
                <w:sz w:val="20"/>
                <w:szCs w:val="20"/>
                <w:lang w:val="en-US" w:eastAsia="sv-SE"/>
              </w:rPr>
              <w:t>1.72</w:t>
            </w:r>
          </w:p>
        </w:tc>
        <w:tc>
          <w:tcPr>
            <w:tcW w:w="2365" w:type="dxa"/>
            <w:tcBorders>
              <w:top w:val="nil"/>
              <w:left w:val="nil"/>
              <w:bottom w:val="nil"/>
              <w:right w:val="nil"/>
            </w:tcBorders>
            <w:shd w:val="clear" w:color="auto" w:fill="auto"/>
            <w:noWrap/>
            <w:vAlign w:val="bottom"/>
            <w:hideMark/>
          </w:tcPr>
          <w:p w14:paraId="14985855" w14:textId="520CD8EC" w:rsidR="00C84B82" w:rsidRPr="001C3D2D" w:rsidRDefault="00C84B82" w:rsidP="00B27156">
            <w:pPr>
              <w:spacing w:line="276" w:lineRule="auto"/>
              <w:rPr>
                <w:rFonts w:ascii="Arial" w:eastAsia="Times New Roman" w:hAnsi="Arial" w:cs="Arial"/>
                <w:color w:val="000000"/>
                <w:sz w:val="20"/>
                <w:szCs w:val="20"/>
                <w:lang w:val="en-US" w:eastAsia="sv-SE"/>
              </w:rPr>
            </w:pPr>
            <w:r>
              <w:rPr>
                <w:rFonts w:ascii="Arial" w:eastAsia="Times New Roman" w:hAnsi="Arial" w:cs="Arial"/>
                <w:color w:val="000000"/>
                <w:sz w:val="20"/>
                <w:szCs w:val="20"/>
                <w:lang w:val="en-US" w:eastAsia="sv-SE"/>
              </w:rPr>
              <w:fldChar w:fldCharType="begin" w:fldLock="1"/>
            </w:r>
            <w:r w:rsidR="00315A3A">
              <w:rPr>
                <w:rFonts w:ascii="Arial" w:eastAsia="Times New Roman" w:hAnsi="Arial" w:cs="Arial"/>
                <w:color w:val="000000"/>
                <w:sz w:val="20"/>
                <w:szCs w:val="20"/>
                <w:lang w:val="en-US" w:eastAsia="sv-SE"/>
              </w:rPr>
              <w:instrText>ADDIN CSL_CITATION {"citationItems":[{"id":"ITEM-1","itemData":{"DOI":"10.1071/SR05075","ISSN":"00049573","abstract":"Guano from breeding seabirds provides a large external source of nutrients to the soils of breeding colonies. However, little is known of guano P retention relative to N or the relative importance of guano and soil parent material as P sources. Soil profile N and P inventories (0-0.60 m, n = 4; 0-0.36 m, n = 1) and guano N and P concentrations were measured at a Westland petrel colony, and the parent material contributions of P were calculated using Ca, Al, Fe, Ti, and Zr as reference elements. Median inventories (0-0.60 m) were 1.49 kg N/m 2 and 332 × 10-3 kg P/m2, the N result being similar to that from a seabird colony on peat soil where N retention was very low. Calculated parent material contributions were smallest (32-66% of soil P) when based on Ca and largest (47-102% of soil P) when based on Zr. Contributions were similar for Al, Fe, and Ti; Al (41-87% soil P) was selected for subsequent calculations. Regardless of the reference element, parent material therefore contributed a large part of soil P. Phosphorus in excess of parent material supply (Pexcess) was significantly correlated with soil C, implying that guano P is held primarily in organic form. The median soil N:P molar ratios were 9.6:1 based on total P and 11.2:1 based on P excess, compared with ratios for Westland petrel guano of 4.1:1 (when birds were consuming fisheries waste) and 16.4:1 (when fisheries waste was replaced by fish). The similarity between soil and guano N:P ratios implies that both N and P are lost from soil at similar rates, although volatilisation of N would enrich soil drainage water in P. Calculations using guano deposition rates from the literature yielded P residence times of 4-15 years (P excess) and 11-41 years (total P), consistent with a highly dynamic soil system. © CSIRO 2005.","author":[{"dropping-particle":"","family":"Hawke","given":"David J.","non-dropping-particle":"","parse-names":false,"suffix":""}],"container-title":"Australian Journal of Soil Research","id":"ITEM-1","issue":"8","issued":{"date-parts":[["2005"]]},"page":"957-962","title":"Soil P in a forested seabird colony: Inventories, parent material contributions, and N:P stoichiometry","type":"article-journal","volume":"43"},"uris":["http://www.mendeley.com/documents/?uuid=61fe2692-9883-446e-996d-ab349637a563"]}],"mendeley":{"formattedCitation":"&lt;sup&gt;6&lt;/sup&gt;","plainTextFormattedCitation":"6","previouslyFormattedCitation":"&lt;sup&gt;6&lt;/sup&gt;"},"properties":{"noteIndex":0},"schema":"https://github.com/citation-style-language/schema/raw/master/csl-citation.json"}</w:instrText>
            </w:r>
            <w:r>
              <w:rPr>
                <w:rFonts w:ascii="Arial" w:eastAsia="Times New Roman" w:hAnsi="Arial" w:cs="Arial"/>
                <w:color w:val="000000"/>
                <w:sz w:val="20"/>
                <w:szCs w:val="20"/>
                <w:lang w:val="en-US" w:eastAsia="sv-SE"/>
              </w:rPr>
              <w:fldChar w:fldCharType="separate"/>
            </w:r>
            <w:r w:rsidR="006E4B8F" w:rsidRPr="006E4B8F">
              <w:rPr>
                <w:rFonts w:ascii="Arial" w:eastAsia="Times New Roman" w:hAnsi="Arial" w:cs="Arial"/>
                <w:noProof/>
                <w:color w:val="000000"/>
                <w:sz w:val="20"/>
                <w:szCs w:val="20"/>
                <w:vertAlign w:val="superscript"/>
                <w:lang w:val="en-US" w:eastAsia="sv-SE"/>
              </w:rPr>
              <w:t>6</w:t>
            </w:r>
            <w:r>
              <w:rPr>
                <w:rFonts w:ascii="Arial" w:eastAsia="Times New Roman" w:hAnsi="Arial" w:cs="Arial"/>
                <w:color w:val="000000"/>
                <w:sz w:val="20"/>
                <w:szCs w:val="20"/>
                <w:lang w:val="en-US" w:eastAsia="sv-SE"/>
              </w:rPr>
              <w:fldChar w:fldCharType="end"/>
            </w:r>
          </w:p>
        </w:tc>
      </w:tr>
      <w:tr w:rsidR="00C84B82" w:rsidRPr="001C3D2D" w14:paraId="328BE06E" w14:textId="77777777" w:rsidTr="00C84B82">
        <w:trPr>
          <w:trHeight w:val="320"/>
        </w:trPr>
        <w:tc>
          <w:tcPr>
            <w:tcW w:w="2100" w:type="dxa"/>
            <w:tcBorders>
              <w:top w:val="nil"/>
              <w:left w:val="nil"/>
              <w:bottom w:val="nil"/>
              <w:right w:val="nil"/>
            </w:tcBorders>
            <w:shd w:val="clear" w:color="auto" w:fill="auto"/>
            <w:noWrap/>
            <w:vAlign w:val="bottom"/>
            <w:hideMark/>
          </w:tcPr>
          <w:p w14:paraId="0A924E6F" w14:textId="019094EC" w:rsidR="00C84B82" w:rsidRPr="001C3D2D" w:rsidRDefault="00C84B82" w:rsidP="00B27156">
            <w:pPr>
              <w:spacing w:line="276" w:lineRule="auto"/>
              <w:rPr>
                <w:rFonts w:ascii="Arial" w:eastAsia="Times New Roman" w:hAnsi="Arial" w:cs="Arial"/>
                <w:color w:val="000000"/>
                <w:sz w:val="20"/>
                <w:szCs w:val="20"/>
                <w:lang w:val="en-US" w:eastAsia="sv-SE"/>
              </w:rPr>
            </w:pPr>
            <w:r w:rsidRPr="00C84B82">
              <w:rPr>
                <w:rFonts w:ascii="Arial" w:eastAsia="Times New Roman" w:hAnsi="Arial" w:cs="Arial"/>
                <w:color w:val="000000"/>
                <w:sz w:val="20"/>
                <w:szCs w:val="20"/>
                <w:lang w:val="en-US" w:eastAsia="sv-SE"/>
              </w:rPr>
              <w:t>B</w:t>
            </w:r>
            <w:r w:rsidRPr="001C3D2D">
              <w:rPr>
                <w:rFonts w:ascii="Arial" w:eastAsia="Times New Roman" w:hAnsi="Arial" w:cs="Arial"/>
                <w:color w:val="000000"/>
                <w:sz w:val="20"/>
                <w:szCs w:val="20"/>
                <w:lang w:val="en-US" w:eastAsia="sv-SE"/>
              </w:rPr>
              <w:t>lue petrel</w:t>
            </w:r>
          </w:p>
        </w:tc>
        <w:tc>
          <w:tcPr>
            <w:tcW w:w="1063" w:type="dxa"/>
            <w:tcBorders>
              <w:top w:val="nil"/>
              <w:left w:val="nil"/>
              <w:bottom w:val="nil"/>
              <w:right w:val="nil"/>
            </w:tcBorders>
            <w:shd w:val="clear" w:color="auto" w:fill="auto"/>
            <w:noWrap/>
            <w:vAlign w:val="bottom"/>
            <w:hideMark/>
          </w:tcPr>
          <w:p w14:paraId="29D7C02F" w14:textId="77777777" w:rsidR="00C84B82" w:rsidRPr="001C3D2D" w:rsidRDefault="00C84B82" w:rsidP="00B27156">
            <w:pPr>
              <w:spacing w:line="276" w:lineRule="auto"/>
              <w:rPr>
                <w:rFonts w:ascii="Arial" w:eastAsia="Times New Roman" w:hAnsi="Arial" w:cs="Arial"/>
                <w:color w:val="000000"/>
                <w:sz w:val="20"/>
                <w:szCs w:val="20"/>
                <w:lang w:val="en-US" w:eastAsia="sv-SE"/>
              </w:rPr>
            </w:pPr>
          </w:p>
        </w:tc>
        <w:tc>
          <w:tcPr>
            <w:tcW w:w="1460" w:type="dxa"/>
            <w:tcBorders>
              <w:top w:val="nil"/>
              <w:left w:val="nil"/>
              <w:bottom w:val="nil"/>
              <w:right w:val="nil"/>
            </w:tcBorders>
            <w:shd w:val="clear" w:color="auto" w:fill="auto"/>
            <w:noWrap/>
            <w:vAlign w:val="bottom"/>
            <w:hideMark/>
          </w:tcPr>
          <w:p w14:paraId="54F485F8" w14:textId="77777777" w:rsidR="00C84B82" w:rsidRPr="001C3D2D" w:rsidRDefault="00C84B82" w:rsidP="00B27156">
            <w:pPr>
              <w:spacing w:line="276" w:lineRule="auto"/>
              <w:jc w:val="center"/>
              <w:rPr>
                <w:rFonts w:ascii="Arial" w:eastAsia="Times New Roman" w:hAnsi="Arial" w:cs="Arial"/>
                <w:color w:val="000000"/>
                <w:sz w:val="20"/>
                <w:szCs w:val="20"/>
                <w:lang w:val="en-US" w:eastAsia="sv-SE"/>
              </w:rPr>
            </w:pPr>
            <w:r w:rsidRPr="001C3D2D">
              <w:rPr>
                <w:rFonts w:ascii="Arial" w:eastAsia="Times New Roman" w:hAnsi="Arial" w:cs="Arial"/>
                <w:color w:val="000000"/>
                <w:sz w:val="20"/>
                <w:szCs w:val="20"/>
                <w:lang w:val="en-US" w:eastAsia="sv-SE"/>
              </w:rPr>
              <w:t>15.83</w:t>
            </w:r>
          </w:p>
        </w:tc>
        <w:tc>
          <w:tcPr>
            <w:tcW w:w="1460" w:type="dxa"/>
            <w:tcBorders>
              <w:top w:val="nil"/>
              <w:left w:val="nil"/>
              <w:bottom w:val="nil"/>
              <w:right w:val="nil"/>
            </w:tcBorders>
            <w:shd w:val="clear" w:color="auto" w:fill="auto"/>
            <w:noWrap/>
            <w:vAlign w:val="bottom"/>
            <w:hideMark/>
          </w:tcPr>
          <w:p w14:paraId="43C44C17" w14:textId="77777777" w:rsidR="00C84B82" w:rsidRPr="001C3D2D" w:rsidRDefault="00C84B82" w:rsidP="00B27156">
            <w:pPr>
              <w:spacing w:line="276" w:lineRule="auto"/>
              <w:jc w:val="center"/>
              <w:rPr>
                <w:rFonts w:ascii="Arial" w:eastAsia="Times New Roman" w:hAnsi="Arial" w:cs="Arial"/>
                <w:color w:val="000000"/>
                <w:sz w:val="20"/>
                <w:szCs w:val="20"/>
                <w:lang w:val="en-US" w:eastAsia="sv-SE"/>
              </w:rPr>
            </w:pPr>
            <w:r w:rsidRPr="001C3D2D">
              <w:rPr>
                <w:rFonts w:ascii="Arial" w:eastAsia="Times New Roman" w:hAnsi="Arial" w:cs="Arial"/>
                <w:color w:val="000000"/>
                <w:sz w:val="20"/>
                <w:szCs w:val="20"/>
                <w:lang w:val="en-US" w:eastAsia="sv-SE"/>
              </w:rPr>
              <w:t>2.08</w:t>
            </w:r>
          </w:p>
        </w:tc>
        <w:tc>
          <w:tcPr>
            <w:tcW w:w="2365" w:type="dxa"/>
            <w:tcBorders>
              <w:top w:val="nil"/>
              <w:left w:val="nil"/>
              <w:bottom w:val="nil"/>
              <w:right w:val="nil"/>
            </w:tcBorders>
            <w:shd w:val="clear" w:color="auto" w:fill="auto"/>
            <w:noWrap/>
            <w:vAlign w:val="bottom"/>
          </w:tcPr>
          <w:p w14:paraId="5CA7F5C1" w14:textId="04E3856B" w:rsidR="00C84B82" w:rsidRPr="001C3D2D" w:rsidRDefault="00C84B82" w:rsidP="00B27156">
            <w:pPr>
              <w:spacing w:line="276" w:lineRule="auto"/>
              <w:rPr>
                <w:rFonts w:ascii="Arial" w:eastAsia="Times New Roman" w:hAnsi="Arial" w:cs="Arial"/>
                <w:color w:val="000000"/>
                <w:sz w:val="20"/>
                <w:szCs w:val="20"/>
                <w:lang w:val="en-US" w:eastAsia="sv-SE"/>
              </w:rPr>
            </w:pPr>
            <w:r>
              <w:rPr>
                <w:rFonts w:ascii="Arial" w:eastAsia="Times New Roman" w:hAnsi="Arial" w:cs="Arial"/>
                <w:color w:val="000000"/>
                <w:sz w:val="20"/>
                <w:szCs w:val="20"/>
                <w:lang w:val="en-US" w:eastAsia="sv-SE"/>
              </w:rPr>
              <w:fldChar w:fldCharType="begin" w:fldLock="1"/>
            </w:r>
            <w:r w:rsidR="00315A3A">
              <w:rPr>
                <w:rFonts w:ascii="Arial" w:eastAsia="Times New Roman" w:hAnsi="Arial" w:cs="Arial"/>
                <w:color w:val="000000"/>
                <w:sz w:val="20"/>
                <w:szCs w:val="20"/>
                <w:lang w:val="en-US" w:eastAsia="sv-SE"/>
              </w:rPr>
              <w:instrText>ADDIN CSL_CITATION {"citationItems":[{"id":"ITEM-1","itemData":{"author":[{"dropping-particle":"","family":"Fugler","given":"S.R.","non-dropping-particle":"","parse-names":false,"suffix":""}],"container-title":"Siegfried W.R., Condy P.R., Laws R.M. (eds) Antarctic Nutrient Cycles and Food Webs. Springer, Berlin, Heidelberg","id":"ITEM-1","issued":{"date-parts":[["1985"]]},"page":"169-179","title":"Chemical Composition of Guano of Burrowing Petrel Chicks (Procellariidae) at Marion Island","type":"chapter"},"uris":["http://www.mendeley.com/documents/?uuid=e38f96bf-c2c4-4dfa-9679-ae22934f7e00"]}],"mendeley":{"formattedCitation":"&lt;sup&gt;7&lt;/sup&gt;","plainTextFormattedCitation":"7","previouslyFormattedCitation":"&lt;sup&gt;7&lt;/sup&gt;"},"properties":{"noteIndex":0},"schema":"https://github.com/citation-style-language/schema/raw/master/csl-citation.json"}</w:instrText>
            </w:r>
            <w:r>
              <w:rPr>
                <w:rFonts w:ascii="Arial" w:eastAsia="Times New Roman" w:hAnsi="Arial" w:cs="Arial"/>
                <w:color w:val="000000"/>
                <w:sz w:val="20"/>
                <w:szCs w:val="20"/>
                <w:lang w:val="en-US" w:eastAsia="sv-SE"/>
              </w:rPr>
              <w:fldChar w:fldCharType="separate"/>
            </w:r>
            <w:r w:rsidR="006E4B8F" w:rsidRPr="006E4B8F">
              <w:rPr>
                <w:rFonts w:ascii="Arial" w:eastAsia="Times New Roman" w:hAnsi="Arial" w:cs="Arial"/>
                <w:noProof/>
                <w:color w:val="000000"/>
                <w:sz w:val="20"/>
                <w:szCs w:val="20"/>
                <w:vertAlign w:val="superscript"/>
                <w:lang w:val="en-US" w:eastAsia="sv-SE"/>
              </w:rPr>
              <w:t>7</w:t>
            </w:r>
            <w:r>
              <w:rPr>
                <w:rFonts w:ascii="Arial" w:eastAsia="Times New Roman" w:hAnsi="Arial" w:cs="Arial"/>
                <w:color w:val="000000"/>
                <w:sz w:val="20"/>
                <w:szCs w:val="20"/>
                <w:lang w:val="en-US" w:eastAsia="sv-SE"/>
              </w:rPr>
              <w:fldChar w:fldCharType="end"/>
            </w:r>
          </w:p>
        </w:tc>
      </w:tr>
      <w:tr w:rsidR="00C84B82" w:rsidRPr="001C3D2D" w14:paraId="7172EA96" w14:textId="77777777" w:rsidTr="00C84B82">
        <w:trPr>
          <w:trHeight w:val="320"/>
        </w:trPr>
        <w:tc>
          <w:tcPr>
            <w:tcW w:w="2100" w:type="dxa"/>
            <w:tcBorders>
              <w:top w:val="nil"/>
              <w:left w:val="nil"/>
              <w:bottom w:val="nil"/>
              <w:right w:val="nil"/>
            </w:tcBorders>
            <w:shd w:val="clear" w:color="auto" w:fill="auto"/>
            <w:noWrap/>
            <w:vAlign w:val="bottom"/>
            <w:hideMark/>
          </w:tcPr>
          <w:p w14:paraId="3B2DA458" w14:textId="0822B09D" w:rsidR="00C84B82" w:rsidRPr="001C3D2D" w:rsidRDefault="00C84B82" w:rsidP="00B27156">
            <w:pPr>
              <w:spacing w:line="276" w:lineRule="auto"/>
              <w:rPr>
                <w:rFonts w:ascii="Arial" w:eastAsia="Times New Roman" w:hAnsi="Arial" w:cs="Arial"/>
                <w:color w:val="000000"/>
                <w:sz w:val="20"/>
                <w:szCs w:val="20"/>
                <w:lang w:val="en-US" w:eastAsia="sv-SE"/>
              </w:rPr>
            </w:pPr>
            <w:r w:rsidRPr="00C84B82">
              <w:rPr>
                <w:rFonts w:ascii="Arial" w:eastAsia="Times New Roman" w:hAnsi="Arial" w:cs="Arial"/>
                <w:color w:val="000000"/>
                <w:sz w:val="20"/>
                <w:szCs w:val="20"/>
                <w:lang w:val="en-US" w:eastAsia="sv-SE"/>
              </w:rPr>
              <w:t>G</w:t>
            </w:r>
            <w:r w:rsidRPr="001C3D2D">
              <w:rPr>
                <w:rFonts w:ascii="Arial" w:eastAsia="Times New Roman" w:hAnsi="Arial" w:cs="Arial"/>
                <w:color w:val="000000"/>
                <w:sz w:val="20"/>
                <w:szCs w:val="20"/>
                <w:lang w:val="en-US" w:eastAsia="sv-SE"/>
              </w:rPr>
              <w:t>reat</w:t>
            </w:r>
            <w:r w:rsidRPr="00C84B82">
              <w:rPr>
                <w:rFonts w:ascii="Arial" w:eastAsia="Times New Roman" w:hAnsi="Arial" w:cs="Arial"/>
                <w:color w:val="000000"/>
                <w:sz w:val="20"/>
                <w:szCs w:val="20"/>
                <w:lang w:val="en-US" w:eastAsia="sv-SE"/>
              </w:rPr>
              <w:t>-</w:t>
            </w:r>
            <w:r w:rsidRPr="001C3D2D">
              <w:rPr>
                <w:rFonts w:ascii="Arial" w:eastAsia="Times New Roman" w:hAnsi="Arial" w:cs="Arial"/>
                <w:color w:val="000000"/>
                <w:sz w:val="20"/>
                <w:szCs w:val="20"/>
                <w:lang w:val="en-US" w:eastAsia="sv-SE"/>
              </w:rPr>
              <w:t>winged petrel</w:t>
            </w:r>
          </w:p>
        </w:tc>
        <w:tc>
          <w:tcPr>
            <w:tcW w:w="1063" w:type="dxa"/>
            <w:tcBorders>
              <w:top w:val="nil"/>
              <w:left w:val="nil"/>
              <w:bottom w:val="nil"/>
              <w:right w:val="nil"/>
            </w:tcBorders>
            <w:shd w:val="clear" w:color="auto" w:fill="auto"/>
            <w:noWrap/>
            <w:vAlign w:val="bottom"/>
            <w:hideMark/>
          </w:tcPr>
          <w:p w14:paraId="61068947" w14:textId="77777777" w:rsidR="00C84B82" w:rsidRPr="001C3D2D" w:rsidRDefault="00C84B82" w:rsidP="00B27156">
            <w:pPr>
              <w:spacing w:line="276" w:lineRule="auto"/>
              <w:rPr>
                <w:rFonts w:ascii="Arial" w:eastAsia="Times New Roman" w:hAnsi="Arial" w:cs="Arial"/>
                <w:color w:val="000000"/>
                <w:sz w:val="20"/>
                <w:szCs w:val="20"/>
                <w:lang w:val="en-US" w:eastAsia="sv-SE"/>
              </w:rPr>
            </w:pPr>
          </w:p>
        </w:tc>
        <w:tc>
          <w:tcPr>
            <w:tcW w:w="1460" w:type="dxa"/>
            <w:tcBorders>
              <w:top w:val="nil"/>
              <w:left w:val="nil"/>
              <w:bottom w:val="nil"/>
              <w:right w:val="nil"/>
            </w:tcBorders>
            <w:shd w:val="clear" w:color="auto" w:fill="auto"/>
            <w:noWrap/>
            <w:vAlign w:val="bottom"/>
            <w:hideMark/>
          </w:tcPr>
          <w:p w14:paraId="52CD434E" w14:textId="77777777" w:rsidR="00C84B82" w:rsidRPr="001C3D2D" w:rsidRDefault="00C84B82" w:rsidP="00B27156">
            <w:pPr>
              <w:spacing w:line="276" w:lineRule="auto"/>
              <w:jc w:val="center"/>
              <w:rPr>
                <w:rFonts w:ascii="Arial" w:eastAsia="Times New Roman" w:hAnsi="Arial" w:cs="Arial"/>
                <w:color w:val="000000"/>
                <w:sz w:val="20"/>
                <w:szCs w:val="20"/>
                <w:lang w:val="en-US" w:eastAsia="sv-SE"/>
              </w:rPr>
            </w:pPr>
            <w:r w:rsidRPr="001C3D2D">
              <w:rPr>
                <w:rFonts w:ascii="Arial" w:eastAsia="Times New Roman" w:hAnsi="Arial" w:cs="Arial"/>
                <w:color w:val="000000"/>
                <w:sz w:val="20"/>
                <w:szCs w:val="20"/>
                <w:lang w:val="en-US" w:eastAsia="sv-SE"/>
              </w:rPr>
              <w:t>16.20</w:t>
            </w:r>
          </w:p>
        </w:tc>
        <w:tc>
          <w:tcPr>
            <w:tcW w:w="1460" w:type="dxa"/>
            <w:tcBorders>
              <w:top w:val="nil"/>
              <w:left w:val="nil"/>
              <w:bottom w:val="nil"/>
              <w:right w:val="nil"/>
            </w:tcBorders>
            <w:shd w:val="clear" w:color="auto" w:fill="auto"/>
            <w:noWrap/>
            <w:vAlign w:val="bottom"/>
            <w:hideMark/>
          </w:tcPr>
          <w:p w14:paraId="279BF15C" w14:textId="77777777" w:rsidR="00C84B82" w:rsidRPr="001C3D2D" w:rsidRDefault="00C84B82" w:rsidP="00B27156">
            <w:pPr>
              <w:spacing w:line="276" w:lineRule="auto"/>
              <w:jc w:val="center"/>
              <w:rPr>
                <w:rFonts w:ascii="Arial" w:eastAsia="Times New Roman" w:hAnsi="Arial" w:cs="Arial"/>
                <w:color w:val="000000"/>
                <w:sz w:val="20"/>
                <w:szCs w:val="20"/>
                <w:lang w:val="en-US" w:eastAsia="sv-SE"/>
              </w:rPr>
            </w:pPr>
            <w:r w:rsidRPr="001C3D2D">
              <w:rPr>
                <w:rFonts w:ascii="Arial" w:eastAsia="Times New Roman" w:hAnsi="Arial" w:cs="Arial"/>
                <w:color w:val="000000"/>
                <w:sz w:val="20"/>
                <w:szCs w:val="20"/>
                <w:lang w:val="en-US" w:eastAsia="sv-SE"/>
              </w:rPr>
              <w:t>1.14</w:t>
            </w:r>
          </w:p>
        </w:tc>
        <w:tc>
          <w:tcPr>
            <w:tcW w:w="2365" w:type="dxa"/>
            <w:tcBorders>
              <w:top w:val="nil"/>
              <w:left w:val="nil"/>
              <w:bottom w:val="nil"/>
              <w:right w:val="nil"/>
            </w:tcBorders>
            <w:shd w:val="clear" w:color="auto" w:fill="auto"/>
            <w:noWrap/>
            <w:vAlign w:val="bottom"/>
          </w:tcPr>
          <w:p w14:paraId="24873116" w14:textId="464D694E" w:rsidR="00C84B82" w:rsidRPr="001C3D2D" w:rsidRDefault="00C84B82" w:rsidP="00B27156">
            <w:pPr>
              <w:spacing w:line="276" w:lineRule="auto"/>
              <w:rPr>
                <w:rFonts w:ascii="Arial" w:eastAsia="Times New Roman" w:hAnsi="Arial" w:cs="Arial"/>
                <w:color w:val="000000"/>
                <w:sz w:val="20"/>
                <w:szCs w:val="20"/>
                <w:lang w:val="en-US" w:eastAsia="sv-SE"/>
              </w:rPr>
            </w:pPr>
            <w:r>
              <w:rPr>
                <w:rFonts w:ascii="Arial" w:eastAsia="Times New Roman" w:hAnsi="Arial" w:cs="Arial"/>
                <w:color w:val="000000"/>
                <w:sz w:val="20"/>
                <w:szCs w:val="20"/>
                <w:lang w:val="en-US" w:eastAsia="sv-SE"/>
              </w:rPr>
              <w:fldChar w:fldCharType="begin" w:fldLock="1"/>
            </w:r>
            <w:r w:rsidR="00315A3A">
              <w:rPr>
                <w:rFonts w:ascii="Arial" w:eastAsia="Times New Roman" w:hAnsi="Arial" w:cs="Arial"/>
                <w:color w:val="000000"/>
                <w:sz w:val="20"/>
                <w:szCs w:val="20"/>
                <w:lang w:val="en-US" w:eastAsia="sv-SE"/>
              </w:rPr>
              <w:instrText>ADDIN CSL_CITATION {"citationItems":[{"id":"ITEM-1","itemData":{"author":[{"dropping-particle":"","family":"Fugler","given":"S.R.","non-dropping-particle":"","parse-names":false,"suffix":""}],"container-title":"Siegfried W.R., Condy P.R., Laws R.M. (eds) Antarctic Nutrient Cycles and Food Webs. Springer, Berlin, Heidelberg","id":"ITEM-1","issued":{"date-parts":[["1985"]]},"page":"169-179","title":"Chemical Composition of Guano of Burrowing Petrel Chicks (Procellariidae) at Marion Island","type":"chapter"},"uris":["http://www.mendeley.com/documents/?uuid=e38f96bf-c2c4-4dfa-9679-ae22934f7e00"]}],"mendeley":{"formattedCitation":"&lt;sup&gt;7&lt;/sup&gt;","plainTextFormattedCitation":"7","previouslyFormattedCitation":"&lt;sup&gt;7&lt;/sup&gt;"},"properties":{"noteIndex":0},"schema":"https://github.com/citation-style-language/schema/raw/master/csl-citation.json"}</w:instrText>
            </w:r>
            <w:r>
              <w:rPr>
                <w:rFonts w:ascii="Arial" w:eastAsia="Times New Roman" w:hAnsi="Arial" w:cs="Arial"/>
                <w:color w:val="000000"/>
                <w:sz w:val="20"/>
                <w:szCs w:val="20"/>
                <w:lang w:val="en-US" w:eastAsia="sv-SE"/>
              </w:rPr>
              <w:fldChar w:fldCharType="separate"/>
            </w:r>
            <w:r w:rsidR="006E4B8F" w:rsidRPr="006E4B8F">
              <w:rPr>
                <w:rFonts w:ascii="Arial" w:eastAsia="Times New Roman" w:hAnsi="Arial" w:cs="Arial"/>
                <w:noProof/>
                <w:color w:val="000000"/>
                <w:sz w:val="20"/>
                <w:szCs w:val="20"/>
                <w:vertAlign w:val="superscript"/>
                <w:lang w:val="en-US" w:eastAsia="sv-SE"/>
              </w:rPr>
              <w:t>7</w:t>
            </w:r>
            <w:r>
              <w:rPr>
                <w:rFonts w:ascii="Arial" w:eastAsia="Times New Roman" w:hAnsi="Arial" w:cs="Arial"/>
                <w:color w:val="000000"/>
                <w:sz w:val="20"/>
                <w:szCs w:val="20"/>
                <w:lang w:val="en-US" w:eastAsia="sv-SE"/>
              </w:rPr>
              <w:fldChar w:fldCharType="end"/>
            </w:r>
          </w:p>
        </w:tc>
      </w:tr>
      <w:tr w:rsidR="00C84B82" w:rsidRPr="001C3D2D" w14:paraId="27183E0F" w14:textId="77777777" w:rsidTr="00C84B82">
        <w:trPr>
          <w:trHeight w:val="320"/>
        </w:trPr>
        <w:tc>
          <w:tcPr>
            <w:tcW w:w="2100" w:type="dxa"/>
            <w:tcBorders>
              <w:top w:val="nil"/>
              <w:left w:val="nil"/>
              <w:bottom w:val="nil"/>
              <w:right w:val="nil"/>
            </w:tcBorders>
            <w:shd w:val="clear" w:color="auto" w:fill="auto"/>
            <w:noWrap/>
            <w:vAlign w:val="bottom"/>
            <w:hideMark/>
          </w:tcPr>
          <w:p w14:paraId="609E7546" w14:textId="24711387" w:rsidR="00C84B82" w:rsidRPr="001C3D2D" w:rsidRDefault="00C84B82" w:rsidP="00B27156">
            <w:pPr>
              <w:spacing w:line="276" w:lineRule="auto"/>
              <w:rPr>
                <w:rFonts w:ascii="Arial" w:eastAsia="Times New Roman" w:hAnsi="Arial" w:cs="Arial"/>
                <w:color w:val="000000"/>
                <w:sz w:val="20"/>
                <w:szCs w:val="20"/>
                <w:lang w:val="en-US" w:eastAsia="sv-SE"/>
              </w:rPr>
            </w:pPr>
            <w:r w:rsidRPr="00C84B82">
              <w:rPr>
                <w:rFonts w:ascii="Arial" w:eastAsia="Times New Roman" w:hAnsi="Arial" w:cs="Arial"/>
                <w:color w:val="000000"/>
                <w:sz w:val="20"/>
                <w:szCs w:val="20"/>
                <w:lang w:val="en-US" w:eastAsia="sv-SE"/>
              </w:rPr>
              <w:t>S</w:t>
            </w:r>
            <w:r w:rsidRPr="001C3D2D">
              <w:rPr>
                <w:rFonts w:ascii="Arial" w:eastAsia="Times New Roman" w:hAnsi="Arial" w:cs="Arial"/>
                <w:color w:val="000000"/>
                <w:sz w:val="20"/>
                <w:szCs w:val="20"/>
                <w:lang w:val="en-US" w:eastAsia="sv-SE"/>
              </w:rPr>
              <w:t>oft plumaged petrel</w:t>
            </w:r>
          </w:p>
        </w:tc>
        <w:tc>
          <w:tcPr>
            <w:tcW w:w="1063" w:type="dxa"/>
            <w:tcBorders>
              <w:top w:val="nil"/>
              <w:left w:val="nil"/>
              <w:bottom w:val="nil"/>
              <w:right w:val="nil"/>
            </w:tcBorders>
            <w:shd w:val="clear" w:color="auto" w:fill="auto"/>
            <w:noWrap/>
            <w:vAlign w:val="bottom"/>
            <w:hideMark/>
          </w:tcPr>
          <w:p w14:paraId="3A05F724" w14:textId="77777777" w:rsidR="00C84B82" w:rsidRPr="001C3D2D" w:rsidRDefault="00C84B82" w:rsidP="00B27156">
            <w:pPr>
              <w:spacing w:line="276" w:lineRule="auto"/>
              <w:rPr>
                <w:rFonts w:ascii="Arial" w:eastAsia="Times New Roman" w:hAnsi="Arial" w:cs="Arial"/>
                <w:color w:val="000000"/>
                <w:sz w:val="20"/>
                <w:szCs w:val="20"/>
                <w:lang w:val="en-US" w:eastAsia="sv-SE"/>
              </w:rPr>
            </w:pPr>
          </w:p>
        </w:tc>
        <w:tc>
          <w:tcPr>
            <w:tcW w:w="1460" w:type="dxa"/>
            <w:tcBorders>
              <w:top w:val="nil"/>
              <w:left w:val="nil"/>
              <w:bottom w:val="nil"/>
              <w:right w:val="nil"/>
            </w:tcBorders>
            <w:shd w:val="clear" w:color="auto" w:fill="auto"/>
            <w:noWrap/>
            <w:vAlign w:val="bottom"/>
            <w:hideMark/>
          </w:tcPr>
          <w:p w14:paraId="11E6EB76" w14:textId="77777777" w:rsidR="00C84B82" w:rsidRPr="001C3D2D" w:rsidRDefault="00C84B82" w:rsidP="00B27156">
            <w:pPr>
              <w:spacing w:line="276" w:lineRule="auto"/>
              <w:jc w:val="center"/>
              <w:rPr>
                <w:rFonts w:ascii="Arial" w:eastAsia="Times New Roman" w:hAnsi="Arial" w:cs="Arial"/>
                <w:color w:val="000000"/>
                <w:sz w:val="20"/>
                <w:szCs w:val="20"/>
                <w:lang w:val="en-US" w:eastAsia="sv-SE"/>
              </w:rPr>
            </w:pPr>
            <w:r w:rsidRPr="001C3D2D">
              <w:rPr>
                <w:rFonts w:ascii="Arial" w:eastAsia="Times New Roman" w:hAnsi="Arial" w:cs="Arial"/>
                <w:color w:val="000000"/>
                <w:sz w:val="20"/>
                <w:szCs w:val="20"/>
                <w:lang w:val="en-US" w:eastAsia="sv-SE"/>
              </w:rPr>
              <w:t>17.39</w:t>
            </w:r>
          </w:p>
        </w:tc>
        <w:tc>
          <w:tcPr>
            <w:tcW w:w="1460" w:type="dxa"/>
            <w:tcBorders>
              <w:top w:val="nil"/>
              <w:left w:val="nil"/>
              <w:bottom w:val="nil"/>
              <w:right w:val="nil"/>
            </w:tcBorders>
            <w:shd w:val="clear" w:color="auto" w:fill="auto"/>
            <w:noWrap/>
            <w:vAlign w:val="bottom"/>
            <w:hideMark/>
          </w:tcPr>
          <w:p w14:paraId="62E3B700" w14:textId="77777777" w:rsidR="00C84B82" w:rsidRPr="001C3D2D" w:rsidRDefault="00C84B82" w:rsidP="00B27156">
            <w:pPr>
              <w:spacing w:line="276" w:lineRule="auto"/>
              <w:jc w:val="center"/>
              <w:rPr>
                <w:rFonts w:ascii="Arial" w:eastAsia="Times New Roman" w:hAnsi="Arial" w:cs="Arial"/>
                <w:color w:val="000000"/>
                <w:sz w:val="20"/>
                <w:szCs w:val="20"/>
                <w:lang w:val="en-US" w:eastAsia="sv-SE"/>
              </w:rPr>
            </w:pPr>
            <w:r w:rsidRPr="001C3D2D">
              <w:rPr>
                <w:rFonts w:ascii="Arial" w:eastAsia="Times New Roman" w:hAnsi="Arial" w:cs="Arial"/>
                <w:color w:val="000000"/>
                <w:sz w:val="20"/>
                <w:szCs w:val="20"/>
                <w:lang w:val="en-US" w:eastAsia="sv-SE"/>
              </w:rPr>
              <w:t>1.79</w:t>
            </w:r>
          </w:p>
        </w:tc>
        <w:tc>
          <w:tcPr>
            <w:tcW w:w="2365" w:type="dxa"/>
            <w:tcBorders>
              <w:top w:val="nil"/>
              <w:left w:val="nil"/>
              <w:bottom w:val="nil"/>
              <w:right w:val="nil"/>
            </w:tcBorders>
            <w:shd w:val="clear" w:color="auto" w:fill="auto"/>
            <w:noWrap/>
            <w:vAlign w:val="bottom"/>
          </w:tcPr>
          <w:p w14:paraId="54F0707D" w14:textId="7A1C2CDE" w:rsidR="00C84B82" w:rsidRPr="001C3D2D" w:rsidRDefault="00C84B82" w:rsidP="00B27156">
            <w:pPr>
              <w:spacing w:line="276" w:lineRule="auto"/>
              <w:rPr>
                <w:rFonts w:ascii="Arial" w:eastAsia="Times New Roman" w:hAnsi="Arial" w:cs="Arial"/>
                <w:color w:val="000000"/>
                <w:sz w:val="20"/>
                <w:szCs w:val="20"/>
                <w:lang w:val="en-US" w:eastAsia="sv-SE"/>
              </w:rPr>
            </w:pPr>
            <w:r>
              <w:rPr>
                <w:rFonts w:ascii="Arial" w:eastAsia="Times New Roman" w:hAnsi="Arial" w:cs="Arial"/>
                <w:color w:val="000000"/>
                <w:sz w:val="20"/>
                <w:szCs w:val="20"/>
                <w:lang w:val="en-US" w:eastAsia="sv-SE"/>
              </w:rPr>
              <w:fldChar w:fldCharType="begin" w:fldLock="1"/>
            </w:r>
            <w:r w:rsidR="00315A3A">
              <w:rPr>
                <w:rFonts w:ascii="Arial" w:eastAsia="Times New Roman" w:hAnsi="Arial" w:cs="Arial"/>
                <w:color w:val="000000"/>
                <w:sz w:val="20"/>
                <w:szCs w:val="20"/>
                <w:lang w:val="en-US" w:eastAsia="sv-SE"/>
              </w:rPr>
              <w:instrText>ADDIN CSL_CITATION {"citationItems":[{"id":"ITEM-1","itemData":{"author":[{"dropping-particle":"","family":"Fugler","given":"S.R.","non-dropping-particle":"","parse-names":false,"suffix":""}],"container-title":"Siegfried W.R., Condy P.R., Laws R.M. (eds) Antarctic Nutrient Cycles and Food Webs. Springer, Berlin, Heidelberg","id":"ITEM-1","issued":{"date-parts":[["1985"]]},"page":"169-179","title":"Chemical Composition of Guano of Burrowing Petrel Chicks (Procellariidae) at Marion Island","type":"chapter"},"uris":["http://www.mendeley.com/documents/?uuid=e38f96bf-c2c4-4dfa-9679-ae22934f7e00"]}],"mendeley":{"formattedCitation":"&lt;sup&gt;7&lt;/sup&gt;","plainTextFormattedCitation":"7","previouslyFormattedCitation":"&lt;sup&gt;7&lt;/sup&gt;"},"properties":{"noteIndex":0},"schema":"https://github.com/citation-style-language/schema/raw/master/csl-citation.json"}</w:instrText>
            </w:r>
            <w:r>
              <w:rPr>
                <w:rFonts w:ascii="Arial" w:eastAsia="Times New Roman" w:hAnsi="Arial" w:cs="Arial"/>
                <w:color w:val="000000"/>
                <w:sz w:val="20"/>
                <w:szCs w:val="20"/>
                <w:lang w:val="en-US" w:eastAsia="sv-SE"/>
              </w:rPr>
              <w:fldChar w:fldCharType="separate"/>
            </w:r>
            <w:r w:rsidR="006E4B8F" w:rsidRPr="006E4B8F">
              <w:rPr>
                <w:rFonts w:ascii="Arial" w:eastAsia="Times New Roman" w:hAnsi="Arial" w:cs="Arial"/>
                <w:noProof/>
                <w:color w:val="000000"/>
                <w:sz w:val="20"/>
                <w:szCs w:val="20"/>
                <w:vertAlign w:val="superscript"/>
                <w:lang w:val="en-US" w:eastAsia="sv-SE"/>
              </w:rPr>
              <w:t>7</w:t>
            </w:r>
            <w:r>
              <w:rPr>
                <w:rFonts w:ascii="Arial" w:eastAsia="Times New Roman" w:hAnsi="Arial" w:cs="Arial"/>
                <w:color w:val="000000"/>
                <w:sz w:val="20"/>
                <w:szCs w:val="20"/>
                <w:lang w:val="en-US" w:eastAsia="sv-SE"/>
              </w:rPr>
              <w:fldChar w:fldCharType="end"/>
            </w:r>
          </w:p>
        </w:tc>
      </w:tr>
      <w:tr w:rsidR="00C84B82" w:rsidRPr="001C3D2D" w14:paraId="07EDBCAC" w14:textId="77777777" w:rsidTr="00C84B82">
        <w:trPr>
          <w:trHeight w:val="320"/>
        </w:trPr>
        <w:tc>
          <w:tcPr>
            <w:tcW w:w="2100" w:type="dxa"/>
            <w:tcBorders>
              <w:top w:val="nil"/>
              <w:left w:val="nil"/>
              <w:bottom w:val="nil"/>
              <w:right w:val="nil"/>
            </w:tcBorders>
            <w:shd w:val="clear" w:color="auto" w:fill="auto"/>
            <w:noWrap/>
            <w:vAlign w:val="bottom"/>
            <w:hideMark/>
          </w:tcPr>
          <w:p w14:paraId="68118656" w14:textId="1EF218B7" w:rsidR="00C84B82" w:rsidRPr="001C3D2D" w:rsidRDefault="00C84B82" w:rsidP="00B27156">
            <w:pPr>
              <w:spacing w:line="276" w:lineRule="auto"/>
              <w:rPr>
                <w:rFonts w:ascii="Arial" w:eastAsia="Times New Roman" w:hAnsi="Arial" w:cs="Arial"/>
                <w:color w:val="000000"/>
                <w:sz w:val="20"/>
                <w:szCs w:val="20"/>
                <w:lang w:val="en-US" w:eastAsia="sv-SE"/>
              </w:rPr>
            </w:pPr>
            <w:r w:rsidRPr="00C84B82">
              <w:rPr>
                <w:rFonts w:ascii="Arial" w:eastAsia="Times New Roman" w:hAnsi="Arial" w:cs="Arial"/>
                <w:color w:val="000000"/>
                <w:sz w:val="20"/>
                <w:szCs w:val="20"/>
                <w:lang w:val="en-US" w:eastAsia="sv-SE"/>
              </w:rPr>
              <w:t>G</w:t>
            </w:r>
            <w:r w:rsidRPr="001C3D2D">
              <w:rPr>
                <w:rFonts w:ascii="Arial" w:eastAsia="Times New Roman" w:hAnsi="Arial" w:cs="Arial"/>
                <w:color w:val="000000"/>
                <w:sz w:val="20"/>
                <w:szCs w:val="20"/>
                <w:lang w:val="en-US" w:eastAsia="sv-SE"/>
              </w:rPr>
              <w:t>rey petrel</w:t>
            </w:r>
          </w:p>
        </w:tc>
        <w:tc>
          <w:tcPr>
            <w:tcW w:w="1063" w:type="dxa"/>
            <w:tcBorders>
              <w:top w:val="nil"/>
              <w:left w:val="nil"/>
              <w:bottom w:val="nil"/>
              <w:right w:val="nil"/>
            </w:tcBorders>
            <w:shd w:val="clear" w:color="auto" w:fill="auto"/>
            <w:noWrap/>
            <w:vAlign w:val="bottom"/>
            <w:hideMark/>
          </w:tcPr>
          <w:p w14:paraId="035B76A0" w14:textId="77777777" w:rsidR="00C84B82" w:rsidRPr="001C3D2D" w:rsidRDefault="00C84B82" w:rsidP="00B27156">
            <w:pPr>
              <w:spacing w:line="276" w:lineRule="auto"/>
              <w:rPr>
                <w:rFonts w:ascii="Arial" w:eastAsia="Times New Roman" w:hAnsi="Arial" w:cs="Arial"/>
                <w:color w:val="000000"/>
                <w:sz w:val="20"/>
                <w:szCs w:val="20"/>
                <w:lang w:val="en-US" w:eastAsia="sv-SE"/>
              </w:rPr>
            </w:pPr>
          </w:p>
        </w:tc>
        <w:tc>
          <w:tcPr>
            <w:tcW w:w="1460" w:type="dxa"/>
            <w:tcBorders>
              <w:top w:val="nil"/>
              <w:left w:val="nil"/>
              <w:bottom w:val="nil"/>
              <w:right w:val="nil"/>
            </w:tcBorders>
            <w:shd w:val="clear" w:color="auto" w:fill="auto"/>
            <w:noWrap/>
            <w:vAlign w:val="bottom"/>
            <w:hideMark/>
          </w:tcPr>
          <w:p w14:paraId="66E28262" w14:textId="77777777" w:rsidR="00C84B82" w:rsidRPr="001C3D2D" w:rsidRDefault="00C84B82" w:rsidP="00B27156">
            <w:pPr>
              <w:spacing w:line="276" w:lineRule="auto"/>
              <w:jc w:val="center"/>
              <w:rPr>
                <w:rFonts w:ascii="Arial" w:eastAsia="Times New Roman" w:hAnsi="Arial" w:cs="Arial"/>
                <w:color w:val="000000"/>
                <w:sz w:val="20"/>
                <w:szCs w:val="20"/>
                <w:lang w:val="en-US" w:eastAsia="sv-SE"/>
              </w:rPr>
            </w:pPr>
            <w:r w:rsidRPr="001C3D2D">
              <w:rPr>
                <w:rFonts w:ascii="Arial" w:eastAsia="Times New Roman" w:hAnsi="Arial" w:cs="Arial"/>
                <w:color w:val="000000"/>
                <w:sz w:val="20"/>
                <w:szCs w:val="20"/>
                <w:lang w:val="en-US" w:eastAsia="sv-SE"/>
              </w:rPr>
              <w:t>19.66</w:t>
            </w:r>
          </w:p>
        </w:tc>
        <w:tc>
          <w:tcPr>
            <w:tcW w:w="1460" w:type="dxa"/>
            <w:tcBorders>
              <w:top w:val="nil"/>
              <w:left w:val="nil"/>
              <w:bottom w:val="nil"/>
              <w:right w:val="nil"/>
            </w:tcBorders>
            <w:shd w:val="clear" w:color="auto" w:fill="auto"/>
            <w:noWrap/>
            <w:vAlign w:val="bottom"/>
            <w:hideMark/>
          </w:tcPr>
          <w:p w14:paraId="1AB0D487" w14:textId="77777777" w:rsidR="00C84B82" w:rsidRPr="001C3D2D" w:rsidRDefault="00C84B82" w:rsidP="00B27156">
            <w:pPr>
              <w:spacing w:line="276" w:lineRule="auto"/>
              <w:jc w:val="center"/>
              <w:rPr>
                <w:rFonts w:ascii="Arial" w:eastAsia="Times New Roman" w:hAnsi="Arial" w:cs="Arial"/>
                <w:color w:val="000000"/>
                <w:sz w:val="20"/>
                <w:szCs w:val="20"/>
                <w:lang w:val="en-US" w:eastAsia="sv-SE"/>
              </w:rPr>
            </w:pPr>
            <w:r w:rsidRPr="001C3D2D">
              <w:rPr>
                <w:rFonts w:ascii="Arial" w:eastAsia="Times New Roman" w:hAnsi="Arial" w:cs="Arial"/>
                <w:color w:val="000000"/>
                <w:sz w:val="20"/>
                <w:szCs w:val="20"/>
                <w:lang w:val="en-US" w:eastAsia="sv-SE"/>
              </w:rPr>
              <w:t>1.36</w:t>
            </w:r>
          </w:p>
        </w:tc>
        <w:tc>
          <w:tcPr>
            <w:tcW w:w="2365" w:type="dxa"/>
            <w:tcBorders>
              <w:top w:val="nil"/>
              <w:left w:val="nil"/>
              <w:bottom w:val="nil"/>
              <w:right w:val="nil"/>
            </w:tcBorders>
            <w:shd w:val="clear" w:color="auto" w:fill="auto"/>
            <w:noWrap/>
            <w:vAlign w:val="bottom"/>
          </w:tcPr>
          <w:p w14:paraId="0CD5FA3D" w14:textId="5947C086" w:rsidR="00C84B82" w:rsidRPr="001C3D2D" w:rsidRDefault="00C84B82" w:rsidP="00B27156">
            <w:pPr>
              <w:spacing w:line="276" w:lineRule="auto"/>
              <w:rPr>
                <w:rFonts w:ascii="Arial" w:eastAsia="Times New Roman" w:hAnsi="Arial" w:cs="Arial"/>
                <w:color w:val="000000"/>
                <w:sz w:val="20"/>
                <w:szCs w:val="20"/>
                <w:lang w:val="en-US" w:eastAsia="sv-SE"/>
              </w:rPr>
            </w:pPr>
            <w:r>
              <w:rPr>
                <w:rFonts w:ascii="Arial" w:eastAsia="Times New Roman" w:hAnsi="Arial" w:cs="Arial"/>
                <w:color w:val="000000"/>
                <w:sz w:val="20"/>
                <w:szCs w:val="20"/>
                <w:lang w:val="en-US" w:eastAsia="sv-SE"/>
              </w:rPr>
              <w:fldChar w:fldCharType="begin" w:fldLock="1"/>
            </w:r>
            <w:r w:rsidR="00315A3A">
              <w:rPr>
                <w:rFonts w:ascii="Arial" w:eastAsia="Times New Roman" w:hAnsi="Arial" w:cs="Arial"/>
                <w:color w:val="000000"/>
                <w:sz w:val="20"/>
                <w:szCs w:val="20"/>
                <w:lang w:val="en-US" w:eastAsia="sv-SE"/>
              </w:rPr>
              <w:instrText>ADDIN CSL_CITATION {"citationItems":[{"id":"ITEM-1","itemData":{"author":[{"dropping-particle":"","family":"Fugler","given":"S.R.","non-dropping-particle":"","parse-names":false,"suffix":""}],"container-title":"Siegfried W.R., Condy P.R., Laws R.M. (eds) Antarctic Nutrient Cycles and Food Webs. Springer, Berlin, Heidelberg","id":"ITEM-1","issued":{"date-parts":[["1985"]]},"page":"169-179","title":"Chemical Composition of Guano of Burrowing Petrel Chicks (Procellariidae) at Marion Island","type":"chapter"},"uris":["http://www.mendeley.com/documents/?uuid=e38f96bf-c2c4-4dfa-9679-ae22934f7e00"]}],"mendeley":{"formattedCitation":"&lt;sup&gt;7&lt;/sup&gt;","plainTextFormattedCitation":"7","previouslyFormattedCitation":"&lt;sup&gt;7&lt;/sup&gt;"},"properties":{"noteIndex":0},"schema":"https://github.com/citation-style-language/schema/raw/master/csl-citation.json"}</w:instrText>
            </w:r>
            <w:r>
              <w:rPr>
                <w:rFonts w:ascii="Arial" w:eastAsia="Times New Roman" w:hAnsi="Arial" w:cs="Arial"/>
                <w:color w:val="000000"/>
                <w:sz w:val="20"/>
                <w:szCs w:val="20"/>
                <w:lang w:val="en-US" w:eastAsia="sv-SE"/>
              </w:rPr>
              <w:fldChar w:fldCharType="separate"/>
            </w:r>
            <w:r w:rsidR="006E4B8F" w:rsidRPr="006E4B8F">
              <w:rPr>
                <w:rFonts w:ascii="Arial" w:eastAsia="Times New Roman" w:hAnsi="Arial" w:cs="Arial"/>
                <w:noProof/>
                <w:color w:val="000000"/>
                <w:sz w:val="20"/>
                <w:szCs w:val="20"/>
                <w:vertAlign w:val="superscript"/>
                <w:lang w:val="en-US" w:eastAsia="sv-SE"/>
              </w:rPr>
              <w:t>7</w:t>
            </w:r>
            <w:r>
              <w:rPr>
                <w:rFonts w:ascii="Arial" w:eastAsia="Times New Roman" w:hAnsi="Arial" w:cs="Arial"/>
                <w:color w:val="000000"/>
                <w:sz w:val="20"/>
                <w:szCs w:val="20"/>
                <w:lang w:val="en-US" w:eastAsia="sv-SE"/>
              </w:rPr>
              <w:fldChar w:fldCharType="end"/>
            </w:r>
          </w:p>
        </w:tc>
      </w:tr>
      <w:tr w:rsidR="00C84B82" w:rsidRPr="001C3D2D" w14:paraId="3022B066" w14:textId="77777777" w:rsidTr="00C84B82">
        <w:trPr>
          <w:trHeight w:val="320"/>
        </w:trPr>
        <w:tc>
          <w:tcPr>
            <w:tcW w:w="2100" w:type="dxa"/>
            <w:tcBorders>
              <w:top w:val="nil"/>
              <w:left w:val="nil"/>
              <w:bottom w:val="nil"/>
              <w:right w:val="nil"/>
            </w:tcBorders>
            <w:shd w:val="clear" w:color="auto" w:fill="auto"/>
            <w:noWrap/>
            <w:vAlign w:val="bottom"/>
            <w:hideMark/>
          </w:tcPr>
          <w:p w14:paraId="466BC30A" w14:textId="7ECEF777" w:rsidR="00C84B82" w:rsidRPr="001C3D2D" w:rsidRDefault="00C84B82" w:rsidP="00B27156">
            <w:pPr>
              <w:spacing w:line="276" w:lineRule="auto"/>
              <w:rPr>
                <w:rFonts w:ascii="Arial" w:eastAsia="Times New Roman" w:hAnsi="Arial" w:cs="Arial"/>
                <w:color w:val="000000"/>
                <w:sz w:val="20"/>
                <w:szCs w:val="20"/>
                <w:lang w:val="en-US" w:eastAsia="sv-SE"/>
              </w:rPr>
            </w:pPr>
            <w:r w:rsidRPr="00C84B82">
              <w:rPr>
                <w:rFonts w:ascii="Arial" w:eastAsia="Times New Roman" w:hAnsi="Arial" w:cs="Arial"/>
                <w:color w:val="000000"/>
                <w:sz w:val="20"/>
                <w:szCs w:val="20"/>
                <w:lang w:val="en-US" w:eastAsia="sv-SE"/>
              </w:rPr>
              <w:t>W</w:t>
            </w:r>
            <w:r w:rsidRPr="001C3D2D">
              <w:rPr>
                <w:rFonts w:ascii="Arial" w:eastAsia="Times New Roman" w:hAnsi="Arial" w:cs="Arial"/>
                <w:color w:val="000000"/>
                <w:sz w:val="20"/>
                <w:szCs w:val="20"/>
                <w:lang w:val="en-US" w:eastAsia="sv-SE"/>
              </w:rPr>
              <w:t>hite</w:t>
            </w:r>
            <w:r w:rsidRPr="00C84B82">
              <w:rPr>
                <w:rFonts w:ascii="Arial" w:eastAsia="Times New Roman" w:hAnsi="Arial" w:cs="Arial"/>
                <w:color w:val="000000"/>
                <w:sz w:val="20"/>
                <w:szCs w:val="20"/>
                <w:lang w:val="en-US" w:eastAsia="sv-SE"/>
              </w:rPr>
              <w:t>-</w:t>
            </w:r>
            <w:r w:rsidRPr="001C3D2D">
              <w:rPr>
                <w:rFonts w:ascii="Arial" w:eastAsia="Times New Roman" w:hAnsi="Arial" w:cs="Arial"/>
                <w:color w:val="000000"/>
                <w:sz w:val="20"/>
                <w:szCs w:val="20"/>
                <w:lang w:val="en-US" w:eastAsia="sv-SE"/>
              </w:rPr>
              <w:t>chinned petrel</w:t>
            </w:r>
          </w:p>
        </w:tc>
        <w:tc>
          <w:tcPr>
            <w:tcW w:w="1063" w:type="dxa"/>
            <w:tcBorders>
              <w:top w:val="nil"/>
              <w:left w:val="nil"/>
              <w:bottom w:val="nil"/>
              <w:right w:val="nil"/>
            </w:tcBorders>
            <w:shd w:val="clear" w:color="auto" w:fill="auto"/>
            <w:noWrap/>
            <w:vAlign w:val="bottom"/>
            <w:hideMark/>
          </w:tcPr>
          <w:p w14:paraId="2F262516" w14:textId="77777777" w:rsidR="00C84B82" w:rsidRPr="001C3D2D" w:rsidRDefault="00C84B82" w:rsidP="00B27156">
            <w:pPr>
              <w:spacing w:line="276" w:lineRule="auto"/>
              <w:rPr>
                <w:rFonts w:ascii="Arial" w:eastAsia="Times New Roman" w:hAnsi="Arial" w:cs="Arial"/>
                <w:color w:val="000000"/>
                <w:sz w:val="20"/>
                <w:szCs w:val="20"/>
                <w:lang w:val="en-US" w:eastAsia="sv-SE"/>
              </w:rPr>
            </w:pPr>
          </w:p>
        </w:tc>
        <w:tc>
          <w:tcPr>
            <w:tcW w:w="1460" w:type="dxa"/>
            <w:tcBorders>
              <w:top w:val="nil"/>
              <w:left w:val="nil"/>
              <w:bottom w:val="nil"/>
              <w:right w:val="nil"/>
            </w:tcBorders>
            <w:shd w:val="clear" w:color="auto" w:fill="auto"/>
            <w:noWrap/>
            <w:vAlign w:val="bottom"/>
            <w:hideMark/>
          </w:tcPr>
          <w:p w14:paraId="65697749" w14:textId="77777777" w:rsidR="00C84B82" w:rsidRPr="001C3D2D" w:rsidRDefault="00C84B82" w:rsidP="00B27156">
            <w:pPr>
              <w:spacing w:line="276" w:lineRule="auto"/>
              <w:jc w:val="center"/>
              <w:rPr>
                <w:rFonts w:ascii="Arial" w:eastAsia="Times New Roman" w:hAnsi="Arial" w:cs="Arial"/>
                <w:color w:val="000000"/>
                <w:sz w:val="20"/>
                <w:szCs w:val="20"/>
                <w:lang w:val="en-US" w:eastAsia="sv-SE"/>
              </w:rPr>
            </w:pPr>
            <w:r w:rsidRPr="001C3D2D">
              <w:rPr>
                <w:rFonts w:ascii="Arial" w:eastAsia="Times New Roman" w:hAnsi="Arial" w:cs="Arial"/>
                <w:color w:val="000000"/>
                <w:sz w:val="20"/>
                <w:szCs w:val="20"/>
                <w:lang w:val="en-US" w:eastAsia="sv-SE"/>
              </w:rPr>
              <w:t>14.72</w:t>
            </w:r>
          </w:p>
        </w:tc>
        <w:tc>
          <w:tcPr>
            <w:tcW w:w="1460" w:type="dxa"/>
            <w:tcBorders>
              <w:top w:val="nil"/>
              <w:left w:val="nil"/>
              <w:bottom w:val="nil"/>
              <w:right w:val="nil"/>
            </w:tcBorders>
            <w:shd w:val="clear" w:color="auto" w:fill="auto"/>
            <w:noWrap/>
            <w:vAlign w:val="bottom"/>
            <w:hideMark/>
          </w:tcPr>
          <w:p w14:paraId="1A121180" w14:textId="77777777" w:rsidR="00C84B82" w:rsidRPr="001C3D2D" w:rsidRDefault="00C84B82" w:rsidP="00B27156">
            <w:pPr>
              <w:spacing w:line="276" w:lineRule="auto"/>
              <w:jc w:val="center"/>
              <w:rPr>
                <w:rFonts w:ascii="Arial" w:eastAsia="Times New Roman" w:hAnsi="Arial" w:cs="Arial"/>
                <w:color w:val="000000"/>
                <w:sz w:val="20"/>
                <w:szCs w:val="20"/>
                <w:lang w:val="en-US" w:eastAsia="sv-SE"/>
              </w:rPr>
            </w:pPr>
            <w:r w:rsidRPr="001C3D2D">
              <w:rPr>
                <w:rFonts w:ascii="Arial" w:eastAsia="Times New Roman" w:hAnsi="Arial" w:cs="Arial"/>
                <w:color w:val="000000"/>
                <w:sz w:val="20"/>
                <w:szCs w:val="20"/>
                <w:lang w:val="en-US" w:eastAsia="sv-SE"/>
              </w:rPr>
              <w:t>2.57</w:t>
            </w:r>
          </w:p>
        </w:tc>
        <w:tc>
          <w:tcPr>
            <w:tcW w:w="2365" w:type="dxa"/>
            <w:tcBorders>
              <w:top w:val="nil"/>
              <w:left w:val="nil"/>
              <w:bottom w:val="nil"/>
              <w:right w:val="nil"/>
            </w:tcBorders>
            <w:shd w:val="clear" w:color="auto" w:fill="auto"/>
            <w:noWrap/>
            <w:vAlign w:val="bottom"/>
          </w:tcPr>
          <w:p w14:paraId="42361725" w14:textId="5C799D8A" w:rsidR="00C84B82" w:rsidRPr="001C3D2D" w:rsidRDefault="00C84B82" w:rsidP="00B27156">
            <w:pPr>
              <w:spacing w:line="276" w:lineRule="auto"/>
              <w:rPr>
                <w:rFonts w:ascii="Arial" w:eastAsia="Times New Roman" w:hAnsi="Arial" w:cs="Arial"/>
                <w:color w:val="000000"/>
                <w:sz w:val="20"/>
                <w:szCs w:val="20"/>
                <w:lang w:val="en-US" w:eastAsia="sv-SE"/>
              </w:rPr>
            </w:pPr>
            <w:r>
              <w:rPr>
                <w:rFonts w:ascii="Arial" w:eastAsia="Times New Roman" w:hAnsi="Arial" w:cs="Arial"/>
                <w:color w:val="000000"/>
                <w:sz w:val="20"/>
                <w:szCs w:val="20"/>
                <w:lang w:val="en-US" w:eastAsia="sv-SE"/>
              </w:rPr>
              <w:fldChar w:fldCharType="begin" w:fldLock="1"/>
            </w:r>
            <w:r w:rsidR="00315A3A">
              <w:rPr>
                <w:rFonts w:ascii="Arial" w:eastAsia="Times New Roman" w:hAnsi="Arial" w:cs="Arial"/>
                <w:color w:val="000000"/>
                <w:sz w:val="20"/>
                <w:szCs w:val="20"/>
                <w:lang w:val="en-US" w:eastAsia="sv-SE"/>
              </w:rPr>
              <w:instrText>ADDIN CSL_CITATION {"citationItems":[{"id":"ITEM-1","itemData":{"author":[{"dropping-particle":"","family":"Fugler","given":"S.R.","non-dropping-particle":"","parse-names":false,"suffix":""}],"container-title":"Siegfried W.R., Condy P.R., Laws R.M. (eds) Antarctic Nutrient Cycles and Food Webs. Springer, Berlin, Heidelberg","id":"ITEM-1","issued":{"date-parts":[["1985"]]},"page":"169-179","title":"Chemical Composition of Guano of Burrowing Petrel Chicks (Procellariidae) at Marion Island","type":"chapter"},"uris":["http://www.mendeley.com/documents/?uuid=e38f96bf-c2c4-4dfa-9679-ae22934f7e00"]}],"mendeley":{"formattedCitation":"&lt;sup&gt;7&lt;/sup&gt;","plainTextFormattedCitation":"7","previouslyFormattedCitation":"&lt;sup&gt;7&lt;/sup&gt;"},"properties":{"noteIndex":0},"schema":"https://github.com/citation-style-language/schema/raw/master/csl-citation.json"}</w:instrText>
            </w:r>
            <w:r>
              <w:rPr>
                <w:rFonts w:ascii="Arial" w:eastAsia="Times New Roman" w:hAnsi="Arial" w:cs="Arial"/>
                <w:color w:val="000000"/>
                <w:sz w:val="20"/>
                <w:szCs w:val="20"/>
                <w:lang w:val="en-US" w:eastAsia="sv-SE"/>
              </w:rPr>
              <w:fldChar w:fldCharType="separate"/>
            </w:r>
            <w:r w:rsidR="006E4B8F" w:rsidRPr="006E4B8F">
              <w:rPr>
                <w:rFonts w:ascii="Arial" w:eastAsia="Times New Roman" w:hAnsi="Arial" w:cs="Arial"/>
                <w:noProof/>
                <w:color w:val="000000"/>
                <w:sz w:val="20"/>
                <w:szCs w:val="20"/>
                <w:vertAlign w:val="superscript"/>
                <w:lang w:val="en-US" w:eastAsia="sv-SE"/>
              </w:rPr>
              <w:t>7</w:t>
            </w:r>
            <w:r>
              <w:rPr>
                <w:rFonts w:ascii="Arial" w:eastAsia="Times New Roman" w:hAnsi="Arial" w:cs="Arial"/>
                <w:color w:val="000000"/>
                <w:sz w:val="20"/>
                <w:szCs w:val="20"/>
                <w:lang w:val="en-US" w:eastAsia="sv-SE"/>
              </w:rPr>
              <w:fldChar w:fldCharType="end"/>
            </w:r>
          </w:p>
        </w:tc>
      </w:tr>
      <w:tr w:rsidR="00917272" w:rsidRPr="001C3D2D" w14:paraId="3D0EB367" w14:textId="77777777" w:rsidTr="00C84B82">
        <w:trPr>
          <w:trHeight w:val="320"/>
        </w:trPr>
        <w:tc>
          <w:tcPr>
            <w:tcW w:w="2100" w:type="dxa"/>
            <w:tcBorders>
              <w:top w:val="nil"/>
              <w:left w:val="nil"/>
              <w:bottom w:val="nil"/>
              <w:right w:val="nil"/>
            </w:tcBorders>
            <w:shd w:val="clear" w:color="auto" w:fill="auto"/>
            <w:noWrap/>
            <w:vAlign w:val="bottom"/>
          </w:tcPr>
          <w:p w14:paraId="09028D8F" w14:textId="77777777" w:rsidR="00917272" w:rsidRPr="00C84B82" w:rsidRDefault="00917272" w:rsidP="00B27156">
            <w:pPr>
              <w:spacing w:line="276" w:lineRule="auto"/>
              <w:rPr>
                <w:rFonts w:ascii="Arial" w:eastAsia="Times New Roman" w:hAnsi="Arial" w:cs="Arial"/>
                <w:color w:val="000000"/>
                <w:sz w:val="20"/>
                <w:szCs w:val="20"/>
                <w:lang w:val="en-US" w:eastAsia="sv-SE"/>
              </w:rPr>
            </w:pPr>
          </w:p>
        </w:tc>
        <w:tc>
          <w:tcPr>
            <w:tcW w:w="1063" w:type="dxa"/>
            <w:tcBorders>
              <w:top w:val="nil"/>
              <w:left w:val="nil"/>
              <w:bottom w:val="nil"/>
              <w:right w:val="nil"/>
            </w:tcBorders>
            <w:shd w:val="clear" w:color="auto" w:fill="auto"/>
            <w:noWrap/>
            <w:vAlign w:val="bottom"/>
          </w:tcPr>
          <w:p w14:paraId="41FD57BA" w14:textId="77777777" w:rsidR="00917272" w:rsidRPr="001C3D2D" w:rsidRDefault="00917272" w:rsidP="00B27156">
            <w:pPr>
              <w:spacing w:line="276" w:lineRule="auto"/>
              <w:rPr>
                <w:rFonts w:ascii="Arial" w:eastAsia="Times New Roman" w:hAnsi="Arial" w:cs="Arial"/>
                <w:color w:val="000000"/>
                <w:sz w:val="20"/>
                <w:szCs w:val="20"/>
                <w:lang w:val="en-US" w:eastAsia="sv-SE"/>
              </w:rPr>
            </w:pPr>
          </w:p>
        </w:tc>
        <w:tc>
          <w:tcPr>
            <w:tcW w:w="1460" w:type="dxa"/>
            <w:tcBorders>
              <w:top w:val="nil"/>
              <w:left w:val="nil"/>
              <w:bottom w:val="nil"/>
              <w:right w:val="nil"/>
            </w:tcBorders>
            <w:shd w:val="clear" w:color="auto" w:fill="auto"/>
            <w:noWrap/>
            <w:vAlign w:val="bottom"/>
          </w:tcPr>
          <w:p w14:paraId="2F1B5DED" w14:textId="77777777" w:rsidR="00917272" w:rsidRPr="001C3D2D" w:rsidRDefault="00917272" w:rsidP="00B27156">
            <w:pPr>
              <w:spacing w:line="276" w:lineRule="auto"/>
              <w:jc w:val="center"/>
              <w:rPr>
                <w:rFonts w:ascii="Arial" w:eastAsia="Times New Roman" w:hAnsi="Arial" w:cs="Arial"/>
                <w:color w:val="000000"/>
                <w:sz w:val="20"/>
                <w:szCs w:val="20"/>
                <w:lang w:val="en-US" w:eastAsia="sv-SE"/>
              </w:rPr>
            </w:pPr>
          </w:p>
        </w:tc>
        <w:tc>
          <w:tcPr>
            <w:tcW w:w="1460" w:type="dxa"/>
            <w:tcBorders>
              <w:top w:val="nil"/>
              <w:left w:val="nil"/>
              <w:bottom w:val="nil"/>
              <w:right w:val="nil"/>
            </w:tcBorders>
            <w:shd w:val="clear" w:color="auto" w:fill="auto"/>
            <w:noWrap/>
            <w:vAlign w:val="bottom"/>
          </w:tcPr>
          <w:p w14:paraId="47EF2164" w14:textId="77777777" w:rsidR="00917272" w:rsidRPr="001C3D2D" w:rsidRDefault="00917272" w:rsidP="00B27156">
            <w:pPr>
              <w:spacing w:line="276" w:lineRule="auto"/>
              <w:jc w:val="center"/>
              <w:rPr>
                <w:rFonts w:ascii="Arial" w:eastAsia="Times New Roman" w:hAnsi="Arial" w:cs="Arial"/>
                <w:color w:val="000000"/>
                <w:sz w:val="20"/>
                <w:szCs w:val="20"/>
                <w:lang w:val="en-US" w:eastAsia="sv-SE"/>
              </w:rPr>
            </w:pPr>
          </w:p>
        </w:tc>
        <w:tc>
          <w:tcPr>
            <w:tcW w:w="2365" w:type="dxa"/>
            <w:tcBorders>
              <w:top w:val="nil"/>
              <w:left w:val="nil"/>
              <w:bottom w:val="nil"/>
              <w:right w:val="nil"/>
            </w:tcBorders>
            <w:shd w:val="clear" w:color="auto" w:fill="auto"/>
            <w:noWrap/>
            <w:vAlign w:val="bottom"/>
          </w:tcPr>
          <w:p w14:paraId="3BE0E06E" w14:textId="77777777" w:rsidR="00917272" w:rsidRDefault="00917272" w:rsidP="00B27156">
            <w:pPr>
              <w:spacing w:line="276" w:lineRule="auto"/>
              <w:rPr>
                <w:rFonts w:ascii="Arial" w:eastAsia="Times New Roman" w:hAnsi="Arial" w:cs="Arial"/>
                <w:color w:val="000000"/>
                <w:sz w:val="20"/>
                <w:szCs w:val="20"/>
                <w:lang w:val="en-US" w:eastAsia="sv-SE"/>
              </w:rPr>
            </w:pPr>
          </w:p>
        </w:tc>
      </w:tr>
      <w:tr w:rsidR="00917272" w:rsidRPr="001C3D2D" w14:paraId="74750E6A" w14:textId="77777777" w:rsidTr="00C84B82">
        <w:trPr>
          <w:trHeight w:val="320"/>
        </w:trPr>
        <w:tc>
          <w:tcPr>
            <w:tcW w:w="2100" w:type="dxa"/>
            <w:tcBorders>
              <w:top w:val="nil"/>
              <w:left w:val="nil"/>
              <w:bottom w:val="nil"/>
              <w:right w:val="nil"/>
            </w:tcBorders>
            <w:shd w:val="clear" w:color="auto" w:fill="auto"/>
            <w:noWrap/>
            <w:vAlign w:val="bottom"/>
          </w:tcPr>
          <w:p w14:paraId="78054F48" w14:textId="7ED4F8F6" w:rsidR="00917272" w:rsidRPr="00B27156" w:rsidRDefault="00917272" w:rsidP="00B27156">
            <w:pPr>
              <w:spacing w:line="276" w:lineRule="auto"/>
              <w:rPr>
                <w:rFonts w:ascii="Arial" w:eastAsia="Times New Roman" w:hAnsi="Arial" w:cs="Arial"/>
                <w:b/>
                <w:color w:val="000000"/>
                <w:sz w:val="20"/>
                <w:szCs w:val="20"/>
                <w:lang w:val="en-US" w:eastAsia="sv-SE"/>
              </w:rPr>
            </w:pPr>
            <w:r w:rsidRPr="00B27156">
              <w:rPr>
                <w:rFonts w:ascii="Arial" w:eastAsia="Times New Roman" w:hAnsi="Arial" w:cs="Arial"/>
                <w:b/>
                <w:color w:val="000000"/>
                <w:sz w:val="20"/>
                <w:szCs w:val="20"/>
                <w:lang w:val="en-US" w:eastAsia="sv-SE"/>
              </w:rPr>
              <w:t>Median</w:t>
            </w:r>
          </w:p>
        </w:tc>
        <w:tc>
          <w:tcPr>
            <w:tcW w:w="1063" w:type="dxa"/>
            <w:tcBorders>
              <w:top w:val="nil"/>
              <w:left w:val="nil"/>
              <w:bottom w:val="nil"/>
              <w:right w:val="nil"/>
            </w:tcBorders>
            <w:shd w:val="clear" w:color="auto" w:fill="auto"/>
            <w:noWrap/>
            <w:vAlign w:val="bottom"/>
          </w:tcPr>
          <w:p w14:paraId="7EBF6753" w14:textId="77777777" w:rsidR="00917272" w:rsidRPr="00B27156" w:rsidRDefault="00917272" w:rsidP="00B27156">
            <w:pPr>
              <w:spacing w:line="276" w:lineRule="auto"/>
              <w:rPr>
                <w:rFonts w:ascii="Arial" w:eastAsia="Times New Roman" w:hAnsi="Arial" w:cs="Arial"/>
                <w:b/>
                <w:color w:val="000000"/>
                <w:sz w:val="20"/>
                <w:szCs w:val="20"/>
                <w:lang w:val="en-US" w:eastAsia="sv-SE"/>
              </w:rPr>
            </w:pPr>
          </w:p>
        </w:tc>
        <w:tc>
          <w:tcPr>
            <w:tcW w:w="1460" w:type="dxa"/>
            <w:tcBorders>
              <w:top w:val="nil"/>
              <w:left w:val="nil"/>
              <w:bottom w:val="nil"/>
              <w:right w:val="nil"/>
            </w:tcBorders>
            <w:shd w:val="clear" w:color="auto" w:fill="auto"/>
            <w:noWrap/>
            <w:vAlign w:val="bottom"/>
          </w:tcPr>
          <w:p w14:paraId="0FEBEA32" w14:textId="777E9F22" w:rsidR="00917272" w:rsidRPr="00B27156" w:rsidRDefault="00B27156" w:rsidP="00B27156">
            <w:pPr>
              <w:spacing w:line="276" w:lineRule="auto"/>
              <w:jc w:val="center"/>
              <w:rPr>
                <w:rFonts w:ascii="Arial" w:eastAsia="Times New Roman" w:hAnsi="Arial" w:cs="Arial"/>
                <w:b/>
                <w:color w:val="000000"/>
                <w:sz w:val="20"/>
                <w:szCs w:val="20"/>
                <w:lang w:val="en-US" w:eastAsia="sv-SE"/>
              </w:rPr>
            </w:pPr>
            <w:r w:rsidRPr="00B27156">
              <w:rPr>
                <w:rFonts w:ascii="Arial" w:eastAsia="Times New Roman" w:hAnsi="Arial" w:cs="Arial"/>
                <w:b/>
                <w:color w:val="000000"/>
                <w:sz w:val="20"/>
                <w:szCs w:val="20"/>
                <w:lang w:val="en-US" w:eastAsia="sv-SE"/>
              </w:rPr>
              <w:t>17.70</w:t>
            </w:r>
          </w:p>
        </w:tc>
        <w:tc>
          <w:tcPr>
            <w:tcW w:w="1460" w:type="dxa"/>
            <w:tcBorders>
              <w:top w:val="nil"/>
              <w:left w:val="nil"/>
              <w:bottom w:val="nil"/>
              <w:right w:val="nil"/>
            </w:tcBorders>
            <w:shd w:val="clear" w:color="auto" w:fill="auto"/>
            <w:noWrap/>
            <w:vAlign w:val="bottom"/>
          </w:tcPr>
          <w:p w14:paraId="68842A32" w14:textId="24D8F77D" w:rsidR="00917272" w:rsidRPr="00B27156" w:rsidRDefault="00B27156" w:rsidP="00B27156">
            <w:pPr>
              <w:spacing w:line="276" w:lineRule="auto"/>
              <w:jc w:val="center"/>
              <w:rPr>
                <w:rFonts w:ascii="Arial" w:eastAsia="Times New Roman" w:hAnsi="Arial" w:cs="Arial"/>
                <w:b/>
                <w:color w:val="000000"/>
                <w:sz w:val="20"/>
                <w:szCs w:val="20"/>
                <w:lang w:val="en-US" w:eastAsia="sv-SE"/>
              </w:rPr>
            </w:pPr>
            <w:r w:rsidRPr="00B27156">
              <w:rPr>
                <w:rFonts w:ascii="Arial" w:eastAsia="Times New Roman" w:hAnsi="Arial" w:cs="Arial"/>
                <w:b/>
                <w:color w:val="000000"/>
                <w:sz w:val="20"/>
                <w:szCs w:val="20"/>
                <w:lang w:val="en-US" w:eastAsia="sv-SE"/>
              </w:rPr>
              <w:t>1.67</w:t>
            </w:r>
          </w:p>
        </w:tc>
        <w:tc>
          <w:tcPr>
            <w:tcW w:w="2365" w:type="dxa"/>
            <w:tcBorders>
              <w:top w:val="nil"/>
              <w:left w:val="nil"/>
              <w:bottom w:val="nil"/>
              <w:right w:val="nil"/>
            </w:tcBorders>
            <w:shd w:val="clear" w:color="auto" w:fill="auto"/>
            <w:noWrap/>
            <w:vAlign w:val="bottom"/>
          </w:tcPr>
          <w:p w14:paraId="3153BC8C" w14:textId="77777777" w:rsidR="00917272" w:rsidRDefault="00917272" w:rsidP="00B27156">
            <w:pPr>
              <w:spacing w:line="276" w:lineRule="auto"/>
              <w:rPr>
                <w:rFonts w:ascii="Arial" w:eastAsia="Times New Roman" w:hAnsi="Arial" w:cs="Arial"/>
                <w:color w:val="000000"/>
                <w:sz w:val="20"/>
                <w:szCs w:val="20"/>
                <w:lang w:val="en-US" w:eastAsia="sv-SE"/>
              </w:rPr>
            </w:pPr>
          </w:p>
        </w:tc>
      </w:tr>
      <w:tr w:rsidR="00917272" w:rsidRPr="001C3D2D" w14:paraId="7C32D71A" w14:textId="77777777" w:rsidTr="00B27156">
        <w:trPr>
          <w:trHeight w:val="320"/>
        </w:trPr>
        <w:tc>
          <w:tcPr>
            <w:tcW w:w="2100" w:type="dxa"/>
            <w:tcBorders>
              <w:top w:val="nil"/>
              <w:left w:val="nil"/>
              <w:right w:val="nil"/>
            </w:tcBorders>
            <w:shd w:val="clear" w:color="auto" w:fill="auto"/>
            <w:noWrap/>
            <w:vAlign w:val="bottom"/>
          </w:tcPr>
          <w:p w14:paraId="4824D6A3" w14:textId="304A411D" w:rsidR="00917272" w:rsidRPr="00B27156" w:rsidRDefault="00B63CBF" w:rsidP="00B27156">
            <w:pPr>
              <w:spacing w:line="276" w:lineRule="auto"/>
              <w:rPr>
                <w:rFonts w:ascii="Arial" w:eastAsia="Times New Roman" w:hAnsi="Arial" w:cs="Arial"/>
                <w:b/>
                <w:color w:val="000000"/>
                <w:sz w:val="20"/>
                <w:szCs w:val="20"/>
                <w:lang w:val="en-US" w:eastAsia="sv-SE"/>
              </w:rPr>
            </w:pPr>
            <w:r>
              <w:rPr>
                <w:rFonts w:ascii="Arial" w:eastAsia="Times New Roman" w:hAnsi="Arial" w:cs="Arial"/>
                <w:b/>
                <w:color w:val="000000"/>
                <w:sz w:val="20"/>
                <w:szCs w:val="20"/>
                <w:lang w:val="en-US" w:eastAsia="sv-SE"/>
              </w:rPr>
              <w:t>5</w:t>
            </w:r>
            <w:r w:rsidR="00917272" w:rsidRPr="00B27156">
              <w:rPr>
                <w:rFonts w:ascii="Arial" w:eastAsia="Times New Roman" w:hAnsi="Arial" w:cs="Arial"/>
                <w:b/>
                <w:color w:val="000000"/>
                <w:sz w:val="20"/>
                <w:szCs w:val="20"/>
                <w:lang w:val="en-US" w:eastAsia="sv-SE"/>
              </w:rPr>
              <w:t xml:space="preserve"> percentile</w:t>
            </w:r>
          </w:p>
        </w:tc>
        <w:tc>
          <w:tcPr>
            <w:tcW w:w="1063" w:type="dxa"/>
            <w:tcBorders>
              <w:top w:val="nil"/>
              <w:left w:val="nil"/>
              <w:right w:val="nil"/>
            </w:tcBorders>
            <w:shd w:val="clear" w:color="auto" w:fill="auto"/>
            <w:noWrap/>
            <w:vAlign w:val="bottom"/>
          </w:tcPr>
          <w:p w14:paraId="484B09ED" w14:textId="77777777" w:rsidR="00917272" w:rsidRPr="00B27156" w:rsidRDefault="00917272" w:rsidP="00B27156">
            <w:pPr>
              <w:spacing w:line="276" w:lineRule="auto"/>
              <w:rPr>
                <w:rFonts w:ascii="Arial" w:eastAsia="Times New Roman" w:hAnsi="Arial" w:cs="Arial"/>
                <w:b/>
                <w:color w:val="000000"/>
                <w:sz w:val="20"/>
                <w:szCs w:val="20"/>
                <w:lang w:val="en-US" w:eastAsia="sv-SE"/>
              </w:rPr>
            </w:pPr>
          </w:p>
        </w:tc>
        <w:tc>
          <w:tcPr>
            <w:tcW w:w="1460" w:type="dxa"/>
            <w:tcBorders>
              <w:top w:val="nil"/>
              <w:left w:val="nil"/>
              <w:right w:val="nil"/>
            </w:tcBorders>
            <w:shd w:val="clear" w:color="auto" w:fill="auto"/>
            <w:noWrap/>
            <w:vAlign w:val="bottom"/>
          </w:tcPr>
          <w:p w14:paraId="01C8935B" w14:textId="46300DF9" w:rsidR="00917272" w:rsidRPr="00B27156" w:rsidRDefault="00B63CBF" w:rsidP="00B27156">
            <w:pPr>
              <w:spacing w:line="276" w:lineRule="auto"/>
              <w:jc w:val="center"/>
              <w:rPr>
                <w:rFonts w:ascii="Arial" w:eastAsia="Times New Roman" w:hAnsi="Arial" w:cs="Arial"/>
                <w:b/>
                <w:color w:val="000000"/>
                <w:sz w:val="20"/>
                <w:szCs w:val="20"/>
                <w:lang w:val="en-US" w:eastAsia="sv-SE"/>
              </w:rPr>
            </w:pPr>
            <w:r>
              <w:rPr>
                <w:rFonts w:ascii="Arial" w:eastAsia="Times New Roman" w:hAnsi="Arial" w:cs="Arial"/>
                <w:b/>
                <w:color w:val="000000"/>
                <w:sz w:val="20"/>
                <w:szCs w:val="20"/>
                <w:lang w:val="en-US" w:eastAsia="sv-SE"/>
              </w:rPr>
              <w:t>7</w:t>
            </w:r>
            <w:r w:rsidR="00B27156" w:rsidRPr="00B27156">
              <w:rPr>
                <w:rFonts w:ascii="Arial" w:eastAsia="Times New Roman" w:hAnsi="Arial" w:cs="Arial"/>
                <w:b/>
                <w:color w:val="000000"/>
                <w:sz w:val="20"/>
                <w:szCs w:val="20"/>
                <w:lang w:val="en-US" w:eastAsia="sv-SE"/>
              </w:rPr>
              <w:t>.35</w:t>
            </w:r>
          </w:p>
        </w:tc>
        <w:tc>
          <w:tcPr>
            <w:tcW w:w="1460" w:type="dxa"/>
            <w:tcBorders>
              <w:top w:val="nil"/>
              <w:left w:val="nil"/>
              <w:right w:val="nil"/>
            </w:tcBorders>
            <w:shd w:val="clear" w:color="auto" w:fill="auto"/>
            <w:noWrap/>
            <w:vAlign w:val="bottom"/>
          </w:tcPr>
          <w:p w14:paraId="06C9BDC3" w14:textId="38BA2624" w:rsidR="00917272" w:rsidRPr="00B27156" w:rsidRDefault="00B27156" w:rsidP="00B27156">
            <w:pPr>
              <w:spacing w:line="276" w:lineRule="auto"/>
              <w:jc w:val="center"/>
              <w:rPr>
                <w:rFonts w:ascii="Arial" w:eastAsia="Times New Roman" w:hAnsi="Arial" w:cs="Arial"/>
                <w:b/>
                <w:color w:val="000000"/>
                <w:sz w:val="20"/>
                <w:szCs w:val="20"/>
                <w:lang w:val="en-US" w:eastAsia="sv-SE"/>
              </w:rPr>
            </w:pPr>
            <w:r w:rsidRPr="00B27156">
              <w:rPr>
                <w:rFonts w:ascii="Arial" w:eastAsia="Times New Roman" w:hAnsi="Arial" w:cs="Arial"/>
                <w:b/>
                <w:color w:val="000000"/>
                <w:sz w:val="20"/>
                <w:szCs w:val="20"/>
                <w:lang w:val="en-US" w:eastAsia="sv-SE"/>
              </w:rPr>
              <w:t>0.364</w:t>
            </w:r>
          </w:p>
        </w:tc>
        <w:tc>
          <w:tcPr>
            <w:tcW w:w="2365" w:type="dxa"/>
            <w:tcBorders>
              <w:top w:val="nil"/>
              <w:left w:val="nil"/>
              <w:right w:val="nil"/>
            </w:tcBorders>
            <w:shd w:val="clear" w:color="auto" w:fill="auto"/>
            <w:noWrap/>
            <w:vAlign w:val="bottom"/>
          </w:tcPr>
          <w:p w14:paraId="0481A20F" w14:textId="77777777" w:rsidR="00917272" w:rsidRDefault="00917272" w:rsidP="00B27156">
            <w:pPr>
              <w:spacing w:line="276" w:lineRule="auto"/>
              <w:rPr>
                <w:rFonts w:ascii="Arial" w:eastAsia="Times New Roman" w:hAnsi="Arial" w:cs="Arial"/>
                <w:color w:val="000000"/>
                <w:sz w:val="20"/>
                <w:szCs w:val="20"/>
                <w:lang w:val="en-US" w:eastAsia="sv-SE"/>
              </w:rPr>
            </w:pPr>
          </w:p>
        </w:tc>
      </w:tr>
      <w:tr w:rsidR="00917272" w:rsidRPr="001C3D2D" w14:paraId="3D987876" w14:textId="77777777" w:rsidTr="00B27156">
        <w:trPr>
          <w:trHeight w:val="320"/>
        </w:trPr>
        <w:tc>
          <w:tcPr>
            <w:tcW w:w="2100" w:type="dxa"/>
            <w:tcBorders>
              <w:top w:val="nil"/>
              <w:left w:val="nil"/>
              <w:bottom w:val="single" w:sz="4" w:space="0" w:color="auto"/>
              <w:right w:val="nil"/>
            </w:tcBorders>
            <w:shd w:val="clear" w:color="auto" w:fill="auto"/>
            <w:noWrap/>
            <w:vAlign w:val="bottom"/>
          </w:tcPr>
          <w:p w14:paraId="71106D6D" w14:textId="350B55D9" w:rsidR="00917272" w:rsidRPr="00B27156" w:rsidRDefault="00917272" w:rsidP="00B27156">
            <w:pPr>
              <w:spacing w:line="276" w:lineRule="auto"/>
              <w:rPr>
                <w:rFonts w:ascii="Arial" w:eastAsia="Times New Roman" w:hAnsi="Arial" w:cs="Arial"/>
                <w:b/>
                <w:color w:val="000000"/>
                <w:sz w:val="20"/>
                <w:szCs w:val="20"/>
                <w:lang w:val="en-US" w:eastAsia="sv-SE"/>
              </w:rPr>
            </w:pPr>
            <w:r w:rsidRPr="00B27156">
              <w:rPr>
                <w:rFonts w:ascii="Arial" w:eastAsia="Times New Roman" w:hAnsi="Arial" w:cs="Arial"/>
                <w:b/>
                <w:color w:val="000000"/>
                <w:sz w:val="20"/>
                <w:szCs w:val="20"/>
                <w:lang w:val="en-US" w:eastAsia="sv-SE"/>
              </w:rPr>
              <w:t>9</w:t>
            </w:r>
            <w:r w:rsidR="00B63CBF">
              <w:rPr>
                <w:rFonts w:ascii="Arial" w:eastAsia="Times New Roman" w:hAnsi="Arial" w:cs="Arial"/>
                <w:b/>
                <w:color w:val="000000"/>
                <w:sz w:val="20"/>
                <w:szCs w:val="20"/>
                <w:lang w:val="en-US" w:eastAsia="sv-SE"/>
              </w:rPr>
              <w:t>5</w:t>
            </w:r>
            <w:r w:rsidRPr="00B27156">
              <w:rPr>
                <w:rFonts w:ascii="Arial" w:eastAsia="Times New Roman" w:hAnsi="Arial" w:cs="Arial"/>
                <w:b/>
                <w:color w:val="000000"/>
                <w:sz w:val="20"/>
                <w:szCs w:val="20"/>
                <w:lang w:val="en-US" w:eastAsia="sv-SE"/>
              </w:rPr>
              <w:t xml:space="preserve"> percentile</w:t>
            </w:r>
          </w:p>
        </w:tc>
        <w:tc>
          <w:tcPr>
            <w:tcW w:w="1063" w:type="dxa"/>
            <w:tcBorders>
              <w:top w:val="nil"/>
              <w:left w:val="nil"/>
              <w:bottom w:val="single" w:sz="4" w:space="0" w:color="auto"/>
              <w:right w:val="nil"/>
            </w:tcBorders>
            <w:shd w:val="clear" w:color="auto" w:fill="auto"/>
            <w:noWrap/>
            <w:vAlign w:val="bottom"/>
          </w:tcPr>
          <w:p w14:paraId="1E42E61C" w14:textId="77777777" w:rsidR="00917272" w:rsidRPr="00B27156" w:rsidRDefault="00917272" w:rsidP="00B27156">
            <w:pPr>
              <w:spacing w:line="276" w:lineRule="auto"/>
              <w:rPr>
                <w:rFonts w:ascii="Arial" w:eastAsia="Times New Roman" w:hAnsi="Arial" w:cs="Arial"/>
                <w:b/>
                <w:color w:val="000000"/>
                <w:sz w:val="20"/>
                <w:szCs w:val="20"/>
                <w:lang w:val="en-US" w:eastAsia="sv-SE"/>
              </w:rPr>
            </w:pPr>
          </w:p>
        </w:tc>
        <w:tc>
          <w:tcPr>
            <w:tcW w:w="1460" w:type="dxa"/>
            <w:tcBorders>
              <w:top w:val="nil"/>
              <w:left w:val="nil"/>
              <w:bottom w:val="single" w:sz="4" w:space="0" w:color="auto"/>
              <w:right w:val="nil"/>
            </w:tcBorders>
            <w:shd w:val="clear" w:color="auto" w:fill="auto"/>
            <w:noWrap/>
            <w:vAlign w:val="bottom"/>
          </w:tcPr>
          <w:p w14:paraId="07828F3A" w14:textId="2D376AD7" w:rsidR="00917272" w:rsidRPr="00B27156" w:rsidRDefault="00B27156" w:rsidP="00B27156">
            <w:pPr>
              <w:spacing w:line="276" w:lineRule="auto"/>
              <w:jc w:val="center"/>
              <w:rPr>
                <w:rFonts w:ascii="Arial" w:eastAsia="Times New Roman" w:hAnsi="Arial" w:cs="Arial"/>
                <w:b/>
                <w:color w:val="000000"/>
                <w:sz w:val="20"/>
                <w:szCs w:val="20"/>
                <w:lang w:val="en-US" w:eastAsia="sv-SE"/>
              </w:rPr>
            </w:pPr>
            <w:r w:rsidRPr="00B27156">
              <w:rPr>
                <w:rFonts w:ascii="Arial" w:eastAsia="Times New Roman" w:hAnsi="Arial" w:cs="Arial"/>
                <w:b/>
                <w:color w:val="000000"/>
                <w:sz w:val="20"/>
                <w:szCs w:val="20"/>
                <w:lang w:val="en-US" w:eastAsia="sv-SE"/>
              </w:rPr>
              <w:t>21.</w:t>
            </w:r>
            <w:r w:rsidR="00B63CBF">
              <w:rPr>
                <w:rFonts w:ascii="Arial" w:eastAsia="Times New Roman" w:hAnsi="Arial" w:cs="Arial"/>
                <w:b/>
                <w:color w:val="000000"/>
                <w:sz w:val="20"/>
                <w:szCs w:val="20"/>
                <w:lang w:val="en-US" w:eastAsia="sv-SE"/>
              </w:rPr>
              <w:t>78</w:t>
            </w:r>
          </w:p>
        </w:tc>
        <w:tc>
          <w:tcPr>
            <w:tcW w:w="1460" w:type="dxa"/>
            <w:tcBorders>
              <w:top w:val="nil"/>
              <w:left w:val="nil"/>
              <w:bottom w:val="single" w:sz="4" w:space="0" w:color="auto"/>
              <w:right w:val="nil"/>
            </w:tcBorders>
            <w:shd w:val="clear" w:color="auto" w:fill="auto"/>
            <w:noWrap/>
            <w:vAlign w:val="bottom"/>
          </w:tcPr>
          <w:p w14:paraId="36BD4963" w14:textId="369F1607" w:rsidR="00917272" w:rsidRPr="00B27156" w:rsidRDefault="00770B76" w:rsidP="00B27156">
            <w:pPr>
              <w:spacing w:line="276" w:lineRule="auto"/>
              <w:jc w:val="center"/>
              <w:rPr>
                <w:rFonts w:ascii="Arial" w:eastAsia="Times New Roman" w:hAnsi="Arial" w:cs="Arial"/>
                <w:b/>
                <w:color w:val="000000"/>
                <w:sz w:val="20"/>
                <w:szCs w:val="20"/>
                <w:lang w:val="en-US" w:eastAsia="sv-SE"/>
              </w:rPr>
            </w:pPr>
            <w:r>
              <w:rPr>
                <w:rFonts w:ascii="Arial" w:eastAsia="Times New Roman" w:hAnsi="Arial" w:cs="Arial"/>
                <w:b/>
                <w:color w:val="000000"/>
                <w:sz w:val="20"/>
                <w:szCs w:val="20"/>
                <w:lang w:val="en-US" w:eastAsia="sv-SE"/>
              </w:rPr>
              <w:t>3.12</w:t>
            </w:r>
          </w:p>
        </w:tc>
        <w:tc>
          <w:tcPr>
            <w:tcW w:w="2365" w:type="dxa"/>
            <w:tcBorders>
              <w:top w:val="nil"/>
              <w:left w:val="nil"/>
              <w:bottom w:val="single" w:sz="4" w:space="0" w:color="auto"/>
              <w:right w:val="nil"/>
            </w:tcBorders>
            <w:shd w:val="clear" w:color="auto" w:fill="auto"/>
            <w:noWrap/>
            <w:vAlign w:val="bottom"/>
          </w:tcPr>
          <w:p w14:paraId="16B51FFA" w14:textId="77777777" w:rsidR="00917272" w:rsidRDefault="00917272" w:rsidP="00B27156">
            <w:pPr>
              <w:spacing w:line="276" w:lineRule="auto"/>
              <w:rPr>
                <w:rFonts w:ascii="Arial" w:eastAsia="Times New Roman" w:hAnsi="Arial" w:cs="Arial"/>
                <w:color w:val="000000"/>
                <w:sz w:val="20"/>
                <w:szCs w:val="20"/>
                <w:lang w:val="en-US" w:eastAsia="sv-SE"/>
              </w:rPr>
            </w:pPr>
          </w:p>
        </w:tc>
      </w:tr>
    </w:tbl>
    <w:p w14:paraId="3ADAA218" w14:textId="48DE20C8" w:rsidR="00917272" w:rsidRDefault="00917272" w:rsidP="00B27156">
      <w:pPr>
        <w:spacing w:line="276" w:lineRule="auto"/>
        <w:rPr>
          <w:rFonts w:ascii="Calibri" w:hAnsi="Calibri" w:cs="Calibri"/>
          <w:lang w:val="en-US"/>
        </w:rPr>
      </w:pPr>
    </w:p>
    <w:p w14:paraId="0C9C87A1" w14:textId="2C87627A" w:rsidR="00B27156" w:rsidRDefault="00B27156" w:rsidP="00B27156">
      <w:pPr>
        <w:spacing w:line="276" w:lineRule="auto"/>
        <w:rPr>
          <w:rFonts w:ascii="Calibri" w:hAnsi="Calibri" w:cs="Calibri"/>
          <w:lang w:val="en-US"/>
        </w:rPr>
      </w:pPr>
    </w:p>
    <w:p w14:paraId="0B39D8FA" w14:textId="77777777" w:rsidR="00A801C4" w:rsidRDefault="00A801C4">
      <w:pPr>
        <w:rPr>
          <w:rFonts w:ascii="Calibri" w:hAnsi="Calibri" w:cs="Calibri"/>
          <w:lang w:val="en-US"/>
        </w:rPr>
      </w:pPr>
      <w:r>
        <w:rPr>
          <w:rFonts w:ascii="Calibri" w:hAnsi="Calibri" w:cs="Calibri"/>
          <w:lang w:val="en-US"/>
        </w:rPr>
        <w:br w:type="page"/>
      </w:r>
    </w:p>
    <w:p w14:paraId="42A36E5C" w14:textId="0874FDD0" w:rsidR="00B27156" w:rsidRDefault="009A0AB3" w:rsidP="009A0AB3">
      <w:pPr>
        <w:spacing w:line="276" w:lineRule="auto"/>
        <w:jc w:val="center"/>
        <w:rPr>
          <w:rFonts w:ascii="Calibri" w:hAnsi="Calibri" w:cs="Calibri"/>
          <w:b/>
          <w:bCs/>
          <w:lang w:val="en-US"/>
        </w:rPr>
      </w:pPr>
      <w:r>
        <w:rPr>
          <w:rFonts w:ascii="Calibri" w:hAnsi="Calibri" w:cs="Calibri"/>
          <w:b/>
          <w:bCs/>
          <w:lang w:val="en-US"/>
        </w:rPr>
        <w:lastRenderedPageBreak/>
        <w:t xml:space="preserve">Time series of oxygen concentrations </w:t>
      </w:r>
    </w:p>
    <w:p w14:paraId="62FE956C" w14:textId="5BB7469F" w:rsidR="009A0AB3" w:rsidRDefault="009A0AB3" w:rsidP="009A0AB3">
      <w:pPr>
        <w:spacing w:line="276" w:lineRule="auto"/>
        <w:jc w:val="center"/>
        <w:rPr>
          <w:rFonts w:ascii="Calibri" w:hAnsi="Calibri" w:cs="Calibri"/>
          <w:b/>
          <w:bCs/>
          <w:lang w:val="en-US"/>
        </w:rPr>
      </w:pPr>
    </w:p>
    <w:p w14:paraId="6B2C46A3" w14:textId="77777777" w:rsidR="009A0AB3" w:rsidRPr="006724F2" w:rsidRDefault="009A0AB3" w:rsidP="009A0AB3">
      <w:pPr>
        <w:spacing w:line="480" w:lineRule="auto"/>
        <w:rPr>
          <w:rFonts w:ascii="Calibri" w:hAnsi="Calibri" w:cs="Calibri"/>
          <w:b/>
          <w:lang w:val="en-US"/>
        </w:rPr>
      </w:pPr>
      <w:r w:rsidRPr="006724F2">
        <w:rPr>
          <w:rFonts w:ascii="Calibri" w:hAnsi="Calibri" w:cs="Calibri"/>
          <w:b/>
          <w:noProof/>
          <w:lang w:val="en-US"/>
        </w:rPr>
        <w:drawing>
          <wp:inline distT="0" distB="0" distL="0" distR="0" wp14:anchorId="120D0F62" wp14:editId="1A13EAAF">
            <wp:extent cx="3657600" cy="2438400"/>
            <wp:effectExtent l="0" t="0" r="0" b="0"/>
            <wp:docPr id="5" name="Bildobjekt 5" descr="En bild som visar bå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5_Shark_oxygen.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72767" cy="2448511"/>
                    </a:xfrm>
                    <a:prstGeom prst="rect">
                      <a:avLst/>
                    </a:prstGeom>
                  </pic:spPr>
                </pic:pic>
              </a:graphicData>
            </a:graphic>
          </wp:inline>
        </w:drawing>
      </w:r>
    </w:p>
    <w:p w14:paraId="1C9EC58A" w14:textId="46210017" w:rsidR="009A0AB3" w:rsidRPr="006724F2" w:rsidRDefault="009A0AB3" w:rsidP="009A0AB3">
      <w:pPr>
        <w:spacing w:line="480" w:lineRule="auto"/>
        <w:rPr>
          <w:rFonts w:ascii="Calibri" w:hAnsi="Calibri" w:cs="Calibri"/>
          <w:lang w:val="en-US"/>
        </w:rPr>
      </w:pPr>
      <w:r w:rsidRPr="006724F2">
        <w:rPr>
          <w:rFonts w:ascii="Calibri" w:hAnsi="Calibri" w:cs="Calibri"/>
          <w:b/>
          <w:lang w:val="en-US"/>
        </w:rPr>
        <w:t xml:space="preserve">Fig. </w:t>
      </w:r>
      <w:r>
        <w:rPr>
          <w:rFonts w:ascii="Calibri" w:hAnsi="Calibri" w:cs="Calibri"/>
          <w:b/>
          <w:lang w:val="en-US"/>
        </w:rPr>
        <w:t>S1</w:t>
      </w:r>
      <w:r w:rsidRPr="006724F2">
        <w:rPr>
          <w:rFonts w:ascii="Calibri" w:hAnsi="Calibri" w:cs="Calibri"/>
          <w:b/>
          <w:lang w:val="en-US"/>
        </w:rPr>
        <w:t xml:space="preserve">. </w:t>
      </w:r>
      <w:r w:rsidRPr="001858F5">
        <w:rPr>
          <w:rFonts w:ascii="Calibri" w:hAnsi="Calibri" w:cs="Calibri"/>
          <w:bCs/>
          <w:lang w:val="en-US"/>
        </w:rPr>
        <w:t>Timeseries of</w:t>
      </w:r>
      <w:r>
        <w:rPr>
          <w:rFonts w:ascii="Calibri" w:hAnsi="Calibri" w:cs="Calibri"/>
          <w:b/>
          <w:lang w:val="en-US"/>
        </w:rPr>
        <w:t xml:space="preserve"> </w:t>
      </w:r>
      <w:r>
        <w:rPr>
          <w:rFonts w:ascii="Calibri" w:hAnsi="Calibri" w:cs="Calibri"/>
          <w:bCs/>
          <w:lang w:val="en-US"/>
        </w:rPr>
        <w:t>d</w:t>
      </w:r>
      <w:r w:rsidRPr="006724F2">
        <w:rPr>
          <w:rFonts w:ascii="Calibri" w:hAnsi="Calibri" w:cs="Calibri"/>
          <w:lang w:val="en-US"/>
        </w:rPr>
        <w:t xml:space="preserve">issolved oxygen </w:t>
      </w:r>
      <w:r>
        <w:rPr>
          <w:rFonts w:ascii="Calibri" w:hAnsi="Calibri" w:cs="Calibri"/>
          <w:lang w:val="en-US"/>
        </w:rPr>
        <w:t xml:space="preserve">near the seabird colony. Grey points are data for the </w:t>
      </w:r>
      <w:r w:rsidRPr="006724F2">
        <w:rPr>
          <w:rFonts w:ascii="Calibri" w:hAnsi="Calibri" w:cs="Calibri"/>
          <w:lang w:val="en-US"/>
        </w:rPr>
        <w:t xml:space="preserve">oceanographic sampling station “BY 38 Karlso” (57.116 N, 17.667 E) at 60 m depth (circles) and 70 m depth (squares), and </w:t>
      </w:r>
      <w:r>
        <w:rPr>
          <w:rFonts w:ascii="Calibri" w:hAnsi="Calibri" w:cs="Calibri"/>
          <w:lang w:val="en-US"/>
        </w:rPr>
        <w:t xml:space="preserve">black triangles are </w:t>
      </w:r>
      <w:r w:rsidRPr="006724F2">
        <w:rPr>
          <w:rFonts w:ascii="Calibri" w:hAnsi="Calibri" w:cs="Calibri"/>
          <w:lang w:val="en-US"/>
        </w:rPr>
        <w:t xml:space="preserve">at 65 - 69 m depth at the four stations </w:t>
      </w:r>
      <w:r>
        <w:rPr>
          <w:rFonts w:ascii="Calibri" w:hAnsi="Calibri" w:cs="Calibri"/>
          <w:lang w:val="en-US"/>
        </w:rPr>
        <w:t xml:space="preserve">reported </w:t>
      </w:r>
      <w:r w:rsidRPr="006724F2">
        <w:rPr>
          <w:rFonts w:ascii="Calibri" w:hAnsi="Calibri" w:cs="Calibri"/>
          <w:lang w:val="en-US"/>
        </w:rPr>
        <w:t xml:space="preserve">in this study. The red horizontal line indicates 0.4 ml/l oxygen i.e. the level below which no macrofauna </w:t>
      </w:r>
      <w:r>
        <w:rPr>
          <w:rFonts w:ascii="Calibri" w:hAnsi="Calibri" w:cs="Calibri"/>
          <w:lang w:val="en-US"/>
        </w:rPr>
        <w:t xml:space="preserve">will </w:t>
      </w:r>
      <w:r w:rsidRPr="006724F2">
        <w:rPr>
          <w:rFonts w:ascii="Calibri" w:hAnsi="Calibri" w:cs="Calibri"/>
          <w:lang w:val="en-US"/>
        </w:rPr>
        <w:t>survive</w:t>
      </w:r>
      <w:r w:rsidR="00315A3A">
        <w:rPr>
          <w:rFonts w:ascii="Calibri" w:hAnsi="Calibri" w:cs="Calibri"/>
          <w:lang w:val="en-US"/>
        </w:rPr>
        <w:fldChar w:fldCharType="begin" w:fldLock="1"/>
      </w:r>
      <w:r w:rsidR="00315A3A">
        <w:rPr>
          <w:rFonts w:ascii="Calibri" w:hAnsi="Calibri" w:cs="Calibri"/>
          <w:lang w:val="en-US"/>
        </w:rPr>
        <w:instrText>ADDIN CSL_CITATION {"citationItems":[{"id":"ITEM-1","itemData":{"abstract":"In this review the effects of hypoxia on benthic fauna are summarized and detailed information is given on: the impact on community structure and function in fjords, estuaries, coastal and offshore areas; behavioural changes; recovery processes; ecosystem energy flow implications; tolerance in experimental studies. -from Authors","author":[{"dropping-particle":"","family":"Diaz","given":"R. J.","non-dropping-particle":"","parse-names":false,"suffix":""},{"dropping-particle":"","family":"Rosenberg","given":"R.","non-dropping-particle":"","parse-names":false,"suffix":""}],"container-title":"Oceanography and Marine Biology: an annual review. Vol. 33","id":"ITEM-1","issued":{"date-parts":[["1995"]]},"page":"245-303","title":"Marine benthic hypoxia: a review of its ecological effects and the behavioural responses of benthic macrofauna","type":"article-journal"},"uris":["http://www.mendeley.com/documents/?uuid=d5d77e00-334c-4e2d-b56a-417fe6baef86"]}],"mendeley":{"formattedCitation":"&lt;sup&gt;8&lt;/sup&gt;","plainTextFormattedCitation":"8"},"properties":{"noteIndex":0},"schema":"https://github.com/citation-style-language/schema/raw/master/csl-citation.json"}</w:instrText>
      </w:r>
      <w:r w:rsidR="00315A3A">
        <w:rPr>
          <w:rFonts w:ascii="Calibri" w:hAnsi="Calibri" w:cs="Calibri"/>
          <w:lang w:val="en-US"/>
        </w:rPr>
        <w:fldChar w:fldCharType="separate"/>
      </w:r>
      <w:r w:rsidR="00315A3A" w:rsidRPr="00315A3A">
        <w:rPr>
          <w:rFonts w:ascii="Calibri" w:hAnsi="Calibri" w:cs="Calibri"/>
          <w:noProof/>
          <w:vertAlign w:val="superscript"/>
          <w:lang w:val="en-US"/>
        </w:rPr>
        <w:t>8</w:t>
      </w:r>
      <w:r w:rsidR="00315A3A">
        <w:rPr>
          <w:rFonts w:ascii="Calibri" w:hAnsi="Calibri" w:cs="Calibri"/>
          <w:lang w:val="en-US"/>
        </w:rPr>
        <w:fldChar w:fldCharType="end"/>
      </w:r>
      <w:r w:rsidRPr="006724F2">
        <w:rPr>
          <w:rFonts w:ascii="Calibri" w:hAnsi="Calibri" w:cs="Calibri"/>
          <w:lang w:val="en-US"/>
        </w:rPr>
        <w:t xml:space="preserve">. </w:t>
      </w:r>
    </w:p>
    <w:p w14:paraId="211D1B4E" w14:textId="77777777" w:rsidR="009A0AB3" w:rsidRPr="009A0AB3" w:rsidRDefault="009A0AB3" w:rsidP="009A0AB3">
      <w:pPr>
        <w:spacing w:line="276" w:lineRule="auto"/>
        <w:jc w:val="center"/>
        <w:rPr>
          <w:rFonts w:ascii="Calibri" w:hAnsi="Calibri" w:cs="Calibri"/>
          <w:b/>
          <w:bCs/>
          <w:lang w:val="en-US"/>
        </w:rPr>
      </w:pPr>
    </w:p>
    <w:p w14:paraId="7FF0C610" w14:textId="52EB5F8E" w:rsidR="009A0AB3" w:rsidRDefault="009A0AB3" w:rsidP="00B27156">
      <w:pPr>
        <w:spacing w:line="276" w:lineRule="auto"/>
        <w:rPr>
          <w:rFonts w:ascii="Calibri" w:hAnsi="Calibri" w:cs="Calibri"/>
          <w:lang w:val="en-US"/>
        </w:rPr>
      </w:pPr>
    </w:p>
    <w:p w14:paraId="2ABD9B49" w14:textId="77777777" w:rsidR="009A0AB3" w:rsidRDefault="009A0AB3" w:rsidP="00B27156">
      <w:pPr>
        <w:spacing w:line="276" w:lineRule="auto"/>
        <w:rPr>
          <w:rFonts w:ascii="Calibri" w:hAnsi="Calibri" w:cs="Calibri"/>
          <w:lang w:val="en-US"/>
        </w:rPr>
      </w:pPr>
    </w:p>
    <w:p w14:paraId="22AEFF50" w14:textId="4233F3E0" w:rsidR="00B27156" w:rsidRPr="009A0AB3" w:rsidRDefault="009A0AB3" w:rsidP="009A0AB3">
      <w:pPr>
        <w:spacing w:line="276" w:lineRule="auto"/>
        <w:jc w:val="center"/>
        <w:rPr>
          <w:rFonts w:ascii="Calibri" w:hAnsi="Calibri" w:cs="Calibri"/>
          <w:b/>
          <w:bCs/>
          <w:lang w:val="en-US"/>
        </w:rPr>
      </w:pPr>
      <w:r w:rsidRPr="009A0AB3">
        <w:rPr>
          <w:rFonts w:ascii="Calibri" w:hAnsi="Calibri" w:cs="Calibri"/>
          <w:b/>
          <w:bCs/>
          <w:lang w:val="en-US"/>
        </w:rPr>
        <w:t>References</w:t>
      </w:r>
    </w:p>
    <w:p w14:paraId="14EB082B" w14:textId="3F89A55A" w:rsidR="00B27156" w:rsidRDefault="00B27156" w:rsidP="00B27156">
      <w:pPr>
        <w:spacing w:line="276" w:lineRule="auto"/>
        <w:rPr>
          <w:rFonts w:ascii="Calibri" w:hAnsi="Calibri" w:cs="Calibri"/>
          <w:lang w:val="en-US"/>
        </w:rPr>
      </w:pPr>
    </w:p>
    <w:p w14:paraId="03B75B9C" w14:textId="626A4ECB" w:rsidR="00315A3A" w:rsidRPr="00315A3A" w:rsidRDefault="00B27156" w:rsidP="00315A3A">
      <w:pPr>
        <w:widowControl w:val="0"/>
        <w:autoSpaceDE w:val="0"/>
        <w:autoSpaceDN w:val="0"/>
        <w:adjustRightInd w:val="0"/>
        <w:ind w:left="640" w:hanging="640"/>
        <w:rPr>
          <w:rFonts w:ascii="Calibri" w:hAnsi="Calibri" w:cs="Calibri"/>
          <w:noProof/>
        </w:rPr>
      </w:pPr>
      <w:r>
        <w:rPr>
          <w:rFonts w:ascii="Calibri" w:hAnsi="Calibri" w:cs="Calibri"/>
          <w:lang w:val="en-US"/>
        </w:rPr>
        <w:fldChar w:fldCharType="begin" w:fldLock="1"/>
      </w:r>
      <w:r>
        <w:rPr>
          <w:rFonts w:ascii="Calibri" w:hAnsi="Calibri" w:cs="Calibri"/>
          <w:lang w:val="en-US"/>
        </w:rPr>
        <w:instrText xml:space="preserve">ADDIN Mendeley Bibliography CSL_BIBLIOGRAPHY </w:instrText>
      </w:r>
      <w:r>
        <w:rPr>
          <w:rFonts w:ascii="Calibri" w:hAnsi="Calibri" w:cs="Calibri"/>
          <w:lang w:val="en-US"/>
        </w:rPr>
        <w:fldChar w:fldCharType="separate"/>
      </w:r>
      <w:r w:rsidR="00315A3A" w:rsidRPr="00315A3A">
        <w:rPr>
          <w:rFonts w:ascii="Calibri" w:hAnsi="Calibri" w:cs="Calibri"/>
          <w:noProof/>
        </w:rPr>
        <w:t>1.</w:t>
      </w:r>
      <w:r w:rsidR="00315A3A" w:rsidRPr="00315A3A">
        <w:rPr>
          <w:rFonts w:ascii="Calibri" w:hAnsi="Calibri" w:cs="Calibri"/>
          <w:noProof/>
        </w:rPr>
        <w:tab/>
        <w:t xml:space="preserve">Brekke, B. &amp; Gabrielsen, G. W. Assimilation efficiency of adult Kittiwakes and Brünnich’s Guillemots fed Capelin and Arctic Cod. </w:t>
      </w:r>
      <w:r w:rsidR="00315A3A" w:rsidRPr="00315A3A">
        <w:rPr>
          <w:rFonts w:ascii="Calibri" w:hAnsi="Calibri" w:cs="Calibri"/>
          <w:i/>
          <w:iCs/>
          <w:noProof/>
        </w:rPr>
        <w:t>Polar Biol.</w:t>
      </w:r>
      <w:r w:rsidR="00315A3A" w:rsidRPr="00315A3A">
        <w:rPr>
          <w:rFonts w:ascii="Calibri" w:hAnsi="Calibri" w:cs="Calibri"/>
          <w:noProof/>
        </w:rPr>
        <w:t xml:space="preserve"> </w:t>
      </w:r>
      <w:r w:rsidR="00315A3A" w:rsidRPr="00315A3A">
        <w:rPr>
          <w:rFonts w:ascii="Calibri" w:hAnsi="Calibri" w:cs="Calibri"/>
          <w:b/>
          <w:bCs/>
          <w:noProof/>
        </w:rPr>
        <w:t>14</w:t>
      </w:r>
      <w:r w:rsidR="00315A3A" w:rsidRPr="00315A3A">
        <w:rPr>
          <w:rFonts w:ascii="Calibri" w:hAnsi="Calibri" w:cs="Calibri"/>
          <w:noProof/>
        </w:rPr>
        <w:t>, 279–284 (1994).</w:t>
      </w:r>
    </w:p>
    <w:p w14:paraId="2C422612" w14:textId="77777777" w:rsidR="00315A3A" w:rsidRPr="00315A3A" w:rsidRDefault="00315A3A" w:rsidP="00315A3A">
      <w:pPr>
        <w:widowControl w:val="0"/>
        <w:autoSpaceDE w:val="0"/>
        <w:autoSpaceDN w:val="0"/>
        <w:adjustRightInd w:val="0"/>
        <w:ind w:left="640" w:hanging="640"/>
        <w:rPr>
          <w:rFonts w:ascii="Calibri" w:hAnsi="Calibri" w:cs="Calibri"/>
          <w:noProof/>
        </w:rPr>
      </w:pPr>
      <w:r w:rsidRPr="00315A3A">
        <w:rPr>
          <w:rFonts w:ascii="Calibri" w:hAnsi="Calibri" w:cs="Calibri"/>
          <w:noProof/>
        </w:rPr>
        <w:t>2.</w:t>
      </w:r>
      <w:r w:rsidRPr="00315A3A">
        <w:rPr>
          <w:rFonts w:ascii="Calibri" w:hAnsi="Calibri" w:cs="Calibri"/>
          <w:noProof/>
        </w:rPr>
        <w:tab/>
        <w:t xml:space="preserve">Lindeboom, H. J. The Nitrogen Pathway in a Penguin Rookery. </w:t>
      </w:r>
      <w:r w:rsidRPr="00315A3A">
        <w:rPr>
          <w:rFonts w:ascii="Calibri" w:hAnsi="Calibri" w:cs="Calibri"/>
          <w:i/>
          <w:iCs/>
          <w:noProof/>
        </w:rPr>
        <w:t>Ecology</w:t>
      </w:r>
      <w:r w:rsidRPr="00315A3A">
        <w:rPr>
          <w:rFonts w:ascii="Calibri" w:hAnsi="Calibri" w:cs="Calibri"/>
          <w:noProof/>
        </w:rPr>
        <w:t xml:space="preserve"> </w:t>
      </w:r>
      <w:r w:rsidRPr="00315A3A">
        <w:rPr>
          <w:rFonts w:ascii="Calibri" w:hAnsi="Calibri" w:cs="Calibri"/>
          <w:b/>
          <w:bCs/>
          <w:noProof/>
        </w:rPr>
        <w:t>65</w:t>
      </w:r>
      <w:r w:rsidRPr="00315A3A">
        <w:rPr>
          <w:rFonts w:ascii="Calibri" w:hAnsi="Calibri" w:cs="Calibri"/>
          <w:noProof/>
        </w:rPr>
        <w:t>, 269–277 (1984).</w:t>
      </w:r>
    </w:p>
    <w:p w14:paraId="00BB5570" w14:textId="77777777" w:rsidR="00315A3A" w:rsidRPr="00315A3A" w:rsidRDefault="00315A3A" w:rsidP="00315A3A">
      <w:pPr>
        <w:widowControl w:val="0"/>
        <w:autoSpaceDE w:val="0"/>
        <w:autoSpaceDN w:val="0"/>
        <w:adjustRightInd w:val="0"/>
        <w:ind w:left="640" w:hanging="640"/>
        <w:rPr>
          <w:rFonts w:ascii="Calibri" w:hAnsi="Calibri" w:cs="Calibri"/>
          <w:noProof/>
        </w:rPr>
      </w:pPr>
      <w:r w:rsidRPr="00315A3A">
        <w:rPr>
          <w:rFonts w:ascii="Calibri" w:hAnsi="Calibri" w:cs="Calibri"/>
          <w:noProof/>
        </w:rPr>
        <w:t>3.</w:t>
      </w:r>
      <w:r w:rsidRPr="00315A3A">
        <w:rPr>
          <w:rFonts w:ascii="Calibri" w:hAnsi="Calibri" w:cs="Calibri"/>
          <w:noProof/>
        </w:rPr>
        <w:tab/>
        <w:t xml:space="preserve">Hartz, T. K. &amp; Johnstone, P. R. Nitrogen availability from high-nitrogen-containing organic fertilizers. </w:t>
      </w:r>
      <w:r w:rsidRPr="00315A3A">
        <w:rPr>
          <w:rFonts w:ascii="Calibri" w:hAnsi="Calibri" w:cs="Calibri"/>
          <w:i/>
          <w:iCs/>
          <w:noProof/>
        </w:rPr>
        <w:t>Horttechnology</w:t>
      </w:r>
      <w:r w:rsidRPr="00315A3A">
        <w:rPr>
          <w:rFonts w:ascii="Calibri" w:hAnsi="Calibri" w:cs="Calibri"/>
          <w:noProof/>
        </w:rPr>
        <w:t xml:space="preserve"> </w:t>
      </w:r>
      <w:r w:rsidRPr="00315A3A">
        <w:rPr>
          <w:rFonts w:ascii="Calibri" w:hAnsi="Calibri" w:cs="Calibri"/>
          <w:b/>
          <w:bCs/>
          <w:noProof/>
        </w:rPr>
        <w:t>16</w:t>
      </w:r>
      <w:r w:rsidRPr="00315A3A">
        <w:rPr>
          <w:rFonts w:ascii="Calibri" w:hAnsi="Calibri" w:cs="Calibri"/>
          <w:noProof/>
        </w:rPr>
        <w:t>, 39–42 (2006).</w:t>
      </w:r>
    </w:p>
    <w:p w14:paraId="2DC95572" w14:textId="77777777" w:rsidR="00315A3A" w:rsidRPr="00315A3A" w:rsidRDefault="00315A3A" w:rsidP="00315A3A">
      <w:pPr>
        <w:widowControl w:val="0"/>
        <w:autoSpaceDE w:val="0"/>
        <w:autoSpaceDN w:val="0"/>
        <w:adjustRightInd w:val="0"/>
        <w:ind w:left="640" w:hanging="640"/>
        <w:rPr>
          <w:rFonts w:ascii="Calibri" w:hAnsi="Calibri" w:cs="Calibri"/>
          <w:noProof/>
        </w:rPr>
      </w:pPr>
      <w:r w:rsidRPr="00315A3A">
        <w:rPr>
          <w:rFonts w:ascii="Calibri" w:hAnsi="Calibri" w:cs="Calibri"/>
          <w:noProof/>
        </w:rPr>
        <w:t>4.</w:t>
      </w:r>
      <w:r w:rsidRPr="00315A3A">
        <w:rPr>
          <w:rFonts w:ascii="Calibri" w:hAnsi="Calibri" w:cs="Calibri"/>
          <w:noProof/>
        </w:rPr>
        <w:tab/>
        <w:t xml:space="preserve">Smith, J. S. &amp; Johnson, C. R. Nutrient inputs from seabirds and humans on a populated coral cay. </w:t>
      </w:r>
      <w:r w:rsidRPr="00315A3A">
        <w:rPr>
          <w:rFonts w:ascii="Calibri" w:hAnsi="Calibri" w:cs="Calibri"/>
          <w:i/>
          <w:iCs/>
          <w:noProof/>
        </w:rPr>
        <w:t>Mar. Ecol. Prog. Ser.</w:t>
      </w:r>
      <w:r w:rsidRPr="00315A3A">
        <w:rPr>
          <w:rFonts w:ascii="Calibri" w:hAnsi="Calibri" w:cs="Calibri"/>
          <w:noProof/>
        </w:rPr>
        <w:t xml:space="preserve"> </w:t>
      </w:r>
      <w:r w:rsidRPr="00315A3A">
        <w:rPr>
          <w:rFonts w:ascii="Calibri" w:hAnsi="Calibri" w:cs="Calibri"/>
          <w:b/>
          <w:bCs/>
          <w:noProof/>
        </w:rPr>
        <w:t>124</w:t>
      </w:r>
      <w:r w:rsidRPr="00315A3A">
        <w:rPr>
          <w:rFonts w:ascii="Calibri" w:hAnsi="Calibri" w:cs="Calibri"/>
          <w:noProof/>
        </w:rPr>
        <w:t>, 189–200 (1995).</w:t>
      </w:r>
    </w:p>
    <w:p w14:paraId="1FDFD341" w14:textId="77777777" w:rsidR="00315A3A" w:rsidRPr="00315A3A" w:rsidRDefault="00315A3A" w:rsidP="00315A3A">
      <w:pPr>
        <w:widowControl w:val="0"/>
        <w:autoSpaceDE w:val="0"/>
        <w:autoSpaceDN w:val="0"/>
        <w:adjustRightInd w:val="0"/>
        <w:ind w:left="640" w:hanging="640"/>
        <w:rPr>
          <w:rFonts w:ascii="Calibri" w:hAnsi="Calibri" w:cs="Calibri"/>
          <w:noProof/>
        </w:rPr>
      </w:pPr>
      <w:r w:rsidRPr="00315A3A">
        <w:rPr>
          <w:rFonts w:ascii="Calibri" w:hAnsi="Calibri" w:cs="Calibri"/>
          <w:noProof/>
        </w:rPr>
        <w:t>5.</w:t>
      </w:r>
      <w:r w:rsidRPr="00315A3A">
        <w:rPr>
          <w:rFonts w:ascii="Calibri" w:hAnsi="Calibri" w:cs="Calibri"/>
          <w:noProof/>
        </w:rPr>
        <w:tab/>
        <w:t xml:space="preserve">Gillham, M. E. Ecology of the Pembrokeshire Islands: V. Manuring by the Colonial Seabirds and Mammals, with a Note on Seed Distribution by Gulls. </w:t>
      </w:r>
      <w:r w:rsidRPr="00315A3A">
        <w:rPr>
          <w:rFonts w:ascii="Calibri" w:hAnsi="Calibri" w:cs="Calibri"/>
          <w:i/>
          <w:iCs/>
          <w:noProof/>
        </w:rPr>
        <w:t>J. Ecol.</w:t>
      </w:r>
      <w:r w:rsidRPr="00315A3A">
        <w:rPr>
          <w:rFonts w:ascii="Calibri" w:hAnsi="Calibri" w:cs="Calibri"/>
          <w:noProof/>
        </w:rPr>
        <w:t xml:space="preserve"> </w:t>
      </w:r>
      <w:r w:rsidRPr="00315A3A">
        <w:rPr>
          <w:rFonts w:ascii="Calibri" w:hAnsi="Calibri" w:cs="Calibri"/>
          <w:b/>
          <w:bCs/>
          <w:noProof/>
        </w:rPr>
        <w:t>44</w:t>
      </w:r>
      <w:r w:rsidRPr="00315A3A">
        <w:rPr>
          <w:rFonts w:ascii="Calibri" w:hAnsi="Calibri" w:cs="Calibri"/>
          <w:noProof/>
        </w:rPr>
        <w:t>, 429 (1956).</w:t>
      </w:r>
    </w:p>
    <w:p w14:paraId="68B8259D" w14:textId="77777777" w:rsidR="00315A3A" w:rsidRPr="00315A3A" w:rsidRDefault="00315A3A" w:rsidP="00315A3A">
      <w:pPr>
        <w:widowControl w:val="0"/>
        <w:autoSpaceDE w:val="0"/>
        <w:autoSpaceDN w:val="0"/>
        <w:adjustRightInd w:val="0"/>
        <w:ind w:left="640" w:hanging="640"/>
        <w:rPr>
          <w:rFonts w:ascii="Calibri" w:hAnsi="Calibri" w:cs="Calibri"/>
          <w:noProof/>
        </w:rPr>
      </w:pPr>
      <w:r w:rsidRPr="00315A3A">
        <w:rPr>
          <w:rFonts w:ascii="Calibri" w:hAnsi="Calibri" w:cs="Calibri"/>
          <w:noProof/>
        </w:rPr>
        <w:t>6.</w:t>
      </w:r>
      <w:r w:rsidRPr="00315A3A">
        <w:rPr>
          <w:rFonts w:ascii="Calibri" w:hAnsi="Calibri" w:cs="Calibri"/>
          <w:noProof/>
        </w:rPr>
        <w:tab/>
        <w:t xml:space="preserve">Hawke, D. J. Soil P in a forested seabird colony: Inventories, parent material contributions, and N:P stoichiometry. </w:t>
      </w:r>
      <w:r w:rsidRPr="00315A3A">
        <w:rPr>
          <w:rFonts w:ascii="Calibri" w:hAnsi="Calibri" w:cs="Calibri"/>
          <w:i/>
          <w:iCs/>
          <w:noProof/>
        </w:rPr>
        <w:t>Aust. J. Soil Res.</w:t>
      </w:r>
      <w:r w:rsidRPr="00315A3A">
        <w:rPr>
          <w:rFonts w:ascii="Calibri" w:hAnsi="Calibri" w:cs="Calibri"/>
          <w:noProof/>
        </w:rPr>
        <w:t xml:space="preserve"> </w:t>
      </w:r>
      <w:r w:rsidRPr="00315A3A">
        <w:rPr>
          <w:rFonts w:ascii="Calibri" w:hAnsi="Calibri" w:cs="Calibri"/>
          <w:b/>
          <w:bCs/>
          <w:noProof/>
        </w:rPr>
        <w:t>43</w:t>
      </w:r>
      <w:r w:rsidRPr="00315A3A">
        <w:rPr>
          <w:rFonts w:ascii="Calibri" w:hAnsi="Calibri" w:cs="Calibri"/>
          <w:noProof/>
        </w:rPr>
        <w:t>, 957–962 (2005).</w:t>
      </w:r>
    </w:p>
    <w:p w14:paraId="7B87D4AE" w14:textId="77777777" w:rsidR="00315A3A" w:rsidRPr="00315A3A" w:rsidRDefault="00315A3A" w:rsidP="00315A3A">
      <w:pPr>
        <w:widowControl w:val="0"/>
        <w:autoSpaceDE w:val="0"/>
        <w:autoSpaceDN w:val="0"/>
        <w:adjustRightInd w:val="0"/>
        <w:ind w:left="640" w:hanging="640"/>
        <w:rPr>
          <w:rFonts w:ascii="Calibri" w:hAnsi="Calibri" w:cs="Calibri"/>
          <w:noProof/>
        </w:rPr>
      </w:pPr>
      <w:r w:rsidRPr="00315A3A">
        <w:rPr>
          <w:rFonts w:ascii="Calibri" w:hAnsi="Calibri" w:cs="Calibri"/>
          <w:noProof/>
        </w:rPr>
        <w:t>7.</w:t>
      </w:r>
      <w:r w:rsidRPr="00315A3A">
        <w:rPr>
          <w:rFonts w:ascii="Calibri" w:hAnsi="Calibri" w:cs="Calibri"/>
          <w:noProof/>
        </w:rPr>
        <w:tab/>
        <w:t xml:space="preserve">Fugler, S. R. Chemical Composition of Guano of Burrowing Petrel Chicks (Procellariidae) at Marion Island. in </w:t>
      </w:r>
      <w:r w:rsidRPr="00315A3A">
        <w:rPr>
          <w:rFonts w:ascii="Calibri" w:hAnsi="Calibri" w:cs="Calibri"/>
          <w:i/>
          <w:iCs/>
          <w:noProof/>
        </w:rPr>
        <w:t xml:space="preserve">Siegfried W.R., Condy P.R., Laws R.M. (eds) </w:t>
      </w:r>
      <w:r w:rsidRPr="00315A3A">
        <w:rPr>
          <w:rFonts w:ascii="Calibri" w:hAnsi="Calibri" w:cs="Calibri"/>
          <w:i/>
          <w:iCs/>
          <w:noProof/>
        </w:rPr>
        <w:lastRenderedPageBreak/>
        <w:t>Antarctic Nutrient Cycles and Food Webs. Springer, Berlin, Heidelberg</w:t>
      </w:r>
      <w:r w:rsidRPr="00315A3A">
        <w:rPr>
          <w:rFonts w:ascii="Calibri" w:hAnsi="Calibri" w:cs="Calibri"/>
          <w:noProof/>
        </w:rPr>
        <w:t xml:space="preserve"> 169–179 (1985).</w:t>
      </w:r>
    </w:p>
    <w:p w14:paraId="24F71B3D" w14:textId="77777777" w:rsidR="00315A3A" w:rsidRPr="00315A3A" w:rsidRDefault="00315A3A" w:rsidP="00315A3A">
      <w:pPr>
        <w:widowControl w:val="0"/>
        <w:autoSpaceDE w:val="0"/>
        <w:autoSpaceDN w:val="0"/>
        <w:adjustRightInd w:val="0"/>
        <w:ind w:left="640" w:hanging="640"/>
        <w:rPr>
          <w:rFonts w:ascii="Calibri" w:hAnsi="Calibri" w:cs="Calibri"/>
          <w:noProof/>
        </w:rPr>
      </w:pPr>
      <w:r w:rsidRPr="00315A3A">
        <w:rPr>
          <w:rFonts w:ascii="Calibri" w:hAnsi="Calibri" w:cs="Calibri"/>
          <w:noProof/>
        </w:rPr>
        <w:t>8.</w:t>
      </w:r>
      <w:r w:rsidRPr="00315A3A">
        <w:rPr>
          <w:rFonts w:ascii="Calibri" w:hAnsi="Calibri" w:cs="Calibri"/>
          <w:noProof/>
        </w:rPr>
        <w:tab/>
        <w:t xml:space="preserve">Diaz, R. J. &amp; Rosenberg, R. Marine benthic hypoxia: a review of its ecological effects and the behavioural responses of benthic macrofauna. </w:t>
      </w:r>
      <w:r w:rsidRPr="00315A3A">
        <w:rPr>
          <w:rFonts w:ascii="Calibri" w:hAnsi="Calibri" w:cs="Calibri"/>
          <w:i/>
          <w:iCs/>
          <w:noProof/>
        </w:rPr>
        <w:t>Oceanogr. Mar. Biol. an Annu. Rev. Vol. 33</w:t>
      </w:r>
      <w:r w:rsidRPr="00315A3A">
        <w:rPr>
          <w:rFonts w:ascii="Calibri" w:hAnsi="Calibri" w:cs="Calibri"/>
          <w:noProof/>
        </w:rPr>
        <w:t xml:space="preserve"> 245–303 (1995).</w:t>
      </w:r>
    </w:p>
    <w:p w14:paraId="1E994058" w14:textId="36DCA8BC" w:rsidR="00B27156" w:rsidRDefault="00B27156" w:rsidP="00315A3A">
      <w:pPr>
        <w:widowControl w:val="0"/>
        <w:autoSpaceDE w:val="0"/>
        <w:autoSpaceDN w:val="0"/>
        <w:adjustRightInd w:val="0"/>
        <w:ind w:left="640" w:hanging="640"/>
        <w:rPr>
          <w:rFonts w:ascii="Calibri" w:hAnsi="Calibri" w:cs="Calibri"/>
          <w:lang w:val="en-US"/>
        </w:rPr>
      </w:pPr>
      <w:r>
        <w:rPr>
          <w:rFonts w:ascii="Calibri" w:hAnsi="Calibri" w:cs="Calibri"/>
          <w:lang w:val="en-US"/>
        </w:rPr>
        <w:fldChar w:fldCharType="end"/>
      </w:r>
    </w:p>
    <w:p w14:paraId="78D1341D" w14:textId="47572F65" w:rsidR="00B27156" w:rsidRDefault="00B27156" w:rsidP="00B27156">
      <w:pPr>
        <w:spacing w:line="276" w:lineRule="auto"/>
        <w:rPr>
          <w:rFonts w:ascii="Calibri" w:hAnsi="Calibri" w:cs="Calibri"/>
          <w:lang w:val="en-US"/>
        </w:rPr>
      </w:pPr>
    </w:p>
    <w:p w14:paraId="76C20B1B" w14:textId="77777777" w:rsidR="00B27156" w:rsidRPr="00984ECC" w:rsidRDefault="00B27156" w:rsidP="00B27156">
      <w:pPr>
        <w:spacing w:line="276" w:lineRule="auto"/>
        <w:rPr>
          <w:rFonts w:ascii="Calibri" w:hAnsi="Calibri" w:cs="Calibri"/>
          <w:lang w:val="en-US"/>
        </w:rPr>
      </w:pPr>
    </w:p>
    <w:sectPr w:rsidR="00B27156" w:rsidRPr="00984ECC" w:rsidSect="00B27156">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56E62AE"/>
    <w:multiLevelType w:val="hybridMultilevel"/>
    <w:tmpl w:val="E8F253C6"/>
    <w:lvl w:ilvl="0" w:tplc="638A446C">
      <w:start w:val="1"/>
      <w:numFmt w:val="bullet"/>
      <w:lvlText w:val=""/>
      <w:lvlJc w:val="left"/>
      <w:pPr>
        <w:ind w:left="720" w:hanging="360"/>
      </w:pPr>
      <w:rPr>
        <w:rFonts w:ascii="Symbol" w:hAnsi="Symbol" w:hint="default"/>
        <w:lang w:val="en-US"/>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693C76A2"/>
    <w:multiLevelType w:val="hybridMultilevel"/>
    <w:tmpl w:val="9C700A74"/>
    <w:lvl w:ilvl="0" w:tplc="638A446C">
      <w:start w:val="1"/>
      <w:numFmt w:val="bullet"/>
      <w:lvlText w:val=""/>
      <w:lvlJc w:val="left"/>
      <w:pPr>
        <w:ind w:left="720" w:hanging="360"/>
      </w:pPr>
      <w:rPr>
        <w:rFonts w:ascii="Symbol" w:hAnsi="Symbol" w:hint="default"/>
        <w:lang w:val="en-US"/>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70EA08DE"/>
    <w:multiLevelType w:val="hybridMultilevel"/>
    <w:tmpl w:val="9EB035B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712D1ABE"/>
    <w:multiLevelType w:val="hybridMultilevel"/>
    <w:tmpl w:val="26F0123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7E2C417B"/>
    <w:multiLevelType w:val="hybridMultilevel"/>
    <w:tmpl w:val="BAFE5BEE"/>
    <w:lvl w:ilvl="0" w:tplc="36886402">
      <w:start w:val="1"/>
      <w:numFmt w:val="bullet"/>
      <w:lvlText w:val="•"/>
      <w:lvlJc w:val="left"/>
      <w:pPr>
        <w:tabs>
          <w:tab w:val="num" w:pos="720"/>
        </w:tabs>
        <w:ind w:left="720" w:hanging="360"/>
      </w:pPr>
      <w:rPr>
        <w:rFonts w:ascii="Arial" w:hAnsi="Arial" w:hint="default"/>
      </w:rPr>
    </w:lvl>
    <w:lvl w:ilvl="1" w:tplc="40567EF4">
      <w:start w:val="1"/>
      <w:numFmt w:val="bullet"/>
      <w:lvlText w:val="•"/>
      <w:lvlJc w:val="left"/>
      <w:pPr>
        <w:tabs>
          <w:tab w:val="num" w:pos="1440"/>
        </w:tabs>
        <w:ind w:left="1440" w:hanging="360"/>
      </w:pPr>
      <w:rPr>
        <w:rFonts w:ascii="Arial" w:hAnsi="Arial" w:hint="default"/>
      </w:rPr>
    </w:lvl>
    <w:lvl w:ilvl="2" w:tplc="C270F2A4">
      <w:start w:val="624"/>
      <w:numFmt w:val="bullet"/>
      <w:lvlText w:val="•"/>
      <w:lvlJc w:val="left"/>
      <w:pPr>
        <w:tabs>
          <w:tab w:val="num" w:pos="2160"/>
        </w:tabs>
        <w:ind w:left="2160" w:hanging="360"/>
      </w:pPr>
      <w:rPr>
        <w:rFonts w:ascii="Arial" w:hAnsi="Arial" w:hint="default"/>
      </w:rPr>
    </w:lvl>
    <w:lvl w:ilvl="3" w:tplc="1BB2EF0E">
      <w:start w:val="624"/>
      <w:numFmt w:val="bullet"/>
      <w:lvlText w:val="•"/>
      <w:lvlJc w:val="left"/>
      <w:pPr>
        <w:tabs>
          <w:tab w:val="num" w:pos="2880"/>
        </w:tabs>
        <w:ind w:left="2880" w:hanging="360"/>
      </w:pPr>
      <w:rPr>
        <w:rFonts w:ascii="Arial" w:hAnsi="Arial" w:hint="default"/>
      </w:rPr>
    </w:lvl>
    <w:lvl w:ilvl="4" w:tplc="886C372E" w:tentative="1">
      <w:start w:val="1"/>
      <w:numFmt w:val="bullet"/>
      <w:lvlText w:val="•"/>
      <w:lvlJc w:val="left"/>
      <w:pPr>
        <w:tabs>
          <w:tab w:val="num" w:pos="3600"/>
        </w:tabs>
        <w:ind w:left="3600" w:hanging="360"/>
      </w:pPr>
      <w:rPr>
        <w:rFonts w:ascii="Arial" w:hAnsi="Arial" w:hint="default"/>
      </w:rPr>
    </w:lvl>
    <w:lvl w:ilvl="5" w:tplc="61324824" w:tentative="1">
      <w:start w:val="1"/>
      <w:numFmt w:val="bullet"/>
      <w:lvlText w:val="•"/>
      <w:lvlJc w:val="left"/>
      <w:pPr>
        <w:tabs>
          <w:tab w:val="num" w:pos="4320"/>
        </w:tabs>
        <w:ind w:left="4320" w:hanging="360"/>
      </w:pPr>
      <w:rPr>
        <w:rFonts w:ascii="Arial" w:hAnsi="Arial" w:hint="default"/>
      </w:rPr>
    </w:lvl>
    <w:lvl w:ilvl="6" w:tplc="1BC47B7A" w:tentative="1">
      <w:start w:val="1"/>
      <w:numFmt w:val="bullet"/>
      <w:lvlText w:val="•"/>
      <w:lvlJc w:val="left"/>
      <w:pPr>
        <w:tabs>
          <w:tab w:val="num" w:pos="5040"/>
        </w:tabs>
        <w:ind w:left="5040" w:hanging="360"/>
      </w:pPr>
      <w:rPr>
        <w:rFonts w:ascii="Arial" w:hAnsi="Arial" w:hint="default"/>
      </w:rPr>
    </w:lvl>
    <w:lvl w:ilvl="7" w:tplc="9940CC9A" w:tentative="1">
      <w:start w:val="1"/>
      <w:numFmt w:val="bullet"/>
      <w:lvlText w:val="•"/>
      <w:lvlJc w:val="left"/>
      <w:pPr>
        <w:tabs>
          <w:tab w:val="num" w:pos="5760"/>
        </w:tabs>
        <w:ind w:left="5760" w:hanging="360"/>
      </w:pPr>
      <w:rPr>
        <w:rFonts w:ascii="Arial" w:hAnsi="Arial" w:hint="default"/>
      </w:rPr>
    </w:lvl>
    <w:lvl w:ilvl="8" w:tplc="BF0E17C6"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7"/>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pringer Basic name-year&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9vd959vadxspaevd59pvwvox9zx5v2rpstt&quot;&gt;My EndNote Library-Saved-Saved-Saved&lt;record-ids&gt;&lt;item&gt;63&lt;/item&gt;&lt;item&gt;211&lt;/item&gt;&lt;item&gt;444&lt;/item&gt;&lt;/record-ids&gt;&lt;/item&gt;&lt;/Libraries&gt;"/>
  </w:docVars>
  <w:rsids>
    <w:rsidRoot w:val="002E29AE"/>
    <w:rsid w:val="000057C5"/>
    <w:rsid w:val="000152A5"/>
    <w:rsid w:val="00042873"/>
    <w:rsid w:val="00066B01"/>
    <w:rsid w:val="000725CF"/>
    <w:rsid w:val="000904F5"/>
    <w:rsid w:val="000A30A1"/>
    <w:rsid w:val="000C5E72"/>
    <w:rsid w:val="0010081F"/>
    <w:rsid w:val="001274CF"/>
    <w:rsid w:val="00197E78"/>
    <w:rsid w:val="001A034F"/>
    <w:rsid w:val="001A29F9"/>
    <w:rsid w:val="001B66A2"/>
    <w:rsid w:val="001C02EC"/>
    <w:rsid w:val="001C3D2D"/>
    <w:rsid w:val="001F1F06"/>
    <w:rsid w:val="001F49BA"/>
    <w:rsid w:val="001F723B"/>
    <w:rsid w:val="00213068"/>
    <w:rsid w:val="00235E72"/>
    <w:rsid w:val="00283DEA"/>
    <w:rsid w:val="00284F2C"/>
    <w:rsid w:val="002957B1"/>
    <w:rsid w:val="002A1916"/>
    <w:rsid w:val="002B50AD"/>
    <w:rsid w:val="002C476D"/>
    <w:rsid w:val="002E29AE"/>
    <w:rsid w:val="002E2CBC"/>
    <w:rsid w:val="0031184C"/>
    <w:rsid w:val="00315A3A"/>
    <w:rsid w:val="00337D23"/>
    <w:rsid w:val="00337F62"/>
    <w:rsid w:val="00346759"/>
    <w:rsid w:val="00346FA9"/>
    <w:rsid w:val="0035388D"/>
    <w:rsid w:val="00371BAF"/>
    <w:rsid w:val="003A4733"/>
    <w:rsid w:val="003B31F6"/>
    <w:rsid w:val="003C47D1"/>
    <w:rsid w:val="003E00A3"/>
    <w:rsid w:val="003E10A1"/>
    <w:rsid w:val="00401432"/>
    <w:rsid w:val="004157B2"/>
    <w:rsid w:val="00425ADF"/>
    <w:rsid w:val="0044074D"/>
    <w:rsid w:val="004658BB"/>
    <w:rsid w:val="004715D0"/>
    <w:rsid w:val="00474590"/>
    <w:rsid w:val="00483D8C"/>
    <w:rsid w:val="004C2F90"/>
    <w:rsid w:val="004D4253"/>
    <w:rsid w:val="004D4970"/>
    <w:rsid w:val="004D62D2"/>
    <w:rsid w:val="004F1A55"/>
    <w:rsid w:val="00502785"/>
    <w:rsid w:val="00504729"/>
    <w:rsid w:val="00546A1B"/>
    <w:rsid w:val="00552FA7"/>
    <w:rsid w:val="00576AC8"/>
    <w:rsid w:val="005A448D"/>
    <w:rsid w:val="005A605B"/>
    <w:rsid w:val="005B0F8B"/>
    <w:rsid w:val="005B34F3"/>
    <w:rsid w:val="005B5E4B"/>
    <w:rsid w:val="005E0530"/>
    <w:rsid w:val="005E4646"/>
    <w:rsid w:val="005F1C6F"/>
    <w:rsid w:val="005F7C7B"/>
    <w:rsid w:val="00603F8F"/>
    <w:rsid w:val="00610800"/>
    <w:rsid w:val="00633A80"/>
    <w:rsid w:val="00637744"/>
    <w:rsid w:val="006438B5"/>
    <w:rsid w:val="006516EB"/>
    <w:rsid w:val="00652226"/>
    <w:rsid w:val="00652922"/>
    <w:rsid w:val="00674757"/>
    <w:rsid w:val="00681AE1"/>
    <w:rsid w:val="00692AC1"/>
    <w:rsid w:val="00693214"/>
    <w:rsid w:val="00694D94"/>
    <w:rsid w:val="006A1E12"/>
    <w:rsid w:val="006E4B8F"/>
    <w:rsid w:val="006E7DA3"/>
    <w:rsid w:val="00724856"/>
    <w:rsid w:val="00726B07"/>
    <w:rsid w:val="0073135B"/>
    <w:rsid w:val="007360CB"/>
    <w:rsid w:val="0074475E"/>
    <w:rsid w:val="0074507C"/>
    <w:rsid w:val="007466CE"/>
    <w:rsid w:val="007471ED"/>
    <w:rsid w:val="00751496"/>
    <w:rsid w:val="007551BC"/>
    <w:rsid w:val="00770B76"/>
    <w:rsid w:val="00782729"/>
    <w:rsid w:val="007A4EDF"/>
    <w:rsid w:val="007B7607"/>
    <w:rsid w:val="007D4903"/>
    <w:rsid w:val="007D5A4F"/>
    <w:rsid w:val="007D6508"/>
    <w:rsid w:val="00802488"/>
    <w:rsid w:val="00831C0D"/>
    <w:rsid w:val="0083588E"/>
    <w:rsid w:val="00837066"/>
    <w:rsid w:val="008478E4"/>
    <w:rsid w:val="00893CB0"/>
    <w:rsid w:val="008B30FD"/>
    <w:rsid w:val="008C366F"/>
    <w:rsid w:val="008F174B"/>
    <w:rsid w:val="00902D24"/>
    <w:rsid w:val="00910D4F"/>
    <w:rsid w:val="00917272"/>
    <w:rsid w:val="00921C9D"/>
    <w:rsid w:val="00937BD4"/>
    <w:rsid w:val="00956BED"/>
    <w:rsid w:val="009571BA"/>
    <w:rsid w:val="00984ECC"/>
    <w:rsid w:val="00986885"/>
    <w:rsid w:val="009A0AB3"/>
    <w:rsid w:val="009F15A6"/>
    <w:rsid w:val="009F2CEA"/>
    <w:rsid w:val="009F68FB"/>
    <w:rsid w:val="00A20696"/>
    <w:rsid w:val="00A26BB3"/>
    <w:rsid w:val="00A4536A"/>
    <w:rsid w:val="00A553BC"/>
    <w:rsid w:val="00A61B12"/>
    <w:rsid w:val="00A66A9D"/>
    <w:rsid w:val="00A801C4"/>
    <w:rsid w:val="00A97E4E"/>
    <w:rsid w:val="00AA218B"/>
    <w:rsid w:val="00AB0CE5"/>
    <w:rsid w:val="00AB455F"/>
    <w:rsid w:val="00AB7D30"/>
    <w:rsid w:val="00AD7A93"/>
    <w:rsid w:val="00AE430F"/>
    <w:rsid w:val="00AF5C2C"/>
    <w:rsid w:val="00B01BF9"/>
    <w:rsid w:val="00B03D0B"/>
    <w:rsid w:val="00B27156"/>
    <w:rsid w:val="00B331A4"/>
    <w:rsid w:val="00B34DE9"/>
    <w:rsid w:val="00B43B76"/>
    <w:rsid w:val="00B63CBF"/>
    <w:rsid w:val="00B82142"/>
    <w:rsid w:val="00B8280A"/>
    <w:rsid w:val="00B82F8B"/>
    <w:rsid w:val="00BA28F9"/>
    <w:rsid w:val="00BB002E"/>
    <w:rsid w:val="00BB4E32"/>
    <w:rsid w:val="00BD68B9"/>
    <w:rsid w:val="00BD71F0"/>
    <w:rsid w:val="00BF62A3"/>
    <w:rsid w:val="00C31D5A"/>
    <w:rsid w:val="00C35AB5"/>
    <w:rsid w:val="00C63B76"/>
    <w:rsid w:val="00C655A0"/>
    <w:rsid w:val="00C84B82"/>
    <w:rsid w:val="00C921BD"/>
    <w:rsid w:val="00CA2F1D"/>
    <w:rsid w:val="00CB25E4"/>
    <w:rsid w:val="00CB41C2"/>
    <w:rsid w:val="00CB54E0"/>
    <w:rsid w:val="00CD5A63"/>
    <w:rsid w:val="00CE73F4"/>
    <w:rsid w:val="00CF2DE4"/>
    <w:rsid w:val="00D001CC"/>
    <w:rsid w:val="00D02DF3"/>
    <w:rsid w:val="00D050B6"/>
    <w:rsid w:val="00D16FC3"/>
    <w:rsid w:val="00D20454"/>
    <w:rsid w:val="00D37E58"/>
    <w:rsid w:val="00D500EA"/>
    <w:rsid w:val="00D672C0"/>
    <w:rsid w:val="00D90AED"/>
    <w:rsid w:val="00DB059A"/>
    <w:rsid w:val="00DB41FA"/>
    <w:rsid w:val="00DB58A1"/>
    <w:rsid w:val="00DB7F41"/>
    <w:rsid w:val="00DC7536"/>
    <w:rsid w:val="00DE2949"/>
    <w:rsid w:val="00DE65EF"/>
    <w:rsid w:val="00DF0D9E"/>
    <w:rsid w:val="00E50BA0"/>
    <w:rsid w:val="00E575E6"/>
    <w:rsid w:val="00E66A8D"/>
    <w:rsid w:val="00E83C8E"/>
    <w:rsid w:val="00E83CD5"/>
    <w:rsid w:val="00E96D34"/>
    <w:rsid w:val="00EA0C4F"/>
    <w:rsid w:val="00EB63DB"/>
    <w:rsid w:val="00EB7A47"/>
    <w:rsid w:val="00F02970"/>
    <w:rsid w:val="00F20126"/>
    <w:rsid w:val="00F26299"/>
    <w:rsid w:val="00F31DAD"/>
    <w:rsid w:val="00F5169B"/>
    <w:rsid w:val="00F71F2E"/>
    <w:rsid w:val="00F72FC5"/>
    <w:rsid w:val="00F82F1C"/>
    <w:rsid w:val="00F91DCA"/>
    <w:rsid w:val="00FE01C3"/>
    <w:rsid w:val="00FE070B"/>
    <w:rsid w:val="00FE32D8"/>
    <w:rsid w:val="00FF0616"/>
    <w:rsid w:val="00FF2D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E5556"/>
  <w15:chartTrackingRefBased/>
  <w15:docId w15:val="{BB22960D-E3D2-3D47-9E7B-DA9B08380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483D8C"/>
    <w:pPr>
      <w:ind w:left="720"/>
      <w:contextualSpacing/>
    </w:pPr>
  </w:style>
  <w:style w:type="character" w:styleId="Radnummer">
    <w:name w:val="line number"/>
    <w:basedOn w:val="Standardstycketeckensnitt"/>
    <w:uiPriority w:val="99"/>
    <w:semiHidden/>
    <w:unhideWhenUsed/>
    <w:rsid w:val="0044074D"/>
  </w:style>
  <w:style w:type="paragraph" w:customStyle="1" w:styleId="EndNoteBibliographyTitle">
    <w:name w:val="EndNote Bibliography Title"/>
    <w:basedOn w:val="Normal"/>
    <w:link w:val="EndNoteBibliographyTitleChar"/>
    <w:rsid w:val="00C921BD"/>
    <w:pPr>
      <w:jc w:val="center"/>
    </w:pPr>
    <w:rPr>
      <w:rFonts w:ascii="Calibri" w:hAnsi="Calibri" w:cs="Calibri"/>
      <w:noProof/>
      <w:lang w:val="en-US"/>
    </w:rPr>
  </w:style>
  <w:style w:type="character" w:customStyle="1" w:styleId="EndNoteBibliographyTitleChar">
    <w:name w:val="EndNote Bibliography Title Char"/>
    <w:basedOn w:val="Standardstycketeckensnitt"/>
    <w:link w:val="EndNoteBibliographyTitle"/>
    <w:rsid w:val="00C921BD"/>
    <w:rPr>
      <w:rFonts w:ascii="Calibri" w:hAnsi="Calibri" w:cs="Calibri"/>
      <w:noProof/>
      <w:lang w:val="en-US"/>
    </w:rPr>
  </w:style>
  <w:style w:type="paragraph" w:customStyle="1" w:styleId="EndNoteBibliography">
    <w:name w:val="EndNote Bibliography"/>
    <w:basedOn w:val="Normal"/>
    <w:link w:val="EndNoteBibliographyChar"/>
    <w:rsid w:val="00C921BD"/>
    <w:rPr>
      <w:rFonts w:ascii="Calibri" w:hAnsi="Calibri" w:cs="Calibri"/>
      <w:noProof/>
      <w:lang w:val="en-US"/>
    </w:rPr>
  </w:style>
  <w:style w:type="character" w:customStyle="1" w:styleId="EndNoteBibliographyChar">
    <w:name w:val="EndNote Bibliography Char"/>
    <w:basedOn w:val="Standardstycketeckensnitt"/>
    <w:link w:val="EndNoteBibliography"/>
    <w:rsid w:val="00C921BD"/>
    <w:rPr>
      <w:rFonts w:ascii="Calibri" w:hAnsi="Calibri" w:cs="Calibri"/>
      <w:noProof/>
      <w:lang w:val="en-US"/>
    </w:rPr>
  </w:style>
  <w:style w:type="character" w:styleId="Platshllartext">
    <w:name w:val="Placeholder Text"/>
    <w:basedOn w:val="Standardstycketeckensnitt"/>
    <w:uiPriority w:val="99"/>
    <w:semiHidden/>
    <w:rsid w:val="007471ED"/>
    <w:rPr>
      <w:color w:val="808080"/>
    </w:rPr>
  </w:style>
  <w:style w:type="character" w:styleId="Hyperlnk">
    <w:name w:val="Hyperlink"/>
    <w:basedOn w:val="Standardstycketeckensnitt"/>
    <w:uiPriority w:val="99"/>
    <w:unhideWhenUsed/>
    <w:rsid w:val="00346759"/>
    <w:rPr>
      <w:color w:val="0563C1" w:themeColor="hyperlink"/>
      <w:u w:val="single"/>
    </w:rPr>
  </w:style>
  <w:style w:type="character" w:customStyle="1" w:styleId="UnresolvedMention1">
    <w:name w:val="Unresolved Mention1"/>
    <w:basedOn w:val="Standardstycketeckensnitt"/>
    <w:uiPriority w:val="99"/>
    <w:semiHidden/>
    <w:unhideWhenUsed/>
    <w:rsid w:val="00346759"/>
    <w:rPr>
      <w:color w:val="605E5C"/>
      <w:shd w:val="clear" w:color="auto" w:fill="E1DFDD"/>
    </w:rPr>
  </w:style>
  <w:style w:type="paragraph" w:styleId="Normalwebb">
    <w:name w:val="Normal (Web)"/>
    <w:basedOn w:val="Normal"/>
    <w:uiPriority w:val="99"/>
    <w:semiHidden/>
    <w:unhideWhenUsed/>
    <w:rsid w:val="002C476D"/>
    <w:pPr>
      <w:spacing w:before="100" w:beforeAutospacing="1" w:after="100" w:afterAutospacing="1"/>
    </w:pPr>
    <w:rPr>
      <w:rFonts w:ascii="Times New Roman" w:eastAsia="Times New Roman" w:hAnsi="Times New Roman" w:cs="Times New Roman"/>
      <w:lang w:eastAsia="sv-SE"/>
    </w:rPr>
  </w:style>
  <w:style w:type="character" w:styleId="Kommentarsreferens">
    <w:name w:val="annotation reference"/>
    <w:basedOn w:val="Standardstycketeckensnitt"/>
    <w:uiPriority w:val="99"/>
    <w:semiHidden/>
    <w:unhideWhenUsed/>
    <w:rsid w:val="00F82F1C"/>
    <w:rPr>
      <w:sz w:val="16"/>
      <w:szCs w:val="16"/>
    </w:rPr>
  </w:style>
  <w:style w:type="paragraph" w:styleId="Kommentarer">
    <w:name w:val="annotation text"/>
    <w:basedOn w:val="Normal"/>
    <w:link w:val="KommentarerChar"/>
    <w:uiPriority w:val="99"/>
    <w:semiHidden/>
    <w:unhideWhenUsed/>
    <w:rsid w:val="00F82F1C"/>
    <w:rPr>
      <w:sz w:val="20"/>
      <w:szCs w:val="20"/>
    </w:rPr>
  </w:style>
  <w:style w:type="character" w:customStyle="1" w:styleId="KommentarerChar">
    <w:name w:val="Kommentarer Char"/>
    <w:basedOn w:val="Standardstycketeckensnitt"/>
    <w:link w:val="Kommentarer"/>
    <w:uiPriority w:val="99"/>
    <w:semiHidden/>
    <w:rsid w:val="00F82F1C"/>
    <w:rPr>
      <w:sz w:val="20"/>
      <w:szCs w:val="20"/>
    </w:rPr>
  </w:style>
  <w:style w:type="paragraph" w:styleId="Kommentarsmne">
    <w:name w:val="annotation subject"/>
    <w:basedOn w:val="Kommentarer"/>
    <w:next w:val="Kommentarer"/>
    <w:link w:val="KommentarsmneChar"/>
    <w:uiPriority w:val="99"/>
    <w:semiHidden/>
    <w:unhideWhenUsed/>
    <w:rsid w:val="00F82F1C"/>
    <w:rPr>
      <w:b/>
      <w:bCs/>
    </w:rPr>
  </w:style>
  <w:style w:type="character" w:customStyle="1" w:styleId="KommentarsmneChar">
    <w:name w:val="Kommentarsämne Char"/>
    <w:basedOn w:val="KommentarerChar"/>
    <w:link w:val="Kommentarsmne"/>
    <w:uiPriority w:val="99"/>
    <w:semiHidden/>
    <w:rsid w:val="00F82F1C"/>
    <w:rPr>
      <w:b/>
      <w:bCs/>
      <w:sz w:val="20"/>
      <w:szCs w:val="20"/>
    </w:rPr>
  </w:style>
  <w:style w:type="paragraph" w:styleId="Ballongtext">
    <w:name w:val="Balloon Text"/>
    <w:basedOn w:val="Normal"/>
    <w:link w:val="BallongtextChar"/>
    <w:uiPriority w:val="99"/>
    <w:semiHidden/>
    <w:unhideWhenUsed/>
    <w:rsid w:val="00F82F1C"/>
    <w:rPr>
      <w:rFonts w:ascii="Times New Roman" w:hAnsi="Times New Roman" w:cs="Times New Roman"/>
      <w:sz w:val="18"/>
      <w:szCs w:val="18"/>
    </w:rPr>
  </w:style>
  <w:style w:type="character" w:customStyle="1" w:styleId="BallongtextChar">
    <w:name w:val="Ballongtext Char"/>
    <w:basedOn w:val="Standardstycketeckensnitt"/>
    <w:link w:val="Ballongtext"/>
    <w:uiPriority w:val="99"/>
    <w:semiHidden/>
    <w:rsid w:val="00F82F1C"/>
    <w:rPr>
      <w:rFonts w:ascii="Times New Roman" w:hAnsi="Times New Roman" w:cs="Times New Roman"/>
      <w:sz w:val="18"/>
      <w:szCs w:val="18"/>
    </w:rPr>
  </w:style>
  <w:style w:type="table" w:styleId="Tabellrutnt">
    <w:name w:val="Table Grid"/>
    <w:basedOn w:val="Normaltabell"/>
    <w:uiPriority w:val="39"/>
    <w:rsid w:val="00283D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krivning">
    <w:name w:val="caption"/>
    <w:basedOn w:val="Normal"/>
    <w:next w:val="Normal"/>
    <w:uiPriority w:val="35"/>
    <w:unhideWhenUsed/>
    <w:qFormat/>
    <w:rsid w:val="00283DEA"/>
    <w:pPr>
      <w:spacing w:after="200"/>
    </w:pPr>
    <w:rPr>
      <w:i/>
      <w:iCs/>
      <w:color w:val="44546A" w:themeColor="text2"/>
      <w:sz w:val="18"/>
      <w:szCs w:val="18"/>
    </w:rPr>
  </w:style>
  <w:style w:type="character" w:styleId="Olstomnmnande">
    <w:name w:val="Unresolved Mention"/>
    <w:basedOn w:val="Standardstycketeckensnitt"/>
    <w:uiPriority w:val="99"/>
    <w:semiHidden/>
    <w:unhideWhenUsed/>
    <w:rsid w:val="00A206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7676789">
      <w:bodyDiv w:val="1"/>
      <w:marLeft w:val="0"/>
      <w:marRight w:val="0"/>
      <w:marTop w:val="0"/>
      <w:marBottom w:val="0"/>
      <w:divBdr>
        <w:top w:val="none" w:sz="0" w:space="0" w:color="auto"/>
        <w:left w:val="none" w:sz="0" w:space="0" w:color="auto"/>
        <w:bottom w:val="none" w:sz="0" w:space="0" w:color="auto"/>
        <w:right w:val="none" w:sz="0" w:space="0" w:color="auto"/>
      </w:divBdr>
      <w:divsChild>
        <w:div w:id="1762215958">
          <w:marLeft w:val="1080"/>
          <w:marRight w:val="0"/>
          <w:marTop w:val="100"/>
          <w:marBottom w:val="0"/>
          <w:divBdr>
            <w:top w:val="none" w:sz="0" w:space="0" w:color="auto"/>
            <w:left w:val="none" w:sz="0" w:space="0" w:color="auto"/>
            <w:bottom w:val="none" w:sz="0" w:space="0" w:color="auto"/>
            <w:right w:val="none" w:sz="0" w:space="0" w:color="auto"/>
          </w:divBdr>
        </w:div>
        <w:div w:id="564685803">
          <w:marLeft w:val="1800"/>
          <w:marRight w:val="0"/>
          <w:marTop w:val="100"/>
          <w:marBottom w:val="0"/>
          <w:divBdr>
            <w:top w:val="none" w:sz="0" w:space="0" w:color="auto"/>
            <w:left w:val="none" w:sz="0" w:space="0" w:color="auto"/>
            <w:bottom w:val="none" w:sz="0" w:space="0" w:color="auto"/>
            <w:right w:val="none" w:sz="0" w:space="0" w:color="auto"/>
          </w:divBdr>
        </w:div>
        <w:div w:id="1771972095">
          <w:marLeft w:val="1800"/>
          <w:marRight w:val="0"/>
          <w:marTop w:val="100"/>
          <w:marBottom w:val="0"/>
          <w:divBdr>
            <w:top w:val="none" w:sz="0" w:space="0" w:color="auto"/>
            <w:left w:val="none" w:sz="0" w:space="0" w:color="auto"/>
            <w:bottom w:val="none" w:sz="0" w:space="0" w:color="auto"/>
            <w:right w:val="none" w:sz="0" w:space="0" w:color="auto"/>
          </w:divBdr>
        </w:div>
        <w:div w:id="1329941675">
          <w:marLeft w:val="1800"/>
          <w:marRight w:val="0"/>
          <w:marTop w:val="100"/>
          <w:marBottom w:val="0"/>
          <w:divBdr>
            <w:top w:val="none" w:sz="0" w:space="0" w:color="auto"/>
            <w:left w:val="none" w:sz="0" w:space="0" w:color="auto"/>
            <w:bottom w:val="none" w:sz="0" w:space="0" w:color="auto"/>
            <w:right w:val="none" w:sz="0" w:space="0" w:color="auto"/>
          </w:divBdr>
        </w:div>
        <w:div w:id="766655422">
          <w:marLeft w:val="1800"/>
          <w:marRight w:val="0"/>
          <w:marTop w:val="100"/>
          <w:marBottom w:val="0"/>
          <w:divBdr>
            <w:top w:val="none" w:sz="0" w:space="0" w:color="auto"/>
            <w:left w:val="none" w:sz="0" w:space="0" w:color="auto"/>
            <w:bottom w:val="none" w:sz="0" w:space="0" w:color="auto"/>
            <w:right w:val="none" w:sz="0" w:space="0" w:color="auto"/>
          </w:divBdr>
        </w:div>
        <w:div w:id="1033849857">
          <w:marLeft w:val="1080"/>
          <w:marRight w:val="0"/>
          <w:marTop w:val="100"/>
          <w:marBottom w:val="0"/>
          <w:divBdr>
            <w:top w:val="none" w:sz="0" w:space="0" w:color="auto"/>
            <w:left w:val="none" w:sz="0" w:space="0" w:color="auto"/>
            <w:bottom w:val="none" w:sz="0" w:space="0" w:color="auto"/>
            <w:right w:val="none" w:sz="0" w:space="0" w:color="auto"/>
          </w:divBdr>
        </w:div>
        <w:div w:id="1217088016">
          <w:marLeft w:val="1800"/>
          <w:marRight w:val="0"/>
          <w:marTop w:val="100"/>
          <w:marBottom w:val="0"/>
          <w:divBdr>
            <w:top w:val="none" w:sz="0" w:space="0" w:color="auto"/>
            <w:left w:val="none" w:sz="0" w:space="0" w:color="auto"/>
            <w:bottom w:val="none" w:sz="0" w:space="0" w:color="auto"/>
            <w:right w:val="none" w:sz="0" w:space="0" w:color="auto"/>
          </w:divBdr>
        </w:div>
        <w:div w:id="1925920617">
          <w:marLeft w:val="1080"/>
          <w:marRight w:val="0"/>
          <w:marTop w:val="100"/>
          <w:marBottom w:val="0"/>
          <w:divBdr>
            <w:top w:val="none" w:sz="0" w:space="0" w:color="auto"/>
            <w:left w:val="none" w:sz="0" w:space="0" w:color="auto"/>
            <w:bottom w:val="none" w:sz="0" w:space="0" w:color="auto"/>
            <w:right w:val="none" w:sz="0" w:space="0" w:color="auto"/>
          </w:divBdr>
        </w:div>
        <w:div w:id="1400134027">
          <w:marLeft w:val="1800"/>
          <w:marRight w:val="0"/>
          <w:marTop w:val="100"/>
          <w:marBottom w:val="0"/>
          <w:divBdr>
            <w:top w:val="none" w:sz="0" w:space="0" w:color="auto"/>
            <w:left w:val="none" w:sz="0" w:space="0" w:color="auto"/>
            <w:bottom w:val="none" w:sz="0" w:space="0" w:color="auto"/>
            <w:right w:val="none" w:sz="0" w:space="0" w:color="auto"/>
          </w:divBdr>
        </w:div>
        <w:div w:id="680279715">
          <w:marLeft w:val="1800"/>
          <w:marRight w:val="0"/>
          <w:marTop w:val="100"/>
          <w:marBottom w:val="0"/>
          <w:divBdr>
            <w:top w:val="none" w:sz="0" w:space="0" w:color="auto"/>
            <w:left w:val="none" w:sz="0" w:space="0" w:color="auto"/>
            <w:bottom w:val="none" w:sz="0" w:space="0" w:color="auto"/>
            <w:right w:val="none" w:sz="0" w:space="0" w:color="auto"/>
          </w:divBdr>
        </w:div>
        <w:div w:id="23336917">
          <w:marLeft w:val="2520"/>
          <w:marRight w:val="0"/>
          <w:marTop w:val="100"/>
          <w:marBottom w:val="0"/>
          <w:divBdr>
            <w:top w:val="none" w:sz="0" w:space="0" w:color="auto"/>
            <w:left w:val="none" w:sz="0" w:space="0" w:color="auto"/>
            <w:bottom w:val="none" w:sz="0" w:space="0" w:color="auto"/>
            <w:right w:val="none" w:sz="0" w:space="0" w:color="auto"/>
          </w:divBdr>
        </w:div>
        <w:div w:id="293677072">
          <w:marLeft w:val="2520"/>
          <w:marRight w:val="0"/>
          <w:marTop w:val="100"/>
          <w:marBottom w:val="0"/>
          <w:divBdr>
            <w:top w:val="none" w:sz="0" w:space="0" w:color="auto"/>
            <w:left w:val="none" w:sz="0" w:space="0" w:color="auto"/>
            <w:bottom w:val="none" w:sz="0" w:space="0" w:color="auto"/>
            <w:right w:val="none" w:sz="0" w:space="0" w:color="auto"/>
          </w:divBdr>
        </w:div>
      </w:divsChild>
    </w:div>
    <w:div w:id="405684851">
      <w:bodyDiv w:val="1"/>
      <w:marLeft w:val="0"/>
      <w:marRight w:val="0"/>
      <w:marTop w:val="0"/>
      <w:marBottom w:val="0"/>
      <w:divBdr>
        <w:top w:val="none" w:sz="0" w:space="0" w:color="auto"/>
        <w:left w:val="none" w:sz="0" w:space="0" w:color="auto"/>
        <w:bottom w:val="none" w:sz="0" w:space="0" w:color="auto"/>
        <w:right w:val="none" w:sz="0" w:space="0" w:color="auto"/>
      </w:divBdr>
    </w:div>
    <w:div w:id="840242193">
      <w:bodyDiv w:val="1"/>
      <w:marLeft w:val="0"/>
      <w:marRight w:val="0"/>
      <w:marTop w:val="0"/>
      <w:marBottom w:val="0"/>
      <w:divBdr>
        <w:top w:val="none" w:sz="0" w:space="0" w:color="auto"/>
        <w:left w:val="none" w:sz="0" w:space="0" w:color="auto"/>
        <w:bottom w:val="none" w:sz="0" w:space="0" w:color="auto"/>
        <w:right w:val="none" w:sz="0" w:space="0" w:color="auto"/>
      </w:divBdr>
    </w:div>
    <w:div w:id="1218859963">
      <w:bodyDiv w:val="1"/>
      <w:marLeft w:val="0"/>
      <w:marRight w:val="0"/>
      <w:marTop w:val="0"/>
      <w:marBottom w:val="0"/>
      <w:divBdr>
        <w:top w:val="none" w:sz="0" w:space="0" w:color="auto"/>
        <w:left w:val="none" w:sz="0" w:space="0" w:color="auto"/>
        <w:bottom w:val="none" w:sz="0" w:space="0" w:color="auto"/>
        <w:right w:val="none" w:sz="0" w:space="0" w:color="auto"/>
      </w:divBdr>
      <w:divsChild>
        <w:div w:id="281695864">
          <w:marLeft w:val="0"/>
          <w:marRight w:val="0"/>
          <w:marTop w:val="0"/>
          <w:marBottom w:val="0"/>
          <w:divBdr>
            <w:top w:val="none" w:sz="0" w:space="0" w:color="auto"/>
            <w:left w:val="none" w:sz="0" w:space="0" w:color="auto"/>
            <w:bottom w:val="none" w:sz="0" w:space="0" w:color="auto"/>
            <w:right w:val="none" w:sz="0" w:space="0" w:color="auto"/>
          </w:divBdr>
          <w:divsChild>
            <w:div w:id="2135833154">
              <w:marLeft w:val="0"/>
              <w:marRight w:val="0"/>
              <w:marTop w:val="0"/>
              <w:marBottom w:val="0"/>
              <w:divBdr>
                <w:top w:val="none" w:sz="0" w:space="0" w:color="auto"/>
                <w:left w:val="none" w:sz="0" w:space="0" w:color="auto"/>
                <w:bottom w:val="none" w:sz="0" w:space="0" w:color="auto"/>
                <w:right w:val="none" w:sz="0" w:space="0" w:color="auto"/>
              </w:divBdr>
              <w:divsChild>
                <w:div w:id="422455235">
                  <w:marLeft w:val="0"/>
                  <w:marRight w:val="0"/>
                  <w:marTop w:val="0"/>
                  <w:marBottom w:val="0"/>
                  <w:divBdr>
                    <w:top w:val="none" w:sz="0" w:space="0" w:color="auto"/>
                    <w:left w:val="none" w:sz="0" w:space="0" w:color="auto"/>
                    <w:bottom w:val="none" w:sz="0" w:space="0" w:color="auto"/>
                    <w:right w:val="none" w:sz="0" w:space="0" w:color="auto"/>
                  </w:divBdr>
                  <w:divsChild>
                    <w:div w:id="206374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17DA13-344F-8648-9F66-03E63842B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4578</Words>
  <Characters>24267</Characters>
  <Application>Microsoft Office Word</Application>
  <DocSecurity>0</DocSecurity>
  <Lines>202</Lines>
  <Paragraphs>57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SLU Aqua</Company>
  <LinksUpToDate>false</LinksUpToDate>
  <CharactersWithSpaces>28788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Hentati Sundberg</dc:creator>
  <cp:keywords/>
  <dc:description/>
  <cp:lastModifiedBy>Jonas Hentati Sundberg</cp:lastModifiedBy>
  <cp:revision>17</cp:revision>
  <dcterms:created xsi:type="dcterms:W3CDTF">2020-03-03T12:29:00Z</dcterms:created>
  <dcterms:modified xsi:type="dcterms:W3CDTF">2020-08-18T09:43:00Z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http://www.zotero.org/styles/ecosystems</vt:lpwstr>
  </property>
  <property fmtid="{D5CDD505-2E9C-101B-9397-08002B2CF9AE}" pid="13" name="Mendeley Recent Style Name 5_1">
    <vt:lpwstr>Ecosystems</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http://www.zotero.org/styles/pnas</vt:lpwstr>
  </property>
  <property fmtid="{D5CDD505-2E9C-101B-9397-08002B2CF9AE}" pid="17" name="Mendeley Recent Style Name 7_1">
    <vt:lpwstr>Proceedings of the National Academy of Sciences of the United States of America</vt:lpwstr>
  </property>
  <property fmtid="{D5CDD505-2E9C-101B-9397-08002B2CF9AE}" pid="18" name="Mendeley Recent Style Id 8_1">
    <vt:lpwstr>http://www.zotero.org/styles/science</vt:lpwstr>
  </property>
  <property fmtid="{D5CDD505-2E9C-101B-9397-08002B2CF9AE}" pid="19" name="Mendeley Recent Style Name 8_1">
    <vt:lpwstr>Science</vt:lpwstr>
  </property>
  <property fmtid="{D5CDD505-2E9C-101B-9397-08002B2CF9AE}" pid="20" name="Mendeley Recent Style Id 9_1">
    <vt:lpwstr>http://www.zotero.org/styles/scientific-reports</vt:lpwstr>
  </property>
  <property fmtid="{D5CDD505-2E9C-101B-9397-08002B2CF9AE}" pid="21" name="Mendeley Recent Style Name 9_1">
    <vt:lpwstr>Scientific Reports</vt:lpwstr>
  </property>
  <property fmtid="{D5CDD505-2E9C-101B-9397-08002B2CF9AE}" pid="22" name="Mendeley Document_1">
    <vt:lpwstr>True</vt:lpwstr>
  </property>
  <property fmtid="{D5CDD505-2E9C-101B-9397-08002B2CF9AE}" pid="23" name="Mendeley Citation Style_1">
    <vt:lpwstr>http://www.zotero.org/styles/scientific-reports</vt:lpwstr>
  </property>
  <property fmtid="{D5CDD505-2E9C-101B-9397-08002B2CF9AE}" pid="24" name="Mendeley Unique User Id_1">
    <vt:lpwstr>308c7d7d-9527-35b7-9e02-b3a205eb84bd</vt:lpwstr>
  </property>
</Properties>
</file>