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8C972" w14:textId="26ACC693" w:rsidR="00CE122A" w:rsidRPr="00CE122A" w:rsidRDefault="00CE122A" w:rsidP="00CE122A">
      <w:pPr>
        <w:spacing w:line="480" w:lineRule="auto"/>
        <w:rPr>
          <w:rFonts w:ascii="Arial" w:eastAsia="Arial" w:hAnsi="Arial" w:cs="Arial"/>
          <w:b/>
        </w:rPr>
      </w:pPr>
      <w:bookmarkStart w:id="0" w:name="_Hlk22293169"/>
      <w:r w:rsidRPr="00CE122A">
        <w:rPr>
          <w:rFonts w:ascii="Arial" w:eastAsia="Arial" w:hAnsi="Arial" w:cs="Arial"/>
          <w:b/>
        </w:rPr>
        <w:t xml:space="preserve">Title: </w:t>
      </w:r>
      <w:r w:rsidRPr="00CE122A">
        <w:rPr>
          <w:rFonts w:ascii="Arial" w:eastAsia="Arial" w:hAnsi="Arial" w:cs="Arial"/>
        </w:rPr>
        <w:t xml:space="preserve">Axial Growth and Refractive Change in White </w:t>
      </w:r>
      <w:r w:rsidR="00844617">
        <w:rPr>
          <w:rFonts w:ascii="Arial" w:eastAsia="Arial" w:hAnsi="Arial" w:cs="Arial"/>
        </w:rPr>
        <w:t xml:space="preserve">European </w:t>
      </w:r>
      <w:r w:rsidRPr="00CE122A">
        <w:rPr>
          <w:rFonts w:ascii="Arial" w:eastAsia="Arial" w:hAnsi="Arial" w:cs="Arial"/>
        </w:rPr>
        <w:t>Children and Young Adults: Predictive Factors for Myopia</w:t>
      </w:r>
    </w:p>
    <w:bookmarkEnd w:id="0"/>
    <w:p w14:paraId="5754D42F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  <w:b/>
        </w:rPr>
      </w:pPr>
    </w:p>
    <w:p w14:paraId="6C5CEAA2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  <w:b/>
          <w:lang w:val="en-US"/>
        </w:rPr>
      </w:pPr>
    </w:p>
    <w:p w14:paraId="43A247B5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  <w:b/>
        </w:rPr>
      </w:pPr>
      <w:r w:rsidRPr="00CE122A">
        <w:rPr>
          <w:rFonts w:ascii="Arial" w:eastAsia="Arial" w:hAnsi="Arial" w:cs="Arial"/>
          <w:b/>
          <w:lang w:val="en-US"/>
        </w:rPr>
        <w:t xml:space="preserve">Authors: </w:t>
      </w:r>
      <w:r w:rsidRPr="00CE122A">
        <w:rPr>
          <w:rFonts w:ascii="Arial" w:eastAsia="Arial" w:hAnsi="Arial" w:cs="Arial"/>
          <w:lang w:val="en-US"/>
        </w:rPr>
        <w:t>Sara McCullough</w:t>
      </w:r>
      <w:r w:rsidRPr="00CE122A">
        <w:rPr>
          <w:rFonts w:ascii="Arial" w:eastAsia="Arial" w:hAnsi="Arial" w:cs="Arial"/>
          <w:vertAlign w:val="superscript"/>
          <w:lang w:val="en-US"/>
        </w:rPr>
        <w:t>1</w:t>
      </w:r>
      <w:r w:rsidRPr="00CE122A">
        <w:rPr>
          <w:rFonts w:ascii="Arial" w:eastAsia="Arial" w:hAnsi="Arial" w:cs="Arial"/>
          <w:lang w:val="en-US"/>
        </w:rPr>
        <w:t>, Gary Adamson</w:t>
      </w:r>
      <w:r w:rsidRPr="00CE122A">
        <w:rPr>
          <w:rFonts w:ascii="Arial" w:eastAsia="Arial" w:hAnsi="Arial" w:cs="Arial"/>
          <w:vertAlign w:val="superscript"/>
          <w:lang w:val="en-US"/>
        </w:rPr>
        <w:t>2</w:t>
      </w:r>
      <w:r w:rsidRPr="00CE122A">
        <w:rPr>
          <w:rFonts w:ascii="Arial" w:eastAsia="Arial" w:hAnsi="Arial" w:cs="Arial"/>
          <w:lang w:val="en-US"/>
        </w:rPr>
        <w:t>, Karen MM Breslin</w:t>
      </w:r>
      <w:r w:rsidRPr="00CE122A">
        <w:rPr>
          <w:rFonts w:ascii="Arial" w:eastAsia="Arial" w:hAnsi="Arial" w:cs="Arial"/>
          <w:vertAlign w:val="superscript"/>
          <w:lang w:val="en-US"/>
        </w:rPr>
        <w:t>1</w:t>
      </w:r>
      <w:r w:rsidRPr="00CE122A">
        <w:rPr>
          <w:rFonts w:ascii="Arial" w:eastAsia="Arial" w:hAnsi="Arial" w:cs="Arial"/>
          <w:lang w:val="en-US"/>
        </w:rPr>
        <w:t>, Julie F McClelland</w:t>
      </w:r>
      <w:r w:rsidRPr="00CE122A">
        <w:rPr>
          <w:rFonts w:ascii="Arial" w:eastAsia="Arial" w:hAnsi="Arial" w:cs="Arial"/>
          <w:vertAlign w:val="superscript"/>
          <w:lang w:val="en-US"/>
        </w:rPr>
        <w:t>1</w:t>
      </w:r>
      <w:r w:rsidRPr="00CE122A">
        <w:rPr>
          <w:rFonts w:ascii="Arial" w:eastAsia="Arial" w:hAnsi="Arial" w:cs="Arial"/>
          <w:lang w:val="en-US"/>
        </w:rPr>
        <w:t>, Lesley Doyle</w:t>
      </w:r>
      <w:r w:rsidRPr="00CE122A">
        <w:rPr>
          <w:rFonts w:ascii="Arial" w:eastAsia="Arial" w:hAnsi="Arial" w:cs="Arial"/>
          <w:vertAlign w:val="superscript"/>
          <w:lang w:val="en-US"/>
        </w:rPr>
        <w:t>1</w:t>
      </w:r>
      <w:r w:rsidRPr="00CE122A">
        <w:rPr>
          <w:rFonts w:ascii="Arial" w:eastAsia="Arial" w:hAnsi="Arial" w:cs="Arial"/>
          <w:lang w:val="en-US"/>
        </w:rPr>
        <w:t>,</w:t>
      </w:r>
      <w:r w:rsidRPr="00CE122A">
        <w:rPr>
          <w:rFonts w:ascii="Arial" w:eastAsia="Arial" w:hAnsi="Arial" w:cs="Arial"/>
          <w:lang w:val="en-CA"/>
        </w:rPr>
        <w:t xml:space="preserve"> </w:t>
      </w:r>
      <w:r w:rsidRPr="00CE122A">
        <w:rPr>
          <w:rFonts w:ascii="Arial" w:eastAsia="Arial" w:hAnsi="Arial" w:cs="Arial"/>
          <w:lang w:val="en-US"/>
        </w:rPr>
        <w:t>Kathryn Saunders*</w:t>
      </w:r>
      <w:r w:rsidRPr="00CE122A">
        <w:rPr>
          <w:rFonts w:ascii="Arial" w:eastAsia="Arial" w:hAnsi="Arial" w:cs="Arial"/>
          <w:vertAlign w:val="superscript"/>
          <w:lang w:val="en-US"/>
        </w:rPr>
        <w:t>1</w:t>
      </w:r>
    </w:p>
    <w:p w14:paraId="43A5B229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</w:rPr>
      </w:pPr>
      <w:r w:rsidRPr="00CE122A">
        <w:rPr>
          <w:rFonts w:ascii="Arial" w:eastAsia="Arial" w:hAnsi="Arial" w:cs="Arial"/>
        </w:rPr>
        <w:t>1 Centre for Optometry &amp; Vision Science Research, School of Biomedical Sciences, Ulster University</w:t>
      </w:r>
    </w:p>
    <w:p w14:paraId="46B0ACB4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</w:rPr>
      </w:pPr>
      <w:r w:rsidRPr="00CE122A">
        <w:rPr>
          <w:rFonts w:ascii="Arial" w:eastAsia="Arial" w:hAnsi="Arial" w:cs="Arial"/>
        </w:rPr>
        <w:t xml:space="preserve">2 Psychology Research Institute, School of Psychology, Ulster University </w:t>
      </w:r>
    </w:p>
    <w:p w14:paraId="02DE5F1E" w14:textId="77777777" w:rsidR="00CE122A" w:rsidRPr="00CE122A" w:rsidRDefault="00CE122A" w:rsidP="00CE122A">
      <w:pPr>
        <w:spacing w:line="480" w:lineRule="auto"/>
        <w:rPr>
          <w:rFonts w:ascii="Arial" w:eastAsia="Arial" w:hAnsi="Arial" w:cs="Arial"/>
          <w:b/>
        </w:rPr>
      </w:pPr>
    </w:p>
    <w:p w14:paraId="4D340205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77388D63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23430414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6D0E53D6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4801B740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1C7CAB06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719D2ED0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16BB1333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1A07F3ED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3FEB79C6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162D64CA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4A8835C5" w14:textId="77777777" w:rsidR="00CE122A" w:rsidRP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6E5E46C3" w14:textId="77777777" w:rsidR="00CE122A" w:rsidRDefault="00CE122A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</w:p>
    <w:p w14:paraId="566C4E30" w14:textId="5D6E5FCE" w:rsidR="00386D41" w:rsidRPr="00CE122A" w:rsidRDefault="00386D41" w:rsidP="00386D41">
      <w:pPr>
        <w:spacing w:line="480" w:lineRule="auto"/>
        <w:jc w:val="both"/>
        <w:rPr>
          <w:rFonts w:ascii="Arial" w:hAnsi="Arial" w:cs="Arial"/>
          <w:b/>
          <w:sz w:val="28"/>
        </w:rPr>
      </w:pPr>
      <w:r w:rsidRPr="00CE122A">
        <w:rPr>
          <w:rFonts w:ascii="Arial" w:hAnsi="Arial" w:cs="Arial"/>
          <w:b/>
          <w:sz w:val="28"/>
        </w:rPr>
        <w:lastRenderedPageBreak/>
        <w:t>Supplementary Material</w:t>
      </w: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1045"/>
        <w:gridCol w:w="1216"/>
        <w:gridCol w:w="1406"/>
        <w:gridCol w:w="1130"/>
        <w:gridCol w:w="1133"/>
        <w:gridCol w:w="1131"/>
        <w:gridCol w:w="1316"/>
        <w:gridCol w:w="972"/>
      </w:tblGrid>
      <w:tr w:rsidR="00386D41" w:rsidRPr="00CE122A" w14:paraId="067CA756" w14:textId="77777777" w:rsidTr="001B26DB">
        <w:tc>
          <w:tcPr>
            <w:tcW w:w="1045" w:type="dxa"/>
            <w:hideMark/>
          </w:tcPr>
          <w:p w14:paraId="14007B6E" w14:textId="77777777" w:rsidR="00386D41" w:rsidRPr="00CE122A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Model </w:t>
            </w:r>
          </w:p>
        </w:tc>
        <w:tc>
          <w:tcPr>
            <w:tcW w:w="1216" w:type="dxa"/>
            <w:hideMark/>
          </w:tcPr>
          <w:p w14:paraId="718BE554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Log Likelihood</w:t>
            </w:r>
          </w:p>
        </w:tc>
        <w:tc>
          <w:tcPr>
            <w:tcW w:w="1406" w:type="dxa"/>
            <w:hideMark/>
          </w:tcPr>
          <w:p w14:paraId="1EE9B47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#parameters</w:t>
            </w:r>
          </w:p>
        </w:tc>
        <w:tc>
          <w:tcPr>
            <w:tcW w:w="1130" w:type="dxa"/>
            <w:hideMark/>
          </w:tcPr>
          <w:p w14:paraId="06BCF0E8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AIC</w:t>
            </w:r>
          </w:p>
        </w:tc>
        <w:tc>
          <w:tcPr>
            <w:tcW w:w="1133" w:type="dxa"/>
            <w:hideMark/>
          </w:tcPr>
          <w:p w14:paraId="1972A630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BIC</w:t>
            </w:r>
          </w:p>
        </w:tc>
        <w:tc>
          <w:tcPr>
            <w:tcW w:w="1131" w:type="dxa"/>
            <w:hideMark/>
          </w:tcPr>
          <w:p w14:paraId="5E5E31DD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ssaBIC</w:t>
            </w:r>
          </w:p>
        </w:tc>
        <w:tc>
          <w:tcPr>
            <w:tcW w:w="1316" w:type="dxa"/>
            <w:hideMark/>
          </w:tcPr>
          <w:p w14:paraId="5EABCE7D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Boot-LRT (</w:t>
            </w:r>
            <w:r w:rsidRPr="00CE122A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CE12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001D7E23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Entropy</w:t>
            </w:r>
          </w:p>
        </w:tc>
      </w:tr>
      <w:tr w:rsidR="00386D41" w:rsidRPr="00CE122A" w14:paraId="49107D93" w14:textId="77777777" w:rsidTr="001B26DB">
        <w:tc>
          <w:tcPr>
            <w:tcW w:w="1045" w:type="dxa"/>
            <w:hideMark/>
          </w:tcPr>
          <w:p w14:paraId="772C3E92" w14:textId="77777777" w:rsidR="00386D41" w:rsidRPr="00CE122A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1-class</w:t>
            </w:r>
          </w:p>
        </w:tc>
        <w:tc>
          <w:tcPr>
            <w:tcW w:w="1216" w:type="dxa"/>
          </w:tcPr>
          <w:p w14:paraId="77695551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-1293.508</w:t>
            </w:r>
          </w:p>
        </w:tc>
        <w:tc>
          <w:tcPr>
            <w:tcW w:w="1406" w:type="dxa"/>
          </w:tcPr>
          <w:p w14:paraId="1EFAFC3D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0" w:type="dxa"/>
          </w:tcPr>
          <w:p w14:paraId="1DAB74B9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2605.016</w:t>
            </w:r>
          </w:p>
        </w:tc>
        <w:tc>
          <w:tcPr>
            <w:tcW w:w="1133" w:type="dxa"/>
          </w:tcPr>
          <w:p w14:paraId="55A99866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2640.711</w:t>
            </w:r>
          </w:p>
        </w:tc>
        <w:tc>
          <w:tcPr>
            <w:tcW w:w="1131" w:type="dxa"/>
          </w:tcPr>
          <w:p w14:paraId="66486DEC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2612.155</w:t>
            </w:r>
          </w:p>
        </w:tc>
        <w:tc>
          <w:tcPr>
            <w:tcW w:w="1316" w:type="dxa"/>
          </w:tcPr>
          <w:p w14:paraId="03ADF405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972" w:type="dxa"/>
          </w:tcPr>
          <w:p w14:paraId="43770BE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386D41" w:rsidRPr="00CE122A" w14:paraId="07097393" w14:textId="77777777" w:rsidTr="001B26DB">
        <w:tc>
          <w:tcPr>
            <w:tcW w:w="1045" w:type="dxa"/>
            <w:hideMark/>
          </w:tcPr>
          <w:p w14:paraId="18AE5662" w14:textId="77777777" w:rsidR="00386D41" w:rsidRPr="00CE122A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2-class</w:t>
            </w:r>
          </w:p>
        </w:tc>
        <w:tc>
          <w:tcPr>
            <w:tcW w:w="1216" w:type="dxa"/>
          </w:tcPr>
          <w:p w14:paraId="7334A93E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-1205.534</w:t>
            </w:r>
          </w:p>
        </w:tc>
        <w:tc>
          <w:tcPr>
            <w:tcW w:w="1406" w:type="dxa"/>
          </w:tcPr>
          <w:p w14:paraId="464D9FD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0" w:type="dxa"/>
          </w:tcPr>
          <w:p w14:paraId="2AF9DFBC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2435.068</w:t>
            </w:r>
          </w:p>
        </w:tc>
        <w:tc>
          <w:tcPr>
            <w:tcW w:w="1133" w:type="dxa"/>
          </w:tcPr>
          <w:p w14:paraId="4F0906F6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2482.661</w:t>
            </w:r>
          </w:p>
        </w:tc>
        <w:tc>
          <w:tcPr>
            <w:tcW w:w="1131" w:type="dxa"/>
          </w:tcPr>
          <w:p w14:paraId="285CF924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2444.586</w:t>
            </w:r>
          </w:p>
        </w:tc>
        <w:tc>
          <w:tcPr>
            <w:tcW w:w="1316" w:type="dxa"/>
          </w:tcPr>
          <w:p w14:paraId="11CE918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 xml:space="preserve"> 0.0000</w:t>
            </w:r>
          </w:p>
        </w:tc>
        <w:tc>
          <w:tcPr>
            <w:tcW w:w="972" w:type="dxa"/>
          </w:tcPr>
          <w:p w14:paraId="3CB1AB6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0.970</w:t>
            </w:r>
          </w:p>
        </w:tc>
      </w:tr>
      <w:tr w:rsidR="00386D41" w:rsidRPr="00CE122A" w14:paraId="00FF4B9A" w14:textId="77777777" w:rsidTr="001B26DB">
        <w:tc>
          <w:tcPr>
            <w:tcW w:w="1045" w:type="dxa"/>
            <w:hideMark/>
          </w:tcPr>
          <w:p w14:paraId="10A38A20" w14:textId="77777777" w:rsidR="00386D41" w:rsidRPr="00CE122A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3-class</w:t>
            </w:r>
          </w:p>
        </w:tc>
        <w:tc>
          <w:tcPr>
            <w:tcW w:w="1216" w:type="dxa"/>
          </w:tcPr>
          <w:p w14:paraId="6CF6982F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-1175.339</w:t>
            </w:r>
          </w:p>
        </w:tc>
        <w:tc>
          <w:tcPr>
            <w:tcW w:w="1406" w:type="dxa"/>
          </w:tcPr>
          <w:p w14:paraId="4B392382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0" w:type="dxa"/>
          </w:tcPr>
          <w:p w14:paraId="6A14035F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2380.679</w:t>
            </w:r>
          </w:p>
        </w:tc>
        <w:tc>
          <w:tcPr>
            <w:tcW w:w="1133" w:type="dxa"/>
          </w:tcPr>
          <w:p w14:paraId="1CD248DA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2440.171</w:t>
            </w:r>
          </w:p>
        </w:tc>
        <w:tc>
          <w:tcPr>
            <w:tcW w:w="1131" w:type="dxa"/>
          </w:tcPr>
          <w:p w14:paraId="4A4197E7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2392.577</w:t>
            </w:r>
          </w:p>
        </w:tc>
        <w:tc>
          <w:tcPr>
            <w:tcW w:w="1316" w:type="dxa"/>
          </w:tcPr>
          <w:p w14:paraId="516D6869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 xml:space="preserve">0.0000                          </w:t>
            </w:r>
          </w:p>
        </w:tc>
        <w:tc>
          <w:tcPr>
            <w:tcW w:w="972" w:type="dxa"/>
          </w:tcPr>
          <w:p w14:paraId="6D4B68C5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0.971</w:t>
            </w:r>
          </w:p>
        </w:tc>
      </w:tr>
      <w:tr w:rsidR="00386D41" w:rsidRPr="00931242" w14:paraId="0A324520" w14:textId="77777777" w:rsidTr="00931242">
        <w:tc>
          <w:tcPr>
            <w:tcW w:w="1045" w:type="dxa"/>
            <w:shd w:val="clear" w:color="auto" w:fill="auto"/>
            <w:hideMark/>
          </w:tcPr>
          <w:p w14:paraId="5D03F423" w14:textId="77777777" w:rsidR="00386D41" w:rsidRPr="00931242" w:rsidRDefault="00386D41" w:rsidP="00AB3CD2">
            <w:pPr>
              <w:spacing w:line="276" w:lineRule="auto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IE"/>
              </w:rPr>
            </w:pPr>
            <w:r w:rsidRPr="00931242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IE"/>
              </w:rPr>
              <w:t>4-class</w:t>
            </w:r>
          </w:p>
        </w:tc>
        <w:tc>
          <w:tcPr>
            <w:tcW w:w="1216" w:type="dxa"/>
            <w:shd w:val="clear" w:color="auto" w:fill="auto"/>
          </w:tcPr>
          <w:p w14:paraId="7BB9CE76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-1146.329</w:t>
            </w:r>
          </w:p>
        </w:tc>
        <w:tc>
          <w:tcPr>
            <w:tcW w:w="1406" w:type="dxa"/>
            <w:shd w:val="clear" w:color="auto" w:fill="auto"/>
          </w:tcPr>
          <w:p w14:paraId="223271D1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18</w:t>
            </w:r>
          </w:p>
        </w:tc>
        <w:tc>
          <w:tcPr>
            <w:tcW w:w="1130" w:type="dxa"/>
            <w:shd w:val="clear" w:color="auto" w:fill="auto"/>
          </w:tcPr>
          <w:p w14:paraId="0445169A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2328.657</w:t>
            </w:r>
          </w:p>
        </w:tc>
        <w:tc>
          <w:tcPr>
            <w:tcW w:w="1133" w:type="dxa"/>
            <w:shd w:val="clear" w:color="auto" w:fill="auto"/>
          </w:tcPr>
          <w:p w14:paraId="6980C3D8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2400.048</w:t>
            </w:r>
          </w:p>
        </w:tc>
        <w:tc>
          <w:tcPr>
            <w:tcW w:w="1131" w:type="dxa"/>
            <w:shd w:val="clear" w:color="auto" w:fill="auto"/>
          </w:tcPr>
          <w:p w14:paraId="0BE634A0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2342.935</w:t>
            </w:r>
          </w:p>
        </w:tc>
        <w:tc>
          <w:tcPr>
            <w:tcW w:w="1316" w:type="dxa"/>
            <w:shd w:val="clear" w:color="auto" w:fill="auto"/>
          </w:tcPr>
          <w:p w14:paraId="197D9AF8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0.0000</w:t>
            </w:r>
          </w:p>
        </w:tc>
        <w:tc>
          <w:tcPr>
            <w:tcW w:w="972" w:type="dxa"/>
            <w:shd w:val="clear" w:color="auto" w:fill="auto"/>
          </w:tcPr>
          <w:p w14:paraId="02AEE275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0.929</w:t>
            </w:r>
          </w:p>
        </w:tc>
      </w:tr>
      <w:tr w:rsidR="00386D41" w:rsidRPr="00CE122A" w14:paraId="34DC4310" w14:textId="77777777" w:rsidTr="001B26DB">
        <w:tc>
          <w:tcPr>
            <w:tcW w:w="1045" w:type="dxa"/>
            <w:hideMark/>
          </w:tcPr>
          <w:p w14:paraId="45928CF5" w14:textId="77777777" w:rsidR="00386D41" w:rsidRPr="00CE122A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5-class</w:t>
            </w:r>
          </w:p>
        </w:tc>
        <w:tc>
          <w:tcPr>
            <w:tcW w:w="1216" w:type="dxa"/>
          </w:tcPr>
          <w:p w14:paraId="2236638B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-1139.631</w:t>
            </w:r>
          </w:p>
        </w:tc>
        <w:tc>
          <w:tcPr>
            <w:tcW w:w="1406" w:type="dxa"/>
          </w:tcPr>
          <w:p w14:paraId="1B95A02B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0" w:type="dxa"/>
          </w:tcPr>
          <w:p w14:paraId="562E4ED6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2321.262</w:t>
            </w:r>
          </w:p>
        </w:tc>
        <w:tc>
          <w:tcPr>
            <w:tcW w:w="1133" w:type="dxa"/>
          </w:tcPr>
          <w:p w14:paraId="499350F1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2404.551</w:t>
            </w:r>
          </w:p>
        </w:tc>
        <w:tc>
          <w:tcPr>
            <w:tcW w:w="1131" w:type="dxa"/>
          </w:tcPr>
          <w:p w14:paraId="3395084A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2337.919</w:t>
            </w:r>
          </w:p>
        </w:tc>
        <w:tc>
          <w:tcPr>
            <w:tcW w:w="1316" w:type="dxa"/>
          </w:tcPr>
          <w:p w14:paraId="776BD772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0.0400</w:t>
            </w:r>
          </w:p>
        </w:tc>
        <w:tc>
          <w:tcPr>
            <w:tcW w:w="972" w:type="dxa"/>
          </w:tcPr>
          <w:p w14:paraId="7F352513" w14:textId="77777777" w:rsidR="00386D41" w:rsidRPr="00CE122A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0.928</w:t>
            </w:r>
          </w:p>
        </w:tc>
      </w:tr>
    </w:tbl>
    <w:p w14:paraId="7CC0B6AB" w14:textId="636303A5" w:rsidR="00931242" w:rsidRPr="00931242" w:rsidRDefault="00386D41" w:rsidP="00931242">
      <w:pPr>
        <w:rPr>
          <w:rFonts w:ascii="Times New Roman" w:eastAsia="Times New Roman" w:hAnsi="Times New Roman"/>
          <w:lang w:eastAsia="en-GB"/>
        </w:rPr>
      </w:pPr>
      <w:r w:rsidRPr="00CE122A">
        <w:rPr>
          <w:rFonts w:ascii="Arial" w:hAnsi="Arial" w:cs="Arial"/>
          <w:b/>
          <w:sz w:val="22"/>
        </w:rPr>
        <w:t>Supplementary Material 1.</w:t>
      </w:r>
      <w:r w:rsidRPr="00CE122A">
        <w:rPr>
          <w:rFonts w:ascii="Arial" w:hAnsi="Arial" w:cs="Arial"/>
          <w:sz w:val="22"/>
        </w:rPr>
        <w:t xml:space="preserve"> Details of the fit indices of the latent growth mixture modelling of Spherical Equivalent Refractive Error (SER) for the younger cohort, aged 6-16 years.  AIC=Akaike Information Criterion, BIC= Bayesian Information Criterion, ssaBIC= sample </w:t>
      </w:r>
      <w:r w:rsidRPr="00931242">
        <w:rPr>
          <w:rFonts w:ascii="Arial" w:hAnsi="Arial" w:cs="Arial"/>
          <w:sz w:val="22"/>
          <w:szCs w:val="22"/>
        </w:rPr>
        <w:t xml:space="preserve">size-adjusted Bayesian Information Criterion, Boot-LRT= Bootstrap Likelihood Ratio Test. </w:t>
      </w:r>
      <w:r w:rsidR="00931242">
        <w:rPr>
          <w:rFonts w:ascii="Arial" w:hAnsi="Arial" w:cs="Arial"/>
          <w:sz w:val="22"/>
          <w:szCs w:val="22"/>
        </w:rPr>
        <w:t>The best fit for this parameter for this cohort is underlined and in italics.</w:t>
      </w:r>
      <w:r w:rsidRPr="00931242">
        <w:rPr>
          <w:rFonts w:ascii="Arial" w:hAnsi="Arial" w:cs="Arial"/>
          <w:sz w:val="22"/>
          <w:szCs w:val="22"/>
        </w:rPr>
        <w:t xml:space="preserve"> </w:t>
      </w:r>
    </w:p>
    <w:p w14:paraId="4CCDA939" w14:textId="082CB244" w:rsidR="00386D41" w:rsidRPr="00931242" w:rsidRDefault="00386D41" w:rsidP="00931242">
      <w:pPr>
        <w:jc w:val="both"/>
        <w:rPr>
          <w:rFonts w:ascii="Arial" w:hAnsi="Arial" w:cs="Arial"/>
        </w:rPr>
      </w:pP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1045"/>
        <w:gridCol w:w="1216"/>
        <w:gridCol w:w="1406"/>
        <w:gridCol w:w="1107"/>
        <w:gridCol w:w="1156"/>
        <w:gridCol w:w="1115"/>
        <w:gridCol w:w="1332"/>
        <w:gridCol w:w="972"/>
      </w:tblGrid>
      <w:tr w:rsidR="00386D41" w:rsidRPr="00931242" w14:paraId="59729A8F" w14:textId="77777777" w:rsidTr="001B26DB">
        <w:tc>
          <w:tcPr>
            <w:tcW w:w="1045" w:type="dxa"/>
            <w:hideMark/>
          </w:tcPr>
          <w:p w14:paraId="08E1BCF7" w14:textId="77777777" w:rsidR="00386D41" w:rsidRPr="00931242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Model </w:t>
            </w:r>
          </w:p>
        </w:tc>
        <w:tc>
          <w:tcPr>
            <w:tcW w:w="1216" w:type="dxa"/>
            <w:hideMark/>
          </w:tcPr>
          <w:p w14:paraId="571AF2B9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Log Likelihood</w:t>
            </w:r>
          </w:p>
        </w:tc>
        <w:tc>
          <w:tcPr>
            <w:tcW w:w="1406" w:type="dxa"/>
            <w:hideMark/>
          </w:tcPr>
          <w:p w14:paraId="3FDE7661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#parameters</w:t>
            </w:r>
          </w:p>
        </w:tc>
        <w:tc>
          <w:tcPr>
            <w:tcW w:w="1107" w:type="dxa"/>
            <w:hideMark/>
          </w:tcPr>
          <w:p w14:paraId="5470328A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AIC</w:t>
            </w:r>
          </w:p>
        </w:tc>
        <w:tc>
          <w:tcPr>
            <w:tcW w:w="1156" w:type="dxa"/>
            <w:hideMark/>
          </w:tcPr>
          <w:p w14:paraId="6F4FC706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BIC</w:t>
            </w:r>
          </w:p>
        </w:tc>
        <w:tc>
          <w:tcPr>
            <w:tcW w:w="1115" w:type="dxa"/>
            <w:hideMark/>
          </w:tcPr>
          <w:p w14:paraId="62932AC9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SSABIC</w:t>
            </w:r>
          </w:p>
        </w:tc>
        <w:tc>
          <w:tcPr>
            <w:tcW w:w="1332" w:type="dxa"/>
            <w:hideMark/>
          </w:tcPr>
          <w:p w14:paraId="42DD59BB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</w:rPr>
              <w:t>Boot-LRT (</w:t>
            </w:r>
            <w:r w:rsidRPr="00931242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93124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40C82650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</w:rPr>
              <w:t>Entropy</w:t>
            </w:r>
          </w:p>
        </w:tc>
      </w:tr>
      <w:tr w:rsidR="00386D41" w:rsidRPr="00931242" w14:paraId="4AB8879A" w14:textId="77777777" w:rsidTr="001B26DB">
        <w:tc>
          <w:tcPr>
            <w:tcW w:w="1045" w:type="dxa"/>
            <w:hideMark/>
          </w:tcPr>
          <w:p w14:paraId="1CA05570" w14:textId="77777777" w:rsidR="00386D41" w:rsidRPr="00931242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1-class</w:t>
            </w:r>
          </w:p>
        </w:tc>
        <w:tc>
          <w:tcPr>
            <w:tcW w:w="1216" w:type="dxa"/>
            <w:shd w:val="clear" w:color="auto" w:fill="FFFFFF" w:themeFill="background1"/>
          </w:tcPr>
          <w:p w14:paraId="4DFA7C55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-496.981</w:t>
            </w:r>
          </w:p>
        </w:tc>
        <w:tc>
          <w:tcPr>
            <w:tcW w:w="1406" w:type="dxa"/>
            <w:shd w:val="clear" w:color="auto" w:fill="FFFFFF" w:themeFill="background1"/>
          </w:tcPr>
          <w:p w14:paraId="1D80B022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07" w:type="dxa"/>
            <w:shd w:val="clear" w:color="auto" w:fill="FFFFFF" w:themeFill="background1"/>
          </w:tcPr>
          <w:p w14:paraId="6CF1C75D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1011.961</w:t>
            </w:r>
          </w:p>
        </w:tc>
        <w:tc>
          <w:tcPr>
            <w:tcW w:w="1156" w:type="dxa"/>
            <w:shd w:val="clear" w:color="auto" w:fill="FFFFFF" w:themeFill="background1"/>
          </w:tcPr>
          <w:p w14:paraId="127A31C6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1047.657</w:t>
            </w:r>
          </w:p>
        </w:tc>
        <w:tc>
          <w:tcPr>
            <w:tcW w:w="1115" w:type="dxa"/>
            <w:shd w:val="clear" w:color="auto" w:fill="FFFFFF" w:themeFill="background1"/>
          </w:tcPr>
          <w:p w14:paraId="74D43D7C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1019.100</w:t>
            </w:r>
          </w:p>
        </w:tc>
        <w:tc>
          <w:tcPr>
            <w:tcW w:w="1332" w:type="dxa"/>
          </w:tcPr>
          <w:p w14:paraId="0D47C5F8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972" w:type="dxa"/>
          </w:tcPr>
          <w:p w14:paraId="158281C1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386D41" w:rsidRPr="00931242" w14:paraId="7E867F32" w14:textId="77777777" w:rsidTr="00931242">
        <w:tc>
          <w:tcPr>
            <w:tcW w:w="1045" w:type="dxa"/>
            <w:shd w:val="clear" w:color="auto" w:fill="auto"/>
            <w:hideMark/>
          </w:tcPr>
          <w:p w14:paraId="24370B85" w14:textId="77777777" w:rsidR="00386D41" w:rsidRPr="00931242" w:rsidRDefault="00386D41" w:rsidP="00AB3CD2">
            <w:pPr>
              <w:spacing w:line="276" w:lineRule="auto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IE"/>
              </w:rPr>
            </w:pPr>
            <w:r w:rsidRPr="00931242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IE"/>
              </w:rPr>
              <w:t>2-class</w:t>
            </w:r>
          </w:p>
        </w:tc>
        <w:tc>
          <w:tcPr>
            <w:tcW w:w="1216" w:type="dxa"/>
            <w:shd w:val="clear" w:color="auto" w:fill="auto"/>
          </w:tcPr>
          <w:p w14:paraId="6EC1A85B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-458.206</w:t>
            </w:r>
          </w:p>
        </w:tc>
        <w:tc>
          <w:tcPr>
            <w:tcW w:w="1406" w:type="dxa"/>
            <w:shd w:val="clear" w:color="auto" w:fill="auto"/>
          </w:tcPr>
          <w:p w14:paraId="1664B05C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12</w:t>
            </w:r>
          </w:p>
        </w:tc>
        <w:tc>
          <w:tcPr>
            <w:tcW w:w="1107" w:type="dxa"/>
            <w:shd w:val="clear" w:color="auto" w:fill="auto"/>
          </w:tcPr>
          <w:p w14:paraId="2FCE724B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940.412</w:t>
            </w:r>
          </w:p>
        </w:tc>
        <w:tc>
          <w:tcPr>
            <w:tcW w:w="1156" w:type="dxa"/>
            <w:shd w:val="clear" w:color="auto" w:fill="auto"/>
          </w:tcPr>
          <w:p w14:paraId="1E037BEB" w14:textId="2D666233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988.005</w:t>
            </w:r>
          </w:p>
        </w:tc>
        <w:tc>
          <w:tcPr>
            <w:tcW w:w="1115" w:type="dxa"/>
            <w:shd w:val="clear" w:color="auto" w:fill="auto"/>
          </w:tcPr>
          <w:p w14:paraId="06B5A397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949.930</w:t>
            </w:r>
          </w:p>
        </w:tc>
        <w:tc>
          <w:tcPr>
            <w:tcW w:w="1332" w:type="dxa"/>
            <w:shd w:val="clear" w:color="auto" w:fill="auto"/>
          </w:tcPr>
          <w:p w14:paraId="01519AB2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0.0000</w:t>
            </w:r>
          </w:p>
        </w:tc>
        <w:tc>
          <w:tcPr>
            <w:tcW w:w="972" w:type="dxa"/>
            <w:shd w:val="clear" w:color="auto" w:fill="auto"/>
          </w:tcPr>
          <w:p w14:paraId="32A8530A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3124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0.861</w:t>
            </w:r>
          </w:p>
        </w:tc>
      </w:tr>
      <w:tr w:rsidR="00386D41" w:rsidRPr="00931242" w14:paraId="0DB8A108" w14:textId="77777777" w:rsidTr="001B26DB">
        <w:trPr>
          <w:trHeight w:val="70"/>
        </w:trPr>
        <w:tc>
          <w:tcPr>
            <w:tcW w:w="1045" w:type="dxa"/>
            <w:shd w:val="clear" w:color="auto" w:fill="FFFFFF" w:themeFill="background1"/>
            <w:hideMark/>
          </w:tcPr>
          <w:p w14:paraId="08CAA155" w14:textId="77777777" w:rsidR="00386D41" w:rsidRPr="00931242" w:rsidRDefault="00386D41" w:rsidP="00AB3CD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931242">
              <w:rPr>
                <w:rFonts w:ascii="Arial" w:hAnsi="Arial" w:cs="Arial"/>
                <w:b/>
                <w:sz w:val="20"/>
                <w:szCs w:val="20"/>
                <w:lang w:val="en-IE"/>
              </w:rPr>
              <w:t>3-class</w:t>
            </w:r>
          </w:p>
        </w:tc>
        <w:tc>
          <w:tcPr>
            <w:tcW w:w="1216" w:type="dxa"/>
            <w:shd w:val="clear" w:color="auto" w:fill="FFFFFF" w:themeFill="background1"/>
          </w:tcPr>
          <w:p w14:paraId="609BF4FF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-454.521</w:t>
            </w:r>
          </w:p>
        </w:tc>
        <w:tc>
          <w:tcPr>
            <w:tcW w:w="1406" w:type="dxa"/>
            <w:shd w:val="clear" w:color="auto" w:fill="FFFFFF" w:themeFill="background1"/>
          </w:tcPr>
          <w:p w14:paraId="5A12C08A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7" w:type="dxa"/>
            <w:shd w:val="clear" w:color="auto" w:fill="FFFFFF" w:themeFill="background1"/>
          </w:tcPr>
          <w:p w14:paraId="1C71492C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939.042</w:t>
            </w:r>
          </w:p>
        </w:tc>
        <w:tc>
          <w:tcPr>
            <w:tcW w:w="1156" w:type="dxa"/>
            <w:shd w:val="clear" w:color="auto" w:fill="FFFFFF" w:themeFill="background1"/>
          </w:tcPr>
          <w:p w14:paraId="4110EB0F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998.535</w:t>
            </w:r>
          </w:p>
        </w:tc>
        <w:tc>
          <w:tcPr>
            <w:tcW w:w="1115" w:type="dxa"/>
            <w:shd w:val="clear" w:color="auto" w:fill="FFFFFF" w:themeFill="background1"/>
          </w:tcPr>
          <w:p w14:paraId="411682A1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950.941</w:t>
            </w:r>
          </w:p>
        </w:tc>
        <w:tc>
          <w:tcPr>
            <w:tcW w:w="1332" w:type="dxa"/>
            <w:shd w:val="clear" w:color="auto" w:fill="FFFFFF" w:themeFill="background1"/>
          </w:tcPr>
          <w:p w14:paraId="179E2EB6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0.1579</w:t>
            </w:r>
          </w:p>
        </w:tc>
        <w:tc>
          <w:tcPr>
            <w:tcW w:w="972" w:type="dxa"/>
            <w:shd w:val="clear" w:color="auto" w:fill="FFFFFF" w:themeFill="background1"/>
          </w:tcPr>
          <w:p w14:paraId="2A72B5E3" w14:textId="77777777" w:rsidR="00386D41" w:rsidRPr="00931242" w:rsidRDefault="00386D41" w:rsidP="00AB3C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242">
              <w:rPr>
                <w:rFonts w:ascii="Arial" w:hAnsi="Arial" w:cs="Arial"/>
                <w:sz w:val="20"/>
                <w:szCs w:val="20"/>
              </w:rPr>
              <w:t>0.835</w:t>
            </w:r>
          </w:p>
        </w:tc>
      </w:tr>
    </w:tbl>
    <w:p w14:paraId="3C78BB10" w14:textId="6907981A" w:rsidR="00386D41" w:rsidRPr="00CE122A" w:rsidRDefault="00386D41" w:rsidP="00931242">
      <w:pPr>
        <w:rPr>
          <w:rFonts w:ascii="Arial" w:hAnsi="Arial" w:cs="Arial"/>
        </w:rPr>
      </w:pPr>
      <w:r w:rsidRPr="00931242">
        <w:rPr>
          <w:rFonts w:ascii="Arial" w:hAnsi="Arial" w:cs="Arial"/>
          <w:b/>
          <w:sz w:val="22"/>
        </w:rPr>
        <w:t>Supplementary Material 2.</w:t>
      </w:r>
      <w:r w:rsidRPr="00931242">
        <w:rPr>
          <w:rFonts w:ascii="Arial" w:hAnsi="Arial" w:cs="Arial"/>
          <w:sz w:val="22"/>
        </w:rPr>
        <w:t xml:space="preserve"> Details of the fit indices of the latent growth mixture modelling of Axial Length (AL) for the younger cohort, aged 6-16 years.  AIC=Akaike Information Criterion, BIC= Bayesian Information Criterion, ssaBIC= sample size-adjusted Bayesian Information Criterion, Boot-LRT= Bootstrap Likelihood Ratio Test.  </w:t>
      </w:r>
      <w:r w:rsidR="00931242">
        <w:rPr>
          <w:rFonts w:ascii="Arial" w:hAnsi="Arial" w:cs="Arial"/>
          <w:sz w:val="22"/>
          <w:szCs w:val="22"/>
        </w:rPr>
        <w:t xml:space="preserve">The best fit for this parameter for this cohort is underlined and in italics. </w:t>
      </w:r>
    </w:p>
    <w:p w14:paraId="7EAD3A69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56A6DA09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5A0769E7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6976AC91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08C714DD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5878221F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13C1F62D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130DD9F1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156EB1DE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52AA57C8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6BF66E18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67EA71C6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281B97DE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459DD872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53855B1D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3E054F3D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6CBD999F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40BB4706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6BA07822" w14:textId="31CD9A61" w:rsidR="00386D41" w:rsidRDefault="00386D41" w:rsidP="00386D41">
      <w:pPr>
        <w:jc w:val="both"/>
        <w:rPr>
          <w:rFonts w:ascii="Arial" w:hAnsi="Arial" w:cs="Arial"/>
        </w:rPr>
      </w:pPr>
    </w:p>
    <w:p w14:paraId="37A858AD" w14:textId="505EABBB" w:rsidR="00CE122A" w:rsidRDefault="00CE122A" w:rsidP="00386D41">
      <w:pPr>
        <w:jc w:val="both"/>
        <w:rPr>
          <w:rFonts w:ascii="Arial" w:hAnsi="Arial" w:cs="Arial"/>
        </w:rPr>
      </w:pPr>
    </w:p>
    <w:p w14:paraId="5AEEF854" w14:textId="77777777" w:rsidR="00CE122A" w:rsidRPr="00CE122A" w:rsidRDefault="00CE122A" w:rsidP="00386D41">
      <w:pPr>
        <w:jc w:val="both"/>
        <w:rPr>
          <w:rFonts w:ascii="Arial" w:hAnsi="Arial" w:cs="Arial"/>
        </w:rPr>
      </w:pP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1045"/>
        <w:gridCol w:w="1216"/>
        <w:gridCol w:w="1406"/>
        <w:gridCol w:w="1130"/>
        <w:gridCol w:w="1133"/>
        <w:gridCol w:w="1131"/>
        <w:gridCol w:w="1316"/>
        <w:gridCol w:w="972"/>
      </w:tblGrid>
      <w:tr w:rsidR="00386D41" w:rsidRPr="00CE122A" w14:paraId="38671788" w14:textId="77777777" w:rsidTr="001B26DB">
        <w:tc>
          <w:tcPr>
            <w:tcW w:w="1045" w:type="dxa"/>
            <w:hideMark/>
          </w:tcPr>
          <w:p w14:paraId="062DB115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Model </w:t>
            </w:r>
          </w:p>
        </w:tc>
        <w:tc>
          <w:tcPr>
            <w:tcW w:w="1216" w:type="dxa"/>
            <w:hideMark/>
          </w:tcPr>
          <w:p w14:paraId="21EF288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Log Likelihood</w:t>
            </w:r>
          </w:p>
        </w:tc>
        <w:tc>
          <w:tcPr>
            <w:tcW w:w="1406" w:type="dxa"/>
            <w:hideMark/>
          </w:tcPr>
          <w:p w14:paraId="6EF1A75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#parameters</w:t>
            </w:r>
          </w:p>
        </w:tc>
        <w:tc>
          <w:tcPr>
            <w:tcW w:w="1130" w:type="dxa"/>
            <w:hideMark/>
          </w:tcPr>
          <w:p w14:paraId="47ADA39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AIC</w:t>
            </w:r>
          </w:p>
        </w:tc>
        <w:tc>
          <w:tcPr>
            <w:tcW w:w="1133" w:type="dxa"/>
            <w:hideMark/>
          </w:tcPr>
          <w:p w14:paraId="6B6918B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BIC</w:t>
            </w:r>
          </w:p>
        </w:tc>
        <w:tc>
          <w:tcPr>
            <w:tcW w:w="1131" w:type="dxa"/>
            <w:hideMark/>
          </w:tcPr>
          <w:p w14:paraId="39E5136C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SSABIC</w:t>
            </w:r>
          </w:p>
        </w:tc>
        <w:tc>
          <w:tcPr>
            <w:tcW w:w="1316" w:type="dxa"/>
            <w:hideMark/>
          </w:tcPr>
          <w:p w14:paraId="2426D6E6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Boot-LRT (</w:t>
            </w:r>
            <w:r w:rsidRPr="00CE122A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CE12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010F0608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Entropy</w:t>
            </w:r>
          </w:p>
        </w:tc>
      </w:tr>
      <w:tr w:rsidR="00386D41" w:rsidRPr="00CE122A" w14:paraId="6F17A0A2" w14:textId="77777777" w:rsidTr="001B26DB">
        <w:tc>
          <w:tcPr>
            <w:tcW w:w="1045" w:type="dxa"/>
            <w:hideMark/>
          </w:tcPr>
          <w:p w14:paraId="65FE7FD7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1-class</w:t>
            </w:r>
          </w:p>
        </w:tc>
        <w:tc>
          <w:tcPr>
            <w:tcW w:w="1216" w:type="dxa"/>
          </w:tcPr>
          <w:p w14:paraId="6F7B52B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-1853.387</w:t>
            </w:r>
          </w:p>
        </w:tc>
        <w:tc>
          <w:tcPr>
            <w:tcW w:w="1406" w:type="dxa"/>
          </w:tcPr>
          <w:p w14:paraId="6920263E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0" w:type="dxa"/>
          </w:tcPr>
          <w:p w14:paraId="1167FF8E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3724.774</w:t>
            </w:r>
          </w:p>
        </w:tc>
        <w:tc>
          <w:tcPr>
            <w:tcW w:w="1133" w:type="dxa"/>
          </w:tcPr>
          <w:p w14:paraId="5DC394B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3765.163</w:t>
            </w:r>
          </w:p>
        </w:tc>
        <w:tc>
          <w:tcPr>
            <w:tcW w:w="1131" w:type="dxa"/>
          </w:tcPr>
          <w:p w14:paraId="332C4DA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3736.588</w:t>
            </w:r>
          </w:p>
        </w:tc>
        <w:tc>
          <w:tcPr>
            <w:tcW w:w="1316" w:type="dxa"/>
          </w:tcPr>
          <w:p w14:paraId="45ABC31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972" w:type="dxa"/>
          </w:tcPr>
          <w:p w14:paraId="6968A89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386D41" w:rsidRPr="00CE122A" w14:paraId="492A5023" w14:textId="77777777" w:rsidTr="001B26DB">
        <w:tc>
          <w:tcPr>
            <w:tcW w:w="1045" w:type="dxa"/>
            <w:hideMark/>
          </w:tcPr>
          <w:p w14:paraId="787A5E82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2-class</w:t>
            </w:r>
          </w:p>
        </w:tc>
        <w:tc>
          <w:tcPr>
            <w:tcW w:w="1216" w:type="dxa"/>
          </w:tcPr>
          <w:p w14:paraId="0988A49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-1752.642</w:t>
            </w:r>
          </w:p>
        </w:tc>
        <w:tc>
          <w:tcPr>
            <w:tcW w:w="1406" w:type="dxa"/>
          </w:tcPr>
          <w:p w14:paraId="5A1E8546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0" w:type="dxa"/>
          </w:tcPr>
          <w:p w14:paraId="5FEBC185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3529.283</w:t>
            </w:r>
          </w:p>
        </w:tc>
        <w:tc>
          <w:tcPr>
            <w:tcW w:w="1133" w:type="dxa"/>
          </w:tcPr>
          <w:p w14:paraId="726BE52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3583.136</w:t>
            </w:r>
          </w:p>
        </w:tc>
        <w:tc>
          <w:tcPr>
            <w:tcW w:w="1131" w:type="dxa"/>
          </w:tcPr>
          <w:p w14:paraId="3043013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3545.035</w:t>
            </w:r>
          </w:p>
        </w:tc>
        <w:tc>
          <w:tcPr>
            <w:tcW w:w="1316" w:type="dxa"/>
          </w:tcPr>
          <w:p w14:paraId="1592016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972" w:type="dxa"/>
          </w:tcPr>
          <w:p w14:paraId="1D4DB52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0.969</w:t>
            </w:r>
          </w:p>
        </w:tc>
      </w:tr>
      <w:tr w:rsidR="00386D41" w:rsidRPr="00CE122A" w14:paraId="59A5022B" w14:textId="77777777" w:rsidTr="001B26DB">
        <w:tc>
          <w:tcPr>
            <w:tcW w:w="1045" w:type="dxa"/>
            <w:hideMark/>
          </w:tcPr>
          <w:p w14:paraId="77511B70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3-class</w:t>
            </w:r>
          </w:p>
        </w:tc>
        <w:tc>
          <w:tcPr>
            <w:tcW w:w="1216" w:type="dxa"/>
          </w:tcPr>
          <w:p w14:paraId="7D9697E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-1688.135</w:t>
            </w:r>
          </w:p>
        </w:tc>
        <w:tc>
          <w:tcPr>
            <w:tcW w:w="1406" w:type="dxa"/>
          </w:tcPr>
          <w:p w14:paraId="154DD79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0" w:type="dxa"/>
          </w:tcPr>
          <w:p w14:paraId="665402D5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3406.270</w:t>
            </w:r>
          </w:p>
        </w:tc>
        <w:tc>
          <w:tcPr>
            <w:tcW w:w="1133" w:type="dxa"/>
          </w:tcPr>
          <w:p w14:paraId="3FFD9CD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3473.585</w:t>
            </w:r>
          </w:p>
        </w:tc>
        <w:tc>
          <w:tcPr>
            <w:tcW w:w="1131" w:type="dxa"/>
          </w:tcPr>
          <w:p w14:paraId="7F75C5EE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3425.960</w:t>
            </w:r>
          </w:p>
        </w:tc>
        <w:tc>
          <w:tcPr>
            <w:tcW w:w="1316" w:type="dxa"/>
          </w:tcPr>
          <w:p w14:paraId="64372AA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972" w:type="dxa"/>
          </w:tcPr>
          <w:p w14:paraId="336C37C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0.967</w:t>
            </w:r>
          </w:p>
        </w:tc>
      </w:tr>
      <w:tr w:rsidR="00386D41" w:rsidRPr="00CE122A" w14:paraId="00E595E8" w14:textId="77777777" w:rsidTr="001B26DB">
        <w:tc>
          <w:tcPr>
            <w:tcW w:w="1045" w:type="dxa"/>
            <w:hideMark/>
          </w:tcPr>
          <w:p w14:paraId="2A5117E5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lastRenderedPageBreak/>
              <w:t>4-class</w:t>
            </w:r>
          </w:p>
        </w:tc>
        <w:tc>
          <w:tcPr>
            <w:tcW w:w="1216" w:type="dxa"/>
          </w:tcPr>
          <w:p w14:paraId="040E71BB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-1653.567</w:t>
            </w:r>
          </w:p>
        </w:tc>
        <w:tc>
          <w:tcPr>
            <w:tcW w:w="1406" w:type="dxa"/>
          </w:tcPr>
          <w:p w14:paraId="392DB5A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0" w:type="dxa"/>
          </w:tcPr>
          <w:p w14:paraId="299D98C9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3343.133</w:t>
            </w:r>
          </w:p>
        </w:tc>
        <w:tc>
          <w:tcPr>
            <w:tcW w:w="1133" w:type="dxa"/>
          </w:tcPr>
          <w:p w14:paraId="1DFB32C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3423.912</w:t>
            </w:r>
          </w:p>
        </w:tc>
        <w:tc>
          <w:tcPr>
            <w:tcW w:w="1131" w:type="dxa"/>
          </w:tcPr>
          <w:p w14:paraId="48D8F63B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3366.761</w:t>
            </w:r>
          </w:p>
        </w:tc>
        <w:tc>
          <w:tcPr>
            <w:tcW w:w="1316" w:type="dxa"/>
          </w:tcPr>
          <w:p w14:paraId="466B16C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972" w:type="dxa"/>
          </w:tcPr>
          <w:p w14:paraId="1555352C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0.970</w:t>
            </w:r>
          </w:p>
        </w:tc>
      </w:tr>
      <w:tr w:rsidR="00386D41" w:rsidRPr="00CE122A" w14:paraId="55DCBB14" w14:textId="77777777" w:rsidTr="001B26DB">
        <w:tc>
          <w:tcPr>
            <w:tcW w:w="1045" w:type="dxa"/>
            <w:shd w:val="clear" w:color="auto" w:fill="BFBFBF" w:themeFill="background1" w:themeFillShade="BF"/>
            <w:hideMark/>
          </w:tcPr>
          <w:p w14:paraId="02B48C3F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5-class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637511B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-1639.607</w:t>
            </w:r>
          </w:p>
        </w:tc>
        <w:tc>
          <w:tcPr>
            <w:tcW w:w="1406" w:type="dxa"/>
            <w:shd w:val="clear" w:color="auto" w:fill="BFBFBF" w:themeFill="background1" w:themeFillShade="BF"/>
          </w:tcPr>
          <w:p w14:paraId="1D36AEF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55E29AB6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3321.213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71560A5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3415.455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0CD682D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3348.779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14:paraId="1C67566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972" w:type="dxa"/>
            <w:shd w:val="clear" w:color="auto" w:fill="BFBFBF" w:themeFill="background1" w:themeFillShade="BF"/>
          </w:tcPr>
          <w:p w14:paraId="436A08B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0.935</w:t>
            </w:r>
          </w:p>
        </w:tc>
      </w:tr>
      <w:tr w:rsidR="00386D41" w:rsidRPr="00CE122A" w14:paraId="7D222F9B" w14:textId="77777777" w:rsidTr="001B26DB">
        <w:tc>
          <w:tcPr>
            <w:tcW w:w="1045" w:type="dxa"/>
            <w:hideMark/>
          </w:tcPr>
          <w:p w14:paraId="1001D85E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6-class</w:t>
            </w:r>
          </w:p>
        </w:tc>
        <w:tc>
          <w:tcPr>
            <w:tcW w:w="1216" w:type="dxa"/>
          </w:tcPr>
          <w:p w14:paraId="31D6496B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-1626.298</w:t>
            </w:r>
          </w:p>
        </w:tc>
        <w:tc>
          <w:tcPr>
            <w:tcW w:w="1406" w:type="dxa"/>
          </w:tcPr>
          <w:p w14:paraId="04CB5B5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0" w:type="dxa"/>
          </w:tcPr>
          <w:p w14:paraId="087C382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3300.596</w:t>
            </w:r>
          </w:p>
        </w:tc>
        <w:tc>
          <w:tcPr>
            <w:tcW w:w="1133" w:type="dxa"/>
          </w:tcPr>
          <w:p w14:paraId="208218D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3408.301</w:t>
            </w:r>
          </w:p>
        </w:tc>
        <w:tc>
          <w:tcPr>
            <w:tcW w:w="1131" w:type="dxa"/>
          </w:tcPr>
          <w:p w14:paraId="39FEC0B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3332.100</w:t>
            </w:r>
          </w:p>
        </w:tc>
        <w:tc>
          <w:tcPr>
            <w:tcW w:w="1316" w:type="dxa"/>
          </w:tcPr>
          <w:p w14:paraId="7D336465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972" w:type="dxa"/>
          </w:tcPr>
          <w:p w14:paraId="379F80E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0.937</w:t>
            </w:r>
          </w:p>
        </w:tc>
      </w:tr>
    </w:tbl>
    <w:p w14:paraId="238944E5" w14:textId="77777777" w:rsidR="00386D41" w:rsidRPr="00CE122A" w:rsidRDefault="00386D41" w:rsidP="00386D41">
      <w:pPr>
        <w:jc w:val="both"/>
        <w:rPr>
          <w:rFonts w:ascii="Arial" w:hAnsi="Arial" w:cs="Arial"/>
          <w:sz w:val="22"/>
        </w:rPr>
      </w:pPr>
      <w:r w:rsidRPr="00CE122A">
        <w:rPr>
          <w:rFonts w:ascii="Arial" w:hAnsi="Arial" w:cs="Arial"/>
          <w:b/>
          <w:sz w:val="22"/>
        </w:rPr>
        <w:t>Supplementary Material 3</w:t>
      </w:r>
      <w:r w:rsidRPr="00CE122A">
        <w:rPr>
          <w:rFonts w:ascii="Arial" w:hAnsi="Arial" w:cs="Arial"/>
          <w:sz w:val="22"/>
        </w:rPr>
        <w:t>. Details of the fit indices of the latent growth mixture modelling of Axial Length (AL) for the older cohort, aged 12-22 years.  AIC=Akaike Information Criterion, BIC= Bayesian Information Criterion, ssaBIC= sample size-adjusted Bayesian Information Criterion, Boot-LRT= Bootstrap Likelihood Ratio Test.  The grey shaded section indicates the best fit for this parameter for this cohort.</w:t>
      </w:r>
    </w:p>
    <w:p w14:paraId="6424DB22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p w14:paraId="74F78E4D" w14:textId="77777777" w:rsidR="00386D41" w:rsidRPr="00CE122A" w:rsidRDefault="00386D41" w:rsidP="00386D41">
      <w:pPr>
        <w:jc w:val="both"/>
        <w:rPr>
          <w:rFonts w:ascii="Arial" w:hAnsi="Arial" w:cs="Arial"/>
        </w:rPr>
      </w:pP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1045"/>
        <w:gridCol w:w="1216"/>
        <w:gridCol w:w="1406"/>
        <w:gridCol w:w="1130"/>
        <w:gridCol w:w="1133"/>
        <w:gridCol w:w="1131"/>
        <w:gridCol w:w="1316"/>
        <w:gridCol w:w="972"/>
      </w:tblGrid>
      <w:tr w:rsidR="00386D41" w:rsidRPr="00CE122A" w14:paraId="1DA860BB" w14:textId="77777777" w:rsidTr="001B26DB">
        <w:tc>
          <w:tcPr>
            <w:tcW w:w="1045" w:type="dxa"/>
            <w:hideMark/>
          </w:tcPr>
          <w:p w14:paraId="581B0FD7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Model </w:t>
            </w:r>
          </w:p>
        </w:tc>
        <w:tc>
          <w:tcPr>
            <w:tcW w:w="1216" w:type="dxa"/>
            <w:hideMark/>
          </w:tcPr>
          <w:p w14:paraId="213B8C4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Log Likelihood</w:t>
            </w:r>
          </w:p>
        </w:tc>
        <w:tc>
          <w:tcPr>
            <w:tcW w:w="1406" w:type="dxa"/>
            <w:hideMark/>
          </w:tcPr>
          <w:p w14:paraId="0481BCE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#parameters</w:t>
            </w:r>
          </w:p>
        </w:tc>
        <w:tc>
          <w:tcPr>
            <w:tcW w:w="1130" w:type="dxa"/>
            <w:shd w:val="clear" w:color="auto" w:fill="auto"/>
            <w:hideMark/>
          </w:tcPr>
          <w:p w14:paraId="0039222C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AIC</w:t>
            </w:r>
          </w:p>
        </w:tc>
        <w:tc>
          <w:tcPr>
            <w:tcW w:w="1133" w:type="dxa"/>
            <w:shd w:val="clear" w:color="auto" w:fill="auto"/>
            <w:hideMark/>
          </w:tcPr>
          <w:p w14:paraId="2AE0983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BIC</w:t>
            </w:r>
          </w:p>
        </w:tc>
        <w:tc>
          <w:tcPr>
            <w:tcW w:w="1131" w:type="dxa"/>
            <w:shd w:val="clear" w:color="auto" w:fill="auto"/>
            <w:hideMark/>
          </w:tcPr>
          <w:p w14:paraId="053BA86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SSABIC</w:t>
            </w:r>
          </w:p>
        </w:tc>
        <w:tc>
          <w:tcPr>
            <w:tcW w:w="1316" w:type="dxa"/>
            <w:hideMark/>
          </w:tcPr>
          <w:p w14:paraId="5CB96C4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Boot-LRT (</w:t>
            </w:r>
            <w:r w:rsidRPr="00CE122A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CE12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507B1A2F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</w:rPr>
              <w:t>Entropy</w:t>
            </w:r>
          </w:p>
        </w:tc>
      </w:tr>
      <w:tr w:rsidR="00386D41" w:rsidRPr="00CE122A" w14:paraId="7BF63714" w14:textId="77777777" w:rsidTr="001B26DB">
        <w:tc>
          <w:tcPr>
            <w:tcW w:w="1045" w:type="dxa"/>
            <w:shd w:val="clear" w:color="auto" w:fill="FFFFFF" w:themeFill="background1"/>
            <w:hideMark/>
          </w:tcPr>
          <w:p w14:paraId="5F93AFBD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1-class</w:t>
            </w:r>
          </w:p>
        </w:tc>
        <w:tc>
          <w:tcPr>
            <w:tcW w:w="1216" w:type="dxa"/>
            <w:shd w:val="clear" w:color="auto" w:fill="FFFFFF" w:themeFill="background1"/>
          </w:tcPr>
          <w:p w14:paraId="3FC9BC4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-543.692</w:t>
            </w:r>
          </w:p>
        </w:tc>
        <w:tc>
          <w:tcPr>
            <w:tcW w:w="1406" w:type="dxa"/>
            <w:shd w:val="clear" w:color="auto" w:fill="FFFFFF" w:themeFill="background1"/>
          </w:tcPr>
          <w:p w14:paraId="3948C8BC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0" w:type="dxa"/>
            <w:shd w:val="clear" w:color="auto" w:fill="FFFFFF" w:themeFill="background1"/>
          </w:tcPr>
          <w:p w14:paraId="38499F1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1105.384</w:t>
            </w:r>
          </w:p>
        </w:tc>
        <w:tc>
          <w:tcPr>
            <w:tcW w:w="1133" w:type="dxa"/>
            <w:shd w:val="clear" w:color="auto" w:fill="FFFFFF" w:themeFill="background1"/>
          </w:tcPr>
          <w:p w14:paraId="7B68806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1145.759</w:t>
            </w:r>
          </w:p>
        </w:tc>
        <w:tc>
          <w:tcPr>
            <w:tcW w:w="1131" w:type="dxa"/>
            <w:shd w:val="clear" w:color="auto" w:fill="FFFFFF" w:themeFill="background1"/>
          </w:tcPr>
          <w:p w14:paraId="7311F95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1117.184</w:t>
            </w:r>
          </w:p>
        </w:tc>
        <w:tc>
          <w:tcPr>
            <w:tcW w:w="1316" w:type="dxa"/>
          </w:tcPr>
          <w:p w14:paraId="13970188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972" w:type="dxa"/>
          </w:tcPr>
          <w:p w14:paraId="2322752E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386D41" w:rsidRPr="00CE122A" w14:paraId="2BF07FBA" w14:textId="77777777" w:rsidTr="001B26DB">
        <w:tc>
          <w:tcPr>
            <w:tcW w:w="1045" w:type="dxa"/>
            <w:hideMark/>
          </w:tcPr>
          <w:p w14:paraId="2FAC0482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2-class</w:t>
            </w:r>
          </w:p>
        </w:tc>
        <w:tc>
          <w:tcPr>
            <w:tcW w:w="1216" w:type="dxa"/>
          </w:tcPr>
          <w:p w14:paraId="7535CE0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-497.785</w:t>
            </w:r>
          </w:p>
        </w:tc>
        <w:tc>
          <w:tcPr>
            <w:tcW w:w="1406" w:type="dxa"/>
          </w:tcPr>
          <w:p w14:paraId="2C2D1A5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0" w:type="dxa"/>
          </w:tcPr>
          <w:p w14:paraId="5957450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1019.570</w:t>
            </w:r>
          </w:p>
        </w:tc>
        <w:tc>
          <w:tcPr>
            <w:tcW w:w="1133" w:type="dxa"/>
          </w:tcPr>
          <w:p w14:paraId="03FF1E5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1073.404</w:t>
            </w:r>
          </w:p>
        </w:tc>
        <w:tc>
          <w:tcPr>
            <w:tcW w:w="1131" w:type="dxa"/>
          </w:tcPr>
          <w:p w14:paraId="6D3AD2EE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1035.303</w:t>
            </w:r>
          </w:p>
        </w:tc>
        <w:tc>
          <w:tcPr>
            <w:tcW w:w="1316" w:type="dxa"/>
          </w:tcPr>
          <w:p w14:paraId="04BAD592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972" w:type="dxa"/>
          </w:tcPr>
          <w:p w14:paraId="0EA0051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0.871</w:t>
            </w:r>
          </w:p>
        </w:tc>
      </w:tr>
      <w:tr w:rsidR="00386D41" w:rsidRPr="00CE122A" w14:paraId="2E639B42" w14:textId="77777777" w:rsidTr="001B26DB">
        <w:tc>
          <w:tcPr>
            <w:tcW w:w="1045" w:type="dxa"/>
            <w:hideMark/>
          </w:tcPr>
          <w:p w14:paraId="4460CEC6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3-class</w:t>
            </w:r>
          </w:p>
        </w:tc>
        <w:tc>
          <w:tcPr>
            <w:tcW w:w="1216" w:type="dxa"/>
          </w:tcPr>
          <w:p w14:paraId="50E9515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-491.591</w:t>
            </w:r>
          </w:p>
        </w:tc>
        <w:tc>
          <w:tcPr>
            <w:tcW w:w="1406" w:type="dxa"/>
          </w:tcPr>
          <w:p w14:paraId="21E2D83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0" w:type="dxa"/>
          </w:tcPr>
          <w:p w14:paraId="168D8CC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1013.181</w:t>
            </w:r>
          </w:p>
        </w:tc>
        <w:tc>
          <w:tcPr>
            <w:tcW w:w="1133" w:type="dxa"/>
          </w:tcPr>
          <w:p w14:paraId="4F5D624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1080.474</w:t>
            </w:r>
          </w:p>
        </w:tc>
        <w:tc>
          <w:tcPr>
            <w:tcW w:w="1131" w:type="dxa"/>
          </w:tcPr>
          <w:p w14:paraId="4C8F8D3D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1032.849</w:t>
            </w:r>
          </w:p>
        </w:tc>
        <w:tc>
          <w:tcPr>
            <w:tcW w:w="1316" w:type="dxa"/>
          </w:tcPr>
          <w:p w14:paraId="3A2A4264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0.0128</w:t>
            </w:r>
          </w:p>
        </w:tc>
        <w:tc>
          <w:tcPr>
            <w:tcW w:w="972" w:type="dxa"/>
          </w:tcPr>
          <w:p w14:paraId="0241B905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0.871</w:t>
            </w:r>
          </w:p>
        </w:tc>
      </w:tr>
      <w:tr w:rsidR="00386D41" w:rsidRPr="00CE122A" w14:paraId="4B946DF8" w14:textId="77777777" w:rsidTr="001B26DB">
        <w:tc>
          <w:tcPr>
            <w:tcW w:w="1045" w:type="dxa"/>
            <w:shd w:val="clear" w:color="auto" w:fill="BFBFBF" w:themeFill="background1" w:themeFillShade="BF"/>
            <w:hideMark/>
          </w:tcPr>
          <w:p w14:paraId="3E47ED6C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4-class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686C2CC9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-485.118</w:t>
            </w:r>
          </w:p>
        </w:tc>
        <w:tc>
          <w:tcPr>
            <w:tcW w:w="1406" w:type="dxa"/>
            <w:shd w:val="clear" w:color="auto" w:fill="BFBFBF" w:themeFill="background1" w:themeFillShade="BF"/>
          </w:tcPr>
          <w:p w14:paraId="18FF1215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0C657B29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1006.236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2C328AF8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1086.987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2A0A12FA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1029.836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14:paraId="5F86D437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0.0128</w:t>
            </w:r>
          </w:p>
        </w:tc>
        <w:tc>
          <w:tcPr>
            <w:tcW w:w="972" w:type="dxa"/>
            <w:shd w:val="clear" w:color="auto" w:fill="BFBFBF" w:themeFill="background1" w:themeFillShade="BF"/>
          </w:tcPr>
          <w:p w14:paraId="5288223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0.871</w:t>
            </w:r>
          </w:p>
        </w:tc>
      </w:tr>
      <w:tr w:rsidR="00386D41" w:rsidRPr="00CE122A" w14:paraId="047AA1CB" w14:textId="77777777" w:rsidTr="001B26DB">
        <w:tc>
          <w:tcPr>
            <w:tcW w:w="1045" w:type="dxa"/>
            <w:hideMark/>
          </w:tcPr>
          <w:p w14:paraId="184B9777" w14:textId="77777777" w:rsidR="00386D41" w:rsidRPr="00CE122A" w:rsidRDefault="00386D41" w:rsidP="001B26DB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r w:rsidRPr="00CE122A">
              <w:rPr>
                <w:rFonts w:ascii="Arial" w:hAnsi="Arial" w:cs="Arial"/>
                <w:b/>
                <w:sz w:val="20"/>
                <w:szCs w:val="20"/>
                <w:lang w:val="en-IE"/>
              </w:rPr>
              <w:t>5-class</w:t>
            </w:r>
          </w:p>
        </w:tc>
        <w:tc>
          <w:tcPr>
            <w:tcW w:w="1216" w:type="dxa"/>
          </w:tcPr>
          <w:p w14:paraId="26FE77F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-481.743</w:t>
            </w:r>
          </w:p>
        </w:tc>
        <w:tc>
          <w:tcPr>
            <w:tcW w:w="1406" w:type="dxa"/>
          </w:tcPr>
          <w:p w14:paraId="0B4C0583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0" w:type="dxa"/>
          </w:tcPr>
          <w:p w14:paraId="7E7C2576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1005.487</w:t>
            </w:r>
          </w:p>
        </w:tc>
        <w:tc>
          <w:tcPr>
            <w:tcW w:w="1133" w:type="dxa"/>
          </w:tcPr>
          <w:p w14:paraId="7BB62CE1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1099.696</w:t>
            </w:r>
          </w:p>
        </w:tc>
        <w:tc>
          <w:tcPr>
            <w:tcW w:w="1131" w:type="dxa"/>
          </w:tcPr>
          <w:p w14:paraId="16E4AE4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1033.021</w:t>
            </w:r>
          </w:p>
        </w:tc>
        <w:tc>
          <w:tcPr>
            <w:tcW w:w="1316" w:type="dxa"/>
          </w:tcPr>
          <w:p w14:paraId="5DFD8020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0.1111</w:t>
            </w:r>
          </w:p>
        </w:tc>
        <w:tc>
          <w:tcPr>
            <w:tcW w:w="972" w:type="dxa"/>
          </w:tcPr>
          <w:p w14:paraId="61293246" w14:textId="77777777" w:rsidR="00386D41" w:rsidRPr="00CE122A" w:rsidRDefault="00386D41" w:rsidP="001B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22A">
              <w:rPr>
                <w:rFonts w:ascii="Arial" w:hAnsi="Arial" w:cs="Arial"/>
                <w:sz w:val="20"/>
                <w:szCs w:val="20"/>
              </w:rPr>
              <w:t>0.793</w:t>
            </w:r>
          </w:p>
        </w:tc>
      </w:tr>
    </w:tbl>
    <w:p w14:paraId="6F9D8D9C" w14:textId="77777777" w:rsidR="00386D41" w:rsidRPr="00CE122A" w:rsidRDefault="00386D41" w:rsidP="00386D41">
      <w:pPr>
        <w:jc w:val="both"/>
        <w:rPr>
          <w:rFonts w:ascii="Arial" w:hAnsi="Arial" w:cs="Arial"/>
          <w:sz w:val="22"/>
        </w:rPr>
      </w:pPr>
      <w:r w:rsidRPr="00CE122A">
        <w:rPr>
          <w:rFonts w:ascii="Arial" w:hAnsi="Arial" w:cs="Arial"/>
          <w:b/>
          <w:sz w:val="22"/>
        </w:rPr>
        <w:t>Supplementary Material 4</w:t>
      </w:r>
      <w:r w:rsidRPr="00CE122A">
        <w:rPr>
          <w:rFonts w:ascii="Arial" w:hAnsi="Arial" w:cs="Arial"/>
          <w:sz w:val="22"/>
        </w:rPr>
        <w:t xml:space="preserve">. Details of the fit indices of the latent growth mixture modelling of Axial Length (AL) for the older cohort, aged 12-22 years.  AIC=Akaike Information Criterion, BIC= Bayesian Information Criterion, ssaBIC= sample size-adjusted Bayesian Information Criterion, Boot-LRT= Bootstrap Likelihood Ratio Test.  The grey shaded section indicates the best fit for this parameter for this cohort. </w:t>
      </w:r>
    </w:p>
    <w:p w14:paraId="0A4E819A" w14:textId="77777777" w:rsidR="00CA5AE3" w:rsidRPr="00CE122A" w:rsidRDefault="00CA5AE3">
      <w:pPr>
        <w:rPr>
          <w:rFonts w:ascii="Arial" w:hAnsi="Arial" w:cs="Arial"/>
        </w:rPr>
      </w:pPr>
    </w:p>
    <w:sectPr w:rsidR="00CA5AE3" w:rsidRPr="00CE1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1"/>
    <w:rsid w:val="00315436"/>
    <w:rsid w:val="00386D41"/>
    <w:rsid w:val="007017AB"/>
    <w:rsid w:val="00844617"/>
    <w:rsid w:val="008A6F76"/>
    <w:rsid w:val="008A7D1B"/>
    <w:rsid w:val="008E2152"/>
    <w:rsid w:val="00931242"/>
    <w:rsid w:val="00AB3CD2"/>
    <w:rsid w:val="00CA5AE3"/>
    <w:rsid w:val="00C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DE87E"/>
  <w15:chartTrackingRefBased/>
  <w15:docId w15:val="{4C2B02A3-3E68-4AD1-BA55-4B9E1E60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D41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5F8B70477974996F6292535039411" ma:contentTypeVersion="7" ma:contentTypeDescription="Create a new document." ma:contentTypeScope="" ma:versionID="58b2e8f7a0a895e95f28ea4c51f0052b">
  <xsd:schema xmlns:xsd="http://www.w3.org/2001/XMLSchema" xmlns:xs="http://www.w3.org/2001/XMLSchema" xmlns:p="http://schemas.microsoft.com/office/2006/metadata/properties" xmlns:ns3="2f82f270-2f06-4e62-85b5-32f01df3f059" xmlns:ns4="8456caeb-749b-4bac-8366-8037de1817e3" targetNamespace="http://schemas.microsoft.com/office/2006/metadata/properties" ma:root="true" ma:fieldsID="d968af1f316aade0e907a42cefd47d8f" ns3:_="" ns4:_="">
    <xsd:import namespace="2f82f270-2f06-4e62-85b5-32f01df3f059"/>
    <xsd:import namespace="8456caeb-749b-4bac-8366-8037de1817e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2f270-2f06-4e62-85b5-32f01df3f0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6caeb-749b-4bac-8366-8037de181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A5D32-B0CA-40F9-B530-F358381DF3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0FC49D-14D6-40B5-8618-119713348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90693-8CB3-4CDF-89E2-8A4F2D1AF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2f270-2f06-4e62-85b5-32f01df3f059"/>
    <ds:schemaRef ds:uri="8456caeb-749b-4bac-8366-8037de181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3087</Characters>
  <Application>Microsoft Office Word</Application>
  <DocSecurity>0</DocSecurity>
  <Lines>70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Ulster University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McCullough, Sara</dc:creator>
  <cp:keywords/>
  <dc:description/>
  <cp:lastModifiedBy>Saunders, Kathryn</cp:lastModifiedBy>
  <cp:revision>5</cp:revision>
  <dcterms:created xsi:type="dcterms:W3CDTF">2020-09-09T14:03:00Z</dcterms:created>
  <dcterms:modified xsi:type="dcterms:W3CDTF">2020-09-09T14:08:00Z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0x0101002A65F8B70477974996F6292535039411</vt:lpwstr>
  </property>
</Properties>
</file>