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2F" w:rsidRDefault="00727D2F" w:rsidP="00727D2F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F73FF">
        <w:rPr>
          <w:rFonts w:asciiTheme="majorBidi" w:hAnsiTheme="majorBidi" w:cstheme="majorBidi"/>
          <w:b/>
          <w:bCs/>
          <w:sz w:val="40"/>
          <w:szCs w:val="40"/>
        </w:rPr>
        <w:t>Physi</w:t>
      </w:r>
      <w:r>
        <w:rPr>
          <w:rFonts w:asciiTheme="majorBidi" w:hAnsiTheme="majorBidi" w:cstheme="majorBidi"/>
          <w:b/>
          <w:bCs/>
          <w:sz w:val="40"/>
          <w:szCs w:val="40"/>
        </w:rPr>
        <w:t>ologic Blood Flow is Turbulent</w:t>
      </w:r>
    </w:p>
    <w:p w:rsidR="00727D2F" w:rsidRPr="00727D2F" w:rsidRDefault="00727D2F" w:rsidP="00727D2F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</w:rPr>
      </w:pPr>
      <w:r w:rsidRPr="00727D2F">
        <w:rPr>
          <w:rFonts w:asciiTheme="majorBidi" w:hAnsiTheme="majorBidi" w:cstheme="majorBidi"/>
          <w:b/>
          <w:bCs/>
          <w:color w:val="C00000"/>
          <w:sz w:val="36"/>
          <w:szCs w:val="36"/>
        </w:rPr>
        <w:t>Supplementary Materials</w:t>
      </w:r>
    </w:p>
    <w:p w:rsidR="00727D2F" w:rsidRPr="005F73FF" w:rsidRDefault="00727D2F" w:rsidP="00727D2F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vertAlign w:val="superscript"/>
        </w:rPr>
      </w:pPr>
      <w:r w:rsidRPr="005F73FF">
        <w:rPr>
          <w:rFonts w:asciiTheme="majorBidi" w:hAnsiTheme="majorBidi" w:cstheme="majorBidi"/>
          <w:sz w:val="24"/>
          <w:szCs w:val="24"/>
        </w:rPr>
        <w:t>Khalid M. Saqr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1*</w:t>
      </w:r>
      <w:r w:rsidRPr="005F73FF">
        <w:rPr>
          <w:rFonts w:asciiTheme="majorBidi" w:hAnsiTheme="majorBidi" w:cstheme="majorBidi"/>
          <w:sz w:val="24"/>
          <w:szCs w:val="24"/>
        </w:rPr>
        <w:t>, Simon Tupin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F73F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F73FF">
        <w:rPr>
          <w:rFonts w:asciiTheme="majorBidi" w:hAnsiTheme="majorBidi" w:cstheme="majorBidi"/>
          <w:sz w:val="24"/>
          <w:szCs w:val="24"/>
        </w:rPr>
        <w:t>Sherif</w:t>
      </w:r>
      <w:proofErr w:type="spellEnd"/>
      <w:r w:rsidRPr="005F73FF">
        <w:rPr>
          <w:rFonts w:asciiTheme="majorBidi" w:hAnsiTheme="majorBidi" w:cstheme="majorBidi"/>
          <w:sz w:val="24"/>
          <w:szCs w:val="24"/>
        </w:rPr>
        <w:t xml:space="preserve"> Rashad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2</w:t>
      </w:r>
      <w:proofErr w:type="gramStart"/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,3</w:t>
      </w:r>
      <w:proofErr w:type="gramEnd"/>
      <w:r w:rsidRPr="005F73F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F73FF">
        <w:rPr>
          <w:rFonts w:asciiTheme="majorBidi" w:hAnsiTheme="majorBidi" w:cstheme="majorBidi"/>
          <w:sz w:val="24"/>
          <w:szCs w:val="24"/>
        </w:rPr>
        <w:t>Toshiki</w:t>
      </w:r>
      <w:proofErr w:type="spellEnd"/>
      <w:r w:rsidRPr="005F73FF">
        <w:rPr>
          <w:rFonts w:asciiTheme="majorBidi" w:hAnsiTheme="majorBidi" w:cstheme="majorBidi"/>
          <w:sz w:val="24"/>
          <w:szCs w:val="24"/>
        </w:rPr>
        <w:t xml:space="preserve"> Endo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5F73FF">
        <w:rPr>
          <w:rFonts w:asciiTheme="majorBidi" w:hAnsiTheme="majorBidi" w:cstheme="majorBidi"/>
          <w:sz w:val="24"/>
          <w:szCs w:val="24"/>
        </w:rPr>
        <w:t xml:space="preserve">, </w:t>
      </w:r>
      <w:bookmarkStart w:id="0" w:name="OLE_LINK1"/>
      <w:proofErr w:type="spellStart"/>
      <w:r w:rsidRPr="005F73FF">
        <w:rPr>
          <w:rFonts w:asciiTheme="majorBidi" w:hAnsiTheme="majorBidi" w:cstheme="majorBidi"/>
          <w:sz w:val="24"/>
          <w:szCs w:val="24"/>
        </w:rPr>
        <w:t>Kuniyasu</w:t>
      </w:r>
      <w:proofErr w:type="spellEnd"/>
      <w:r w:rsidRPr="005F73FF">
        <w:rPr>
          <w:rFonts w:asciiTheme="majorBidi" w:hAnsiTheme="majorBidi" w:cstheme="majorBidi"/>
          <w:sz w:val="24"/>
          <w:szCs w:val="24"/>
        </w:rPr>
        <w:t xml:space="preserve"> </w:t>
      </w:r>
      <w:bookmarkEnd w:id="0"/>
      <w:r w:rsidRPr="005F73FF">
        <w:rPr>
          <w:rFonts w:asciiTheme="majorBidi" w:hAnsiTheme="majorBidi" w:cstheme="majorBidi"/>
          <w:sz w:val="24"/>
          <w:szCs w:val="24"/>
        </w:rPr>
        <w:t>Niizuma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2,3,4</w:t>
      </w:r>
      <w:r w:rsidRPr="005F73F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F73FF">
        <w:rPr>
          <w:rFonts w:asciiTheme="majorBidi" w:hAnsiTheme="majorBidi" w:cstheme="majorBidi"/>
          <w:sz w:val="24"/>
          <w:szCs w:val="24"/>
        </w:rPr>
        <w:t>Teiji</w:t>
      </w:r>
      <w:proofErr w:type="spellEnd"/>
      <w:r w:rsidRPr="005F73FF">
        <w:rPr>
          <w:rFonts w:asciiTheme="majorBidi" w:hAnsiTheme="majorBidi" w:cstheme="majorBidi"/>
          <w:sz w:val="24"/>
          <w:szCs w:val="24"/>
        </w:rPr>
        <w:t xml:space="preserve"> Tominaga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5F73FF">
        <w:rPr>
          <w:rFonts w:asciiTheme="majorBidi" w:hAnsiTheme="majorBidi" w:cstheme="majorBidi"/>
          <w:sz w:val="24"/>
          <w:szCs w:val="24"/>
        </w:rPr>
        <w:t>, Makoto Ohta</w:t>
      </w:r>
      <w:r w:rsidRPr="005F73FF">
        <w:rPr>
          <w:rFonts w:asciiTheme="majorBidi" w:hAnsiTheme="majorBidi" w:cstheme="majorBidi"/>
          <w:sz w:val="24"/>
          <w:szCs w:val="24"/>
          <w:vertAlign w:val="superscript"/>
        </w:rPr>
        <w:t>1</w:t>
      </w:r>
    </w:p>
    <w:p w:rsidR="00727D2F" w:rsidRPr="005F73FF" w:rsidRDefault="00727D2F" w:rsidP="00727D2F">
      <w:pPr>
        <w:pStyle w:val="FootnoteText"/>
        <w:spacing w:line="360" w:lineRule="auto"/>
        <w:jc w:val="center"/>
        <w:rPr>
          <w:rFonts w:asciiTheme="majorBidi" w:eastAsia="Times New Roman" w:hAnsiTheme="majorBidi" w:cstheme="majorBidi"/>
          <w:sz w:val="22"/>
          <w:szCs w:val="22"/>
          <w:lang w:val="en-US"/>
        </w:rPr>
      </w:pPr>
      <w:r w:rsidRPr="005F73FF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>1</w:t>
      </w:r>
      <w:r w:rsidRPr="005F73FF">
        <w:rPr>
          <w:rFonts w:asciiTheme="majorBidi" w:eastAsia="Times New Roman" w:hAnsiTheme="majorBidi" w:cstheme="majorBidi"/>
          <w:sz w:val="22"/>
          <w:szCs w:val="22"/>
          <w:lang w:val="en-US"/>
        </w:rPr>
        <w:t xml:space="preserve"> Biomedical Flow Dynamics Laboratory, Institute of Fluid Science, Tohoku University, Sendai, 980-8577, Sendai 980-8577, Miyagi, JAPAN.</w:t>
      </w:r>
    </w:p>
    <w:p w:rsidR="00727D2F" w:rsidRPr="005F73FF" w:rsidRDefault="00727D2F" w:rsidP="00727D2F">
      <w:pPr>
        <w:pStyle w:val="FootnoteText"/>
        <w:spacing w:line="360" w:lineRule="auto"/>
        <w:jc w:val="center"/>
        <w:rPr>
          <w:rFonts w:asciiTheme="majorBidi" w:eastAsia="Times New Roman" w:hAnsiTheme="majorBidi" w:cstheme="majorBidi"/>
          <w:sz w:val="22"/>
          <w:szCs w:val="22"/>
          <w:lang w:val="en-US"/>
        </w:rPr>
      </w:pPr>
      <w:r w:rsidRPr="005F73FF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>2</w:t>
      </w:r>
      <w:r w:rsidRPr="005F73FF">
        <w:rPr>
          <w:rFonts w:asciiTheme="majorBidi" w:eastAsia="Times New Roman" w:hAnsiTheme="majorBidi" w:cstheme="majorBidi"/>
          <w:sz w:val="22"/>
          <w:szCs w:val="22"/>
          <w:lang w:val="en-US"/>
        </w:rPr>
        <w:t xml:space="preserve"> Department of Neurosurgical Engineering and Translational Neuroscience, Tohoku University Graduate School of Medicine, Sendai 980-8574, Miyagi, JAPAN.</w:t>
      </w:r>
    </w:p>
    <w:p w:rsidR="00727D2F" w:rsidRPr="005F73FF" w:rsidRDefault="00727D2F" w:rsidP="00727D2F">
      <w:pPr>
        <w:pStyle w:val="FootnoteText"/>
        <w:suppressLineNumbers/>
        <w:spacing w:line="360" w:lineRule="auto"/>
        <w:jc w:val="center"/>
        <w:rPr>
          <w:rFonts w:asciiTheme="majorBidi" w:eastAsia="Times New Roman" w:hAnsiTheme="majorBidi" w:cstheme="majorBidi"/>
          <w:sz w:val="22"/>
          <w:szCs w:val="22"/>
          <w:lang w:val="en-US"/>
        </w:rPr>
      </w:pPr>
      <w:r w:rsidRPr="005F73FF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>3</w:t>
      </w:r>
      <w:r w:rsidRPr="005F73FF">
        <w:rPr>
          <w:rFonts w:asciiTheme="majorBidi" w:eastAsia="Times New Roman" w:hAnsiTheme="majorBidi" w:cstheme="majorBidi"/>
          <w:sz w:val="22"/>
          <w:szCs w:val="22"/>
          <w:lang w:val="en-US"/>
        </w:rPr>
        <w:t xml:space="preserve"> Department of Neurosurgery, Tohoku University Graduate School of Medicine, Sendai 980-8574, Miyagi, JAPAN.</w:t>
      </w:r>
    </w:p>
    <w:p w:rsidR="00727D2F" w:rsidRPr="005F73FF" w:rsidRDefault="00727D2F" w:rsidP="00727D2F">
      <w:pPr>
        <w:pStyle w:val="FootnoteText"/>
        <w:spacing w:line="360" w:lineRule="auto"/>
        <w:jc w:val="center"/>
        <w:rPr>
          <w:rFonts w:asciiTheme="majorBidi" w:eastAsia="Times New Roman" w:hAnsiTheme="majorBidi" w:cstheme="majorBidi"/>
          <w:sz w:val="22"/>
          <w:szCs w:val="22"/>
          <w:lang w:val="en-US"/>
        </w:rPr>
      </w:pPr>
      <w:r w:rsidRPr="005F73FF">
        <w:rPr>
          <w:rFonts w:asciiTheme="majorBidi" w:eastAsia="Times New Roman" w:hAnsiTheme="majorBidi" w:cstheme="majorBidi"/>
          <w:sz w:val="22"/>
          <w:szCs w:val="22"/>
          <w:vertAlign w:val="superscript"/>
          <w:lang w:val="en-US"/>
        </w:rPr>
        <w:t xml:space="preserve">4 </w:t>
      </w:r>
      <w:r w:rsidRPr="005F73FF">
        <w:rPr>
          <w:rFonts w:asciiTheme="majorBidi" w:eastAsia="Times New Roman" w:hAnsiTheme="majorBidi" w:cstheme="majorBidi"/>
          <w:sz w:val="22"/>
          <w:szCs w:val="22"/>
          <w:lang w:val="en-US"/>
        </w:rPr>
        <w:t xml:space="preserve">Department of Neurosurgical Engineering and </w:t>
      </w:r>
      <w:r w:rsidRPr="00727D2F">
        <w:rPr>
          <w:rFonts w:asciiTheme="majorBidi" w:eastAsia="Times New Roman" w:hAnsiTheme="majorBidi" w:cstheme="majorBidi"/>
          <w:sz w:val="22"/>
          <w:szCs w:val="22"/>
          <w:u w:val="single"/>
          <w:lang w:val="en-US"/>
        </w:rPr>
        <w:t>Translational</w:t>
      </w:r>
      <w:r w:rsidRPr="005F73FF">
        <w:rPr>
          <w:rFonts w:asciiTheme="majorBidi" w:eastAsia="Times New Roman" w:hAnsiTheme="majorBidi" w:cstheme="majorBidi"/>
          <w:sz w:val="22"/>
          <w:szCs w:val="22"/>
          <w:lang w:val="en-US"/>
        </w:rPr>
        <w:t xml:space="preserve"> Neuroscience, Graduate School of Biomedical Engineering, Tohoku University, Sendai 980-8574, Miyagi, JAPAN.</w:t>
      </w:r>
    </w:p>
    <w:p w:rsidR="00727D2F" w:rsidRPr="005F73FF" w:rsidRDefault="00727D2F" w:rsidP="00727D2F">
      <w:pPr>
        <w:pStyle w:val="Paragraph"/>
        <w:spacing w:line="360" w:lineRule="auto"/>
        <w:ind w:firstLine="0"/>
        <w:jc w:val="center"/>
        <w:rPr>
          <w:rStyle w:val="Hyperlink"/>
          <w:rFonts w:asciiTheme="majorBidi" w:hAnsiTheme="majorBidi" w:cstheme="majorBidi"/>
          <w:sz w:val="22"/>
          <w:szCs w:val="22"/>
        </w:rPr>
      </w:pPr>
    </w:p>
    <w:p w:rsidR="00727D2F" w:rsidRPr="00727D2F" w:rsidRDefault="00727D2F" w:rsidP="00727D2F">
      <w:pPr>
        <w:spacing w:line="360" w:lineRule="auto"/>
        <w:rPr>
          <w:rStyle w:val="Hyperlink"/>
          <w:rFonts w:asciiTheme="majorBidi" w:eastAsia="Times New Roman" w:hAnsiTheme="majorBidi" w:cstheme="majorBidi"/>
          <w:b/>
          <w:bCs/>
          <w:color w:val="auto"/>
          <w:u w:val="none"/>
        </w:rPr>
      </w:pPr>
      <w:r w:rsidRPr="00727D2F">
        <w:rPr>
          <w:rStyle w:val="Hyperlink"/>
          <w:rFonts w:asciiTheme="majorBidi" w:eastAsia="Times New Roman" w:hAnsiTheme="majorBidi" w:cstheme="majorBidi"/>
          <w:b/>
          <w:bCs/>
          <w:color w:val="auto"/>
          <w:u w:val="none"/>
        </w:rPr>
        <w:t>Corresponding author details:</w:t>
      </w:r>
    </w:p>
    <w:p w:rsidR="00727D2F" w:rsidRPr="00727D2F" w:rsidRDefault="00727D2F" w:rsidP="00727D2F">
      <w:pPr>
        <w:spacing w:after="0" w:line="240" w:lineRule="auto"/>
        <w:rPr>
          <w:rStyle w:val="Hyperlink"/>
          <w:rFonts w:asciiTheme="majorBidi" w:eastAsia="Times New Roman" w:hAnsiTheme="majorBidi" w:cstheme="majorBidi"/>
          <w:color w:val="auto"/>
          <w:u w:val="none"/>
        </w:rPr>
      </w:pPr>
      <w:r w:rsidRPr="00727D2F">
        <w:rPr>
          <w:rStyle w:val="Hyperlink"/>
          <w:rFonts w:asciiTheme="majorBidi" w:eastAsia="Times New Roman" w:hAnsiTheme="majorBidi" w:cstheme="majorBidi"/>
          <w:color w:val="auto"/>
          <w:u w:val="none"/>
        </w:rPr>
        <w:t>Khalid M. Saqr, Ph.D.</w:t>
      </w:r>
    </w:p>
    <w:p w:rsidR="00727D2F" w:rsidRPr="00727D2F" w:rsidRDefault="00727D2F" w:rsidP="00727D2F">
      <w:pPr>
        <w:spacing w:after="0" w:line="240" w:lineRule="auto"/>
        <w:rPr>
          <w:rStyle w:val="Hyperlink"/>
          <w:rFonts w:asciiTheme="majorBidi" w:eastAsia="Times New Roman" w:hAnsiTheme="majorBidi" w:cstheme="majorBidi"/>
          <w:color w:val="auto"/>
          <w:u w:val="none"/>
        </w:rPr>
      </w:pPr>
      <w:r w:rsidRPr="00727D2F">
        <w:rPr>
          <w:rStyle w:val="Hyperlink"/>
          <w:rFonts w:asciiTheme="majorBidi" w:eastAsia="Times New Roman" w:hAnsiTheme="majorBidi" w:cstheme="majorBidi"/>
          <w:color w:val="auto"/>
          <w:u w:val="none"/>
        </w:rPr>
        <w:t>Biomedical Flow Dynamics Laboratory (</w:t>
      </w:r>
      <w:proofErr w:type="spellStart"/>
      <w:r w:rsidRPr="00727D2F">
        <w:rPr>
          <w:rStyle w:val="Hyperlink"/>
          <w:rFonts w:asciiTheme="majorBidi" w:eastAsia="Times New Roman" w:hAnsiTheme="majorBidi" w:cstheme="majorBidi"/>
          <w:color w:val="auto"/>
          <w:u w:val="none"/>
        </w:rPr>
        <w:t>Ohta</w:t>
      </w:r>
      <w:proofErr w:type="spellEnd"/>
      <w:r w:rsidRPr="00727D2F">
        <w:rPr>
          <w:rStyle w:val="Hyperlink"/>
          <w:rFonts w:asciiTheme="majorBidi" w:eastAsia="Times New Roman" w:hAnsiTheme="majorBidi" w:cstheme="majorBidi"/>
          <w:color w:val="auto"/>
          <w:u w:val="none"/>
        </w:rPr>
        <w:t>-Lab)</w:t>
      </w:r>
    </w:p>
    <w:p w:rsidR="00727D2F" w:rsidRPr="00727D2F" w:rsidRDefault="00727D2F" w:rsidP="00727D2F">
      <w:pPr>
        <w:spacing w:after="0" w:line="240" w:lineRule="auto"/>
        <w:rPr>
          <w:rStyle w:val="Hyperlink"/>
          <w:rFonts w:asciiTheme="majorBidi" w:eastAsia="Times New Roman" w:hAnsiTheme="majorBidi" w:cstheme="majorBidi"/>
          <w:color w:val="auto"/>
          <w:u w:val="none"/>
        </w:rPr>
      </w:pPr>
      <w:r w:rsidRPr="00727D2F">
        <w:rPr>
          <w:rFonts w:asciiTheme="majorBidi" w:eastAsia="Times New Roman" w:hAnsiTheme="majorBidi" w:cstheme="majorBidi"/>
        </w:rPr>
        <w:t>Institute of Fluid Science, Tohoku University</w:t>
      </w:r>
    </w:p>
    <w:p w:rsidR="00727D2F" w:rsidRPr="00727D2F" w:rsidRDefault="00727D2F" w:rsidP="00727D2F">
      <w:pPr>
        <w:spacing w:after="0" w:line="360" w:lineRule="auto"/>
        <w:rPr>
          <w:rFonts w:asciiTheme="majorBidi" w:eastAsia="Times New Roman" w:hAnsiTheme="majorBidi" w:cstheme="majorBidi"/>
        </w:rPr>
      </w:pPr>
      <w:r w:rsidRPr="00727D2F">
        <w:rPr>
          <w:rFonts w:asciiTheme="majorBidi" w:eastAsia="Times New Roman" w:hAnsiTheme="majorBidi" w:cstheme="majorBidi"/>
        </w:rPr>
        <w:t>Sendai, 980-8577, Sendai 980-8577, Miyagi, JAPAN</w:t>
      </w:r>
    </w:p>
    <w:p w:rsidR="00727D2F" w:rsidRPr="005F73FF" w:rsidRDefault="00727D2F" w:rsidP="00727D2F">
      <w:pPr>
        <w:spacing w:after="0" w:line="360" w:lineRule="auto"/>
        <w:rPr>
          <w:rStyle w:val="Hyperlink"/>
          <w:rFonts w:asciiTheme="majorBidi" w:eastAsia="Times New Roman" w:hAnsiTheme="majorBidi" w:cstheme="majorBidi"/>
        </w:rPr>
      </w:pPr>
      <w:r w:rsidRPr="005F73FF">
        <w:rPr>
          <w:rFonts w:asciiTheme="majorBidi" w:hAnsiTheme="majorBidi" w:cstheme="majorBidi"/>
        </w:rPr>
        <w:t xml:space="preserve">*Email: </w:t>
      </w:r>
      <w:hyperlink r:id="rId6" w:history="1">
        <w:r w:rsidRPr="005F73FF">
          <w:rPr>
            <w:rStyle w:val="Hyperlink"/>
            <w:rFonts w:asciiTheme="majorBidi" w:hAnsiTheme="majorBidi" w:cstheme="majorBidi"/>
          </w:rPr>
          <w:t>k.saqr@tohoku.ac.jp</w:t>
        </w:r>
      </w:hyperlink>
      <w:r w:rsidRPr="005F73FF">
        <w:rPr>
          <w:rFonts w:asciiTheme="majorBidi" w:hAnsiTheme="majorBidi" w:cstheme="majorBidi"/>
        </w:rPr>
        <w:t xml:space="preserve">, </w:t>
      </w:r>
      <w:hyperlink r:id="rId7" w:history="1">
        <w:r w:rsidRPr="005F73FF">
          <w:rPr>
            <w:rStyle w:val="Hyperlink"/>
            <w:rFonts w:asciiTheme="majorBidi" w:hAnsiTheme="majorBidi" w:cstheme="majorBidi"/>
          </w:rPr>
          <w:t>kh.saqr@gmail.com</w:t>
        </w:r>
      </w:hyperlink>
    </w:p>
    <w:p w:rsidR="00727D2F" w:rsidRDefault="00727D2F">
      <w:r>
        <w:br w:type="page"/>
      </w:r>
    </w:p>
    <w:p w:rsidR="0084031A" w:rsidRDefault="00ED0B1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50.25pt">
            <v:imagedata r:id="rId8" o:title="Supp-Figure 1"/>
          </v:shape>
        </w:pict>
      </w:r>
    </w:p>
    <w:p w:rsidR="00727D2F" w:rsidRPr="00930534" w:rsidRDefault="00727D2F" w:rsidP="00727D2F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930534">
        <w:rPr>
          <w:rFonts w:asciiTheme="majorBidi" w:hAnsiTheme="majorBidi" w:cstheme="majorBidi"/>
          <w:b/>
          <w:bCs/>
          <w:sz w:val="24"/>
          <w:szCs w:val="24"/>
        </w:rPr>
        <w:t>Supplementary figure 1.</w:t>
      </w:r>
      <w:r w:rsidRPr="00930534">
        <w:rPr>
          <w:rFonts w:asciiTheme="majorBidi" w:hAnsiTheme="majorBidi" w:cstheme="majorBidi"/>
          <w:sz w:val="24"/>
          <w:szCs w:val="24"/>
        </w:rPr>
        <w:t xml:space="preserve"> </w:t>
      </w:r>
      <w:r w:rsidRPr="00930534">
        <w:rPr>
          <w:rFonts w:asciiTheme="majorBidi" w:eastAsiaTheme="minorEastAsia" w:hAnsiTheme="majorBidi" w:cstheme="majorBidi"/>
          <w:sz w:val="24"/>
          <w:szCs w:val="24"/>
        </w:rPr>
        <w:t xml:space="preserve">The ratio of fluctuation to mean velocity </w:t>
      </w:r>
      <m:oMath>
        <m:acc>
          <m:accPr>
            <m:chr m:val="̃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u</m:t>
            </m:r>
          </m:e>
        </m:acc>
        <m:r>
          <w:rPr>
            <w:rFonts w:ascii="Cambria Math" w:hAnsi="Cambria Math" w:cstheme="majorBidi"/>
            <w:sz w:val="24"/>
            <w:szCs w:val="24"/>
          </w:rPr>
          <m:t>/U</m:t>
        </m:r>
      </m:oMath>
      <w:r w:rsidRPr="00930534">
        <w:rPr>
          <w:rFonts w:asciiTheme="majorBidi" w:eastAsiaTheme="minorEastAsia" w:hAnsiTheme="majorBidi" w:cstheme="majorBidi"/>
          <w:sz w:val="24"/>
          <w:szCs w:val="24"/>
        </w:rPr>
        <w:t xml:space="preserve"> shown in colormaps for different arteries based on WFM with dimensionless time and radius in the X and Y axes, respectively.</w:t>
      </w:r>
    </w:p>
    <w:p w:rsidR="00727D2F" w:rsidRDefault="00727D2F">
      <w:r>
        <w:br w:type="page"/>
      </w:r>
    </w:p>
    <w:p w:rsidR="00727D2F" w:rsidRDefault="00ED0B18">
      <w:r>
        <w:lastRenderedPageBreak/>
        <w:pict>
          <v:shape id="_x0000_i1026" type="#_x0000_t75" style="width:451.5pt;height:345.75pt">
            <v:imagedata r:id="rId9" o:title="Supp-Figure 2"/>
          </v:shape>
        </w:pict>
      </w:r>
    </w:p>
    <w:p w:rsidR="0095335E" w:rsidRPr="00930534" w:rsidRDefault="0095335E" w:rsidP="0095335E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930534">
        <w:rPr>
          <w:rFonts w:asciiTheme="majorBidi" w:eastAsiaTheme="minorEastAsia" w:hAnsiTheme="majorBidi" w:cstheme="majorBidi"/>
          <w:b/>
          <w:bCs/>
          <w:sz w:val="24"/>
          <w:szCs w:val="24"/>
        </w:rPr>
        <w:t>Supplementary Figure 2.</w:t>
      </w:r>
      <w:r w:rsidRPr="00930534">
        <w:rPr>
          <w:rFonts w:asciiTheme="majorBidi" w:eastAsiaTheme="minorEastAsia" w:hAnsiTheme="majorBidi" w:cstheme="majorBidi"/>
          <w:sz w:val="24"/>
          <w:szCs w:val="24"/>
        </w:rPr>
        <w:t xml:space="preserve"> Radial profiles of kinetic energy cascade slope of four arteries based on the exact solution of WFM.</w:t>
      </w:r>
    </w:p>
    <w:p w:rsidR="0095335E" w:rsidRDefault="0095335E">
      <w:r>
        <w:br w:type="page"/>
      </w:r>
    </w:p>
    <w:p w:rsidR="0095335E" w:rsidRDefault="00ED0B18">
      <w:r>
        <w:lastRenderedPageBreak/>
        <w:pict>
          <v:shape id="_x0000_i1027" type="#_x0000_t75" style="width:396pt;height:309.75pt">
            <v:imagedata r:id="rId10" o:title="Supp-Figure 3"/>
          </v:shape>
        </w:pict>
      </w:r>
    </w:p>
    <w:p w:rsidR="0095335E" w:rsidRPr="00930534" w:rsidRDefault="0095335E" w:rsidP="00ED0B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30534">
        <w:rPr>
          <w:rFonts w:asciiTheme="majorBidi" w:hAnsiTheme="majorBidi" w:cstheme="majorBidi"/>
          <w:b/>
          <w:bCs/>
          <w:sz w:val="24"/>
          <w:szCs w:val="24"/>
        </w:rPr>
        <w:t>Supplementary figure 3.</w:t>
      </w:r>
      <w:r w:rsidRPr="00930534">
        <w:rPr>
          <w:rFonts w:asciiTheme="majorBidi" w:hAnsiTheme="majorBidi" w:cstheme="majorBidi"/>
          <w:sz w:val="24"/>
          <w:szCs w:val="24"/>
        </w:rPr>
        <w:t xml:space="preserve"> Color map of </w:t>
      </w:r>
      <m:oMath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n→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10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0</m:t>
                </m:r>
              </m:lim>
            </m:limLow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[0:n]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</m:e>
            </m:d>
          </m:e>
        </m:func>
      </m:oMath>
      <w:r w:rsidRPr="00930534">
        <w:rPr>
          <w:rFonts w:asciiTheme="majorBidi" w:hAnsiTheme="majorBidi" w:cstheme="majorBidi"/>
          <w:sz w:val="24"/>
          <w:szCs w:val="24"/>
          <w:lang w:bidi="ar-EG"/>
        </w:rPr>
        <w:t>on x-axis and non-</w:t>
      </w:r>
      <w:bookmarkStart w:id="1" w:name="_GoBack"/>
      <w:bookmarkEnd w:id="1"/>
      <w:r w:rsidRPr="00930534">
        <w:rPr>
          <w:rFonts w:asciiTheme="majorBidi" w:hAnsiTheme="majorBidi" w:cstheme="majorBidi"/>
          <w:sz w:val="24"/>
          <w:szCs w:val="24"/>
          <w:lang w:bidi="ar-EG"/>
        </w:rPr>
        <w:t>dimensional time on y-axis. (</w:t>
      </w:r>
      <w:proofErr w:type="gramStart"/>
      <w:r w:rsidRPr="00930534">
        <w:rPr>
          <w:rFonts w:asciiTheme="majorBidi" w:hAnsiTheme="majorBidi" w:cstheme="majorBidi"/>
          <w:sz w:val="24"/>
          <w:szCs w:val="24"/>
          <w:lang w:bidi="ar-EG"/>
        </w:rPr>
        <w:t>aortic</w:t>
      </w:r>
      <w:proofErr w:type="gramEnd"/>
      <w:r w:rsidRPr="00930534">
        <w:rPr>
          <w:rFonts w:asciiTheme="majorBidi" w:hAnsiTheme="majorBidi" w:cstheme="majorBidi"/>
          <w:sz w:val="24"/>
          <w:szCs w:val="24"/>
          <w:lang w:bidi="ar-EG"/>
        </w:rPr>
        <w:t xml:space="preserve"> root). Similar results were obtained from other arteries confirming that harmonics higher than </w:t>
      </w:r>
      <m:oMath>
        <m:r>
          <w:rPr>
            <w:rFonts w:ascii="Cambria Math" w:hAnsi="Cambria Math" w:cstheme="majorBidi"/>
            <w:sz w:val="24"/>
            <w:szCs w:val="24"/>
            <w:lang w:bidi="ar-EG"/>
          </w:rPr>
          <m:t>n=40</m:t>
        </m:r>
      </m:oMath>
      <w:r w:rsidRPr="00930534">
        <w:rPr>
          <w:rFonts w:asciiTheme="majorBidi" w:eastAsiaTheme="minorEastAsia" w:hAnsiTheme="majorBidi" w:cstheme="majorBidi"/>
          <w:sz w:val="24"/>
          <w:szCs w:val="24"/>
          <w:lang w:bidi="ar-EG"/>
        </w:rPr>
        <w:t xml:space="preserve"> could be neglected. </w:t>
      </w:r>
    </w:p>
    <w:p w:rsidR="0095335E" w:rsidRDefault="0095335E"/>
    <w:sectPr w:rsidR="0095335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F89" w:rsidRDefault="006D1F89" w:rsidP="0095335E">
      <w:pPr>
        <w:spacing w:after="0" w:line="240" w:lineRule="auto"/>
      </w:pPr>
      <w:r>
        <w:separator/>
      </w:r>
    </w:p>
  </w:endnote>
  <w:endnote w:type="continuationSeparator" w:id="0">
    <w:p w:rsidR="006D1F89" w:rsidRDefault="006D1F89" w:rsidP="0095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5078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335E" w:rsidRDefault="009533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0B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335E" w:rsidRDefault="009533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F89" w:rsidRDefault="006D1F89" w:rsidP="0095335E">
      <w:pPr>
        <w:spacing w:after="0" w:line="240" w:lineRule="auto"/>
      </w:pPr>
      <w:r>
        <w:separator/>
      </w:r>
    </w:p>
  </w:footnote>
  <w:footnote w:type="continuationSeparator" w:id="0">
    <w:p w:rsidR="006D1F89" w:rsidRDefault="006D1F89" w:rsidP="00953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45"/>
    <w:rsid w:val="002D7BEF"/>
    <w:rsid w:val="00335745"/>
    <w:rsid w:val="006D1F89"/>
    <w:rsid w:val="00727D2F"/>
    <w:rsid w:val="0084031A"/>
    <w:rsid w:val="0095335E"/>
    <w:rsid w:val="00ED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34370-0875-4572-8DDF-8CEA6375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727D2F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27D2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7D2F"/>
    <w:pPr>
      <w:spacing w:after="0" w:line="240" w:lineRule="auto"/>
    </w:pPr>
    <w:rPr>
      <w:rFonts w:eastAsia="MS Mincho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D2F"/>
    <w:rPr>
      <w:rFonts w:eastAsia="MS Mincho"/>
      <w:sz w:val="20"/>
      <w:szCs w:val="20"/>
      <w:lang w:val="en-GB"/>
    </w:rPr>
  </w:style>
  <w:style w:type="character" w:customStyle="1" w:styleId="ParagraphChar">
    <w:name w:val="Paragraph Char"/>
    <w:basedOn w:val="DefaultParagraphFont"/>
    <w:link w:val="Paragraph"/>
    <w:rsid w:val="00727D2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533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35E"/>
  </w:style>
  <w:style w:type="paragraph" w:styleId="Footer">
    <w:name w:val="footer"/>
    <w:basedOn w:val="Normal"/>
    <w:link w:val="FooterChar"/>
    <w:uiPriority w:val="99"/>
    <w:unhideWhenUsed/>
    <w:rsid w:val="009533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h.saqr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.saqr@tohoku.ac.jp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Saqr</dc:creator>
  <cp:keywords/>
  <dc:description/>
  <cp:lastModifiedBy>Khalid Saqr</cp:lastModifiedBy>
  <cp:revision>4</cp:revision>
  <dcterms:created xsi:type="dcterms:W3CDTF">2020-08-24T21:07:00Z</dcterms:created>
  <dcterms:modified xsi:type="dcterms:W3CDTF">2020-09-04T06:27:00Z</dcterms:modified>
</cp:coreProperties>
</file>