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CB4E5" w14:textId="77777777" w:rsidR="00886D96" w:rsidRPr="00FB73CD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  <w:r w:rsidRPr="00FB73CD">
        <w:rPr>
          <w:rFonts w:ascii="Arial" w:eastAsia="Arial" w:hAnsi="Arial"/>
          <w:sz w:val="22"/>
          <w:szCs w:val="22"/>
          <w:lang w:val="en-GB"/>
        </w:rPr>
        <w:t>Baseline IFN-γ and IL-10 expression in PBMCs could predict response to PD-1 checkpoint inhibitors in advanced melanoma patients.</w:t>
      </w:r>
    </w:p>
    <w:p w14:paraId="5CE48E6E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</w:p>
    <w:p w14:paraId="4738F89D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  <w:r w:rsidRPr="00975CF8">
        <w:rPr>
          <w:rFonts w:ascii="Arial" w:eastAsia="Arial" w:hAnsi="Arial"/>
          <w:sz w:val="22"/>
          <w:szCs w:val="22"/>
          <w:lang w:val="en-GB"/>
        </w:rPr>
        <w:t>Emilio Francesco Giunta</w:t>
      </w:r>
      <w:proofErr w:type="gramStart"/>
      <w:r w:rsidRPr="00975CF8">
        <w:rPr>
          <w:rFonts w:ascii="Arial" w:eastAsia="Arial" w:hAnsi="Arial"/>
          <w:sz w:val="22"/>
          <w:szCs w:val="22"/>
          <w:lang w:val="en-GB"/>
        </w:rPr>
        <w:t>1,†</w:t>
      </w:r>
      <w:proofErr w:type="gramEnd"/>
      <w:r w:rsidRPr="00975CF8">
        <w:rPr>
          <w:rFonts w:ascii="Arial" w:eastAsia="Arial" w:hAnsi="Arial"/>
          <w:sz w:val="22"/>
          <w:szCs w:val="22"/>
          <w:lang w:val="en-GB"/>
        </w:rPr>
        <w:t xml:space="preserve">,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Giusi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 xml:space="preserve"> Barra1,†, Vincenzo De Falco1, Giuseppe Argenziano2, Stefania Napolitano1, Pasquale Vitale1, Nicoletta Zanaletti1,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Marinella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 xml:space="preserve"> Terminiello1, Erika Martinelli1,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Floriana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 xml:space="preserve"> Morgillo1, Davide Ciardiello1, Raffaele De Palma3, Fortunato Ciardiello1, Teresa Troiani1,*</w:t>
      </w:r>
    </w:p>
    <w:p w14:paraId="6FA67307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</w:p>
    <w:p w14:paraId="5F97C522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  <w:r w:rsidRPr="00975CF8">
        <w:rPr>
          <w:rFonts w:ascii="Arial" w:eastAsia="Arial" w:hAnsi="Arial"/>
          <w:sz w:val="22"/>
          <w:szCs w:val="22"/>
          <w:lang w:val="en-GB"/>
        </w:rPr>
        <w:t xml:space="preserve">1 Department of Precision Medicine, University of Campania Luigi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Vanvitelli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>, Naples, 80131, Italy</w:t>
      </w:r>
    </w:p>
    <w:p w14:paraId="5C729147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  <w:r w:rsidRPr="00975CF8">
        <w:rPr>
          <w:rFonts w:ascii="Arial" w:eastAsia="Arial" w:hAnsi="Arial"/>
          <w:sz w:val="22"/>
          <w:szCs w:val="22"/>
          <w:lang w:val="en-GB"/>
        </w:rPr>
        <w:t xml:space="preserve">2 Department of Mental and Physical Health and Preventive Medicine, University of Campania Luigi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Vanvitelli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>, Naples, 80131, Italy</w:t>
      </w:r>
    </w:p>
    <w:p w14:paraId="323C2829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  <w:r w:rsidRPr="00975CF8">
        <w:rPr>
          <w:rFonts w:ascii="Arial" w:eastAsia="Arial" w:hAnsi="Arial"/>
          <w:sz w:val="22"/>
          <w:szCs w:val="22"/>
          <w:lang w:val="en-GB"/>
        </w:rPr>
        <w:t xml:space="preserve">3 Department of Internal Medicine, University of Genoa - IRCCS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Ospedale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 xml:space="preserve"> </w:t>
      </w:r>
      <w:proofErr w:type="spellStart"/>
      <w:r w:rsidRPr="00975CF8">
        <w:rPr>
          <w:rFonts w:ascii="Arial" w:eastAsia="Arial" w:hAnsi="Arial"/>
          <w:sz w:val="22"/>
          <w:szCs w:val="22"/>
          <w:lang w:val="en-GB"/>
        </w:rPr>
        <w:t>Policlinico</w:t>
      </w:r>
      <w:proofErr w:type="spellEnd"/>
      <w:r w:rsidRPr="00975CF8">
        <w:rPr>
          <w:rFonts w:ascii="Arial" w:eastAsia="Arial" w:hAnsi="Arial"/>
          <w:sz w:val="22"/>
          <w:szCs w:val="22"/>
          <w:lang w:val="en-GB"/>
        </w:rPr>
        <w:t xml:space="preserve"> San Martino, Genoa, 16132, Italy</w:t>
      </w:r>
    </w:p>
    <w:p w14:paraId="48DD7ECA" w14:textId="77777777" w:rsidR="00886D96" w:rsidRPr="00975CF8" w:rsidRDefault="00886D96" w:rsidP="00886D96">
      <w:pPr>
        <w:spacing w:line="254" w:lineRule="auto"/>
        <w:ind w:right="40"/>
        <w:rPr>
          <w:rFonts w:ascii="Arial" w:eastAsia="Arial" w:hAnsi="Arial"/>
          <w:sz w:val="22"/>
          <w:szCs w:val="22"/>
          <w:lang w:val="en-GB"/>
        </w:rPr>
      </w:pPr>
      <w:r w:rsidRPr="00975CF8">
        <w:rPr>
          <w:rFonts w:ascii="Arial" w:eastAsia="Arial" w:hAnsi="Arial"/>
          <w:sz w:val="22"/>
          <w:szCs w:val="22"/>
          <w:lang w:val="en-GB"/>
        </w:rPr>
        <w:t>† these authors contributed equally</w:t>
      </w:r>
    </w:p>
    <w:p w14:paraId="7455F9AD" w14:textId="77777777" w:rsidR="00886D96" w:rsidRPr="00FB73CD" w:rsidRDefault="00886D96" w:rsidP="00886D96">
      <w:pPr>
        <w:spacing w:line="254" w:lineRule="auto"/>
        <w:ind w:right="40"/>
        <w:rPr>
          <w:rFonts w:ascii="Arial" w:eastAsia="Arial" w:hAnsi="Arial"/>
          <w:color w:val="000000" w:themeColor="text1"/>
          <w:sz w:val="22"/>
          <w:szCs w:val="22"/>
          <w:lang w:val="en-GB"/>
        </w:rPr>
      </w:pPr>
    </w:p>
    <w:p w14:paraId="77B56050" w14:textId="252DDFAE" w:rsidR="004D1694" w:rsidRPr="00FB73CD" w:rsidRDefault="00AB1680" w:rsidP="00886D96">
      <w:pPr>
        <w:spacing w:line="254" w:lineRule="auto"/>
        <w:ind w:right="40"/>
        <w:rPr>
          <w:rFonts w:ascii="Arial" w:eastAsia="Arial" w:hAnsi="Arial"/>
          <w:color w:val="000000" w:themeColor="text1"/>
          <w:sz w:val="22"/>
          <w:szCs w:val="22"/>
          <w:lang w:val="en-GB"/>
        </w:rPr>
      </w:pPr>
      <w:hyperlink r:id="rId7" w:history="1">
        <w:r w:rsidR="00975CF8" w:rsidRPr="00FB73CD">
          <w:rPr>
            <w:rStyle w:val="Collegamentoipertestuale"/>
            <w:rFonts w:ascii="Arial" w:eastAsia="Arial" w:hAnsi="Arial"/>
            <w:color w:val="000000" w:themeColor="text1"/>
            <w:sz w:val="22"/>
            <w:szCs w:val="22"/>
            <w:u w:val="none"/>
            <w:lang w:val="en-GB"/>
          </w:rPr>
          <w:t>*teresa.troiani@unicampania.it</w:t>
        </w:r>
      </w:hyperlink>
      <w:r w:rsidR="00FB73CD">
        <w:rPr>
          <w:rStyle w:val="Collegamentoipertestuale"/>
          <w:rFonts w:ascii="Arial" w:eastAsia="Arial" w:hAnsi="Arial"/>
          <w:color w:val="000000" w:themeColor="text1"/>
          <w:sz w:val="22"/>
          <w:szCs w:val="22"/>
          <w:u w:val="none"/>
          <w:lang w:val="en-GB"/>
        </w:rPr>
        <w:t xml:space="preserve"> (corresponding author)</w:t>
      </w:r>
    </w:p>
    <w:p w14:paraId="75C91CAD" w14:textId="3527F76B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594B9E75" w14:textId="450ADF7F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4D2CE1AE" w14:textId="4DDAA22F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578CB3F9" w14:textId="4BE13B90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AB6D091" w14:textId="726C0890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35917DDD" w14:textId="29966360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96F166C" w14:textId="05BBD7B9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24F8750" w14:textId="1006B6E5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6CA336D2" w14:textId="4C7B0901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271548CD" w14:textId="7696A75A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C9F2175" w14:textId="4FD33F6C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7634FBBB" w14:textId="69AA2B8B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40556204" w14:textId="269E0A39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7FAED39" w14:textId="106B663F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33E3DC1" w14:textId="05D3D7CE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2B0AA047" w14:textId="51B3953B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7170D408" w14:textId="1083261A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2597C34" w14:textId="0DFE98AE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7B34111E" w14:textId="178197CC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61A9362A" w14:textId="338FC6EB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2DCF0129" w14:textId="796C48EC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4A368D6E" w14:textId="29DC8D01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D1A2340" w14:textId="3EC71775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76DBA8BC" w14:textId="63E52E34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6A2A6F1C" w14:textId="78F5666D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79675AF5" w14:textId="0D19507C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F3152AE" w14:textId="423DA870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5273B89D" w14:textId="3C7E3667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50F9DF50" w14:textId="1CF8EE5C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4DD0149" w14:textId="7D871A64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430C7C78" w14:textId="510FD119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66D58D30" w14:textId="299653DD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71C0E92" w14:textId="5A679CE0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53FA3329" w14:textId="40899A6A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79F5AB46" w14:textId="60B8834E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21923050" w14:textId="005432E6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3931601F" w14:textId="36415271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3047E5D" w14:textId="5E7069EF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99CDFDA" w14:textId="32447980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40CDC4D" w14:textId="77777777" w:rsidR="00975CF8" w:rsidRDefault="00975CF8" w:rsidP="00886D96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595E5622" w14:textId="131B4F24" w:rsidR="00886D96" w:rsidRDefault="00886D96" w:rsidP="004D1694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19B7C410" w14:textId="39E96531" w:rsidR="00886D96" w:rsidRDefault="00886D96" w:rsidP="004D1694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49DBD84D" w14:textId="1205D11A" w:rsidR="00886D96" w:rsidRDefault="00886D96" w:rsidP="004D1694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04337EBB" w14:textId="7FE0601D" w:rsidR="00886D96" w:rsidRPr="00FB73CD" w:rsidRDefault="00886D96" w:rsidP="004D1694">
      <w:pPr>
        <w:spacing w:line="254" w:lineRule="auto"/>
        <w:ind w:right="40"/>
        <w:rPr>
          <w:rFonts w:ascii="Arial" w:eastAsia="Arial" w:hAnsi="Arial"/>
          <w:lang w:val="en-GB"/>
        </w:rPr>
      </w:pPr>
      <w:r w:rsidRPr="00FB73CD">
        <w:rPr>
          <w:rFonts w:ascii="Arial" w:eastAsia="Arial" w:hAnsi="Arial"/>
          <w:lang w:val="en-GB"/>
        </w:rPr>
        <w:t>Supplementary figure legends:</w:t>
      </w:r>
    </w:p>
    <w:p w14:paraId="5DD42328" w14:textId="77777777" w:rsidR="00886D96" w:rsidRDefault="00886D96" w:rsidP="004D1694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43A54530" w14:textId="121ED399" w:rsidR="004D1694" w:rsidRPr="005374EB" w:rsidRDefault="008B0B85" w:rsidP="004D1694">
      <w:pPr>
        <w:spacing w:line="254" w:lineRule="auto"/>
        <w:ind w:right="40"/>
        <w:rPr>
          <w:rFonts w:ascii="Arial" w:eastAsia="Arial" w:hAnsi="Arial"/>
          <w:bCs/>
          <w:lang w:val="en-GB"/>
        </w:rPr>
      </w:pPr>
      <w:r w:rsidRPr="005374EB">
        <w:rPr>
          <w:rFonts w:ascii="Arial" w:eastAsia="Arial" w:hAnsi="Arial"/>
          <w:bCs/>
          <w:lang w:val="en-GB"/>
        </w:rPr>
        <w:t>Supplementary Figure S</w:t>
      </w:r>
      <w:r w:rsidR="004D1694" w:rsidRPr="005374EB">
        <w:rPr>
          <w:rFonts w:ascii="Arial" w:eastAsia="Arial" w:hAnsi="Arial"/>
          <w:bCs/>
          <w:lang w:val="en-GB"/>
        </w:rPr>
        <w:t xml:space="preserve">1. </w:t>
      </w:r>
      <w:r w:rsidRPr="005374EB">
        <w:rPr>
          <w:rFonts w:ascii="Arial" w:eastAsia="Arial" w:hAnsi="Arial"/>
          <w:bCs/>
          <w:lang w:val="en-GB"/>
        </w:rPr>
        <w:t xml:space="preserve">Example of </w:t>
      </w:r>
      <w:bookmarkStart w:id="0" w:name="_GoBack"/>
      <w:bookmarkEnd w:id="0"/>
      <w:r w:rsidRPr="005374EB">
        <w:rPr>
          <w:rFonts w:ascii="Arial" w:eastAsia="Arial" w:hAnsi="Arial"/>
          <w:bCs/>
          <w:lang w:val="en-GB"/>
        </w:rPr>
        <w:t xml:space="preserve">gating </w:t>
      </w:r>
      <w:r w:rsidRPr="005374EB">
        <w:rPr>
          <w:rFonts w:ascii="Arial" w:eastAsia="GulimChe" w:hAnsi="Arial"/>
          <w:bCs/>
          <w:lang w:val="en-US"/>
        </w:rPr>
        <w:t>strategy relative to one of the "non-responder" patients who had surprisingly high IL-10 levels.</w:t>
      </w:r>
    </w:p>
    <w:p w14:paraId="6AAAC614" w14:textId="77777777" w:rsidR="00AD145B" w:rsidRPr="005374EB" w:rsidRDefault="00AD145B" w:rsidP="004D1694">
      <w:pPr>
        <w:spacing w:line="254" w:lineRule="auto"/>
        <w:ind w:right="40"/>
        <w:rPr>
          <w:rFonts w:ascii="Arial" w:eastAsia="Arial" w:hAnsi="Arial"/>
          <w:bCs/>
          <w:lang w:val="en-GB"/>
        </w:rPr>
      </w:pPr>
    </w:p>
    <w:p w14:paraId="478A5F9A" w14:textId="61EE02FA" w:rsidR="00AD145B" w:rsidRDefault="008B0B85" w:rsidP="00AD145B">
      <w:pPr>
        <w:spacing w:line="254" w:lineRule="auto"/>
        <w:ind w:right="40"/>
        <w:rPr>
          <w:rFonts w:ascii="Arial" w:eastAsia="Arial" w:hAnsi="Arial"/>
          <w:lang w:val="en-GB"/>
        </w:rPr>
      </w:pPr>
      <w:r w:rsidRPr="005374EB">
        <w:rPr>
          <w:rFonts w:ascii="Arial" w:eastAsia="Arial" w:hAnsi="Arial"/>
          <w:bCs/>
          <w:lang w:val="en-GB"/>
        </w:rPr>
        <w:t>Supplementary</w:t>
      </w:r>
      <w:r w:rsidR="00AD145B" w:rsidRPr="005374EB">
        <w:rPr>
          <w:rFonts w:ascii="Arial" w:eastAsia="Arial" w:hAnsi="Arial"/>
          <w:bCs/>
          <w:lang w:val="en-GB"/>
        </w:rPr>
        <w:t xml:space="preserve"> </w:t>
      </w:r>
      <w:r w:rsidRPr="005374EB">
        <w:rPr>
          <w:rFonts w:ascii="Arial" w:eastAsia="Arial" w:hAnsi="Arial"/>
          <w:bCs/>
          <w:lang w:val="en-GB"/>
        </w:rPr>
        <w:t>Figure S</w:t>
      </w:r>
      <w:r w:rsidR="00B51A96" w:rsidRPr="005374EB">
        <w:rPr>
          <w:rFonts w:ascii="Arial" w:eastAsia="Arial" w:hAnsi="Arial"/>
          <w:bCs/>
          <w:lang w:val="en-GB"/>
        </w:rPr>
        <w:t>2</w:t>
      </w:r>
      <w:r w:rsidR="00AD145B" w:rsidRPr="005374EB">
        <w:rPr>
          <w:rFonts w:ascii="Arial" w:eastAsia="Arial" w:hAnsi="Arial"/>
          <w:bCs/>
          <w:lang w:val="en-GB"/>
        </w:rPr>
        <w:t>.</w:t>
      </w:r>
      <w:r w:rsidR="00AD145B" w:rsidRPr="00DA78C5">
        <w:rPr>
          <w:rFonts w:ascii="Arial" w:eastAsia="Arial" w:hAnsi="Arial"/>
          <w:b/>
          <w:lang w:val="en-GB"/>
        </w:rPr>
        <w:t xml:space="preserve"> </w:t>
      </w:r>
      <w:r w:rsidRPr="008B0B85">
        <w:rPr>
          <w:rFonts w:ascii="Arial" w:eastAsia="Arial" w:hAnsi="Arial"/>
          <w:bCs/>
          <w:lang w:val="en-GB"/>
        </w:rPr>
        <w:t xml:space="preserve">Example of </w:t>
      </w:r>
      <w:r>
        <w:rPr>
          <w:rFonts w:ascii="Arial" w:eastAsia="Arial" w:hAnsi="Arial"/>
          <w:bCs/>
          <w:lang w:val="en-GB"/>
        </w:rPr>
        <w:t xml:space="preserve">gating </w:t>
      </w:r>
      <w:r w:rsidRPr="008B0B85">
        <w:rPr>
          <w:rFonts w:ascii="Arial" w:eastAsia="GulimChe" w:hAnsi="Arial"/>
          <w:lang w:val="en-US"/>
        </w:rPr>
        <w:t>strategy relative to one of the "responder" patients</w:t>
      </w:r>
      <w:r>
        <w:rPr>
          <w:rFonts w:ascii="Arial" w:eastAsia="GulimChe" w:hAnsi="Arial"/>
          <w:lang w:val="en-US"/>
        </w:rPr>
        <w:t>.</w:t>
      </w:r>
    </w:p>
    <w:p w14:paraId="4B15CF0C" w14:textId="77777777" w:rsidR="00AD145B" w:rsidRDefault="00AD145B" w:rsidP="004D1694">
      <w:pPr>
        <w:spacing w:line="254" w:lineRule="auto"/>
        <w:ind w:right="40"/>
        <w:rPr>
          <w:rFonts w:ascii="Arial" w:eastAsia="Arial" w:hAnsi="Arial"/>
          <w:lang w:val="en-GB"/>
        </w:rPr>
      </w:pPr>
    </w:p>
    <w:p w14:paraId="3C796968" w14:textId="3E8F9510" w:rsidR="00870C8B" w:rsidRPr="00DA78C5" w:rsidRDefault="00870C8B" w:rsidP="00375819">
      <w:pPr>
        <w:spacing w:line="254" w:lineRule="auto"/>
        <w:ind w:right="40"/>
        <w:rPr>
          <w:rFonts w:ascii="Times New Roman" w:eastAsia="Times New Roman" w:hAnsi="Times New Roman"/>
          <w:lang w:val="en-GB"/>
        </w:rPr>
      </w:pPr>
      <w:bookmarkStart w:id="1" w:name="page2"/>
      <w:bookmarkEnd w:id="1"/>
    </w:p>
    <w:sectPr w:rsidR="00870C8B" w:rsidRPr="00DA78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4890C" w14:textId="77777777" w:rsidR="00AB1680" w:rsidRDefault="00AB1680" w:rsidP="00870C8B">
      <w:r>
        <w:separator/>
      </w:r>
    </w:p>
  </w:endnote>
  <w:endnote w:type="continuationSeparator" w:id="0">
    <w:p w14:paraId="1EEF5B5A" w14:textId="77777777" w:rsidR="00AB1680" w:rsidRDefault="00AB1680" w:rsidP="0087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67CB5" w14:textId="77777777" w:rsidR="00AB1680" w:rsidRDefault="00AB1680" w:rsidP="00870C8B">
      <w:r>
        <w:separator/>
      </w:r>
    </w:p>
  </w:footnote>
  <w:footnote w:type="continuationSeparator" w:id="0">
    <w:p w14:paraId="6E837333" w14:textId="77777777" w:rsidR="00AB1680" w:rsidRDefault="00AB1680" w:rsidP="00870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*"/>
      <w:lvlJc w:val="left"/>
      <w:pPr>
        <w:ind w:left="0" w:firstLine="0"/>
      </w:pPr>
    </w:lvl>
    <w:lvl w:ilvl="1" w:tplc="FFFFFFFF">
      <w:start w:val="1"/>
      <w:numFmt w:val="bullet"/>
      <w:lvlText w:val="1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bullet"/>
      <w:lvlText w:val="+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467077E"/>
    <w:multiLevelType w:val="hybridMultilevel"/>
    <w:tmpl w:val="228CCB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8771B"/>
    <w:multiLevelType w:val="hybridMultilevel"/>
    <w:tmpl w:val="3B7421BA"/>
    <w:lvl w:ilvl="0" w:tplc="7C78A958">
      <w:start w:val="1"/>
      <w:numFmt w:val="decimal"/>
      <w:lvlText w:val="%1"/>
      <w:lvlJc w:val="left"/>
      <w:pPr>
        <w:ind w:left="720" w:hanging="360"/>
      </w:pPr>
      <w:rPr>
        <w:rFonts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1328"/>
    <w:rsid w:val="00015ED5"/>
    <w:rsid w:val="0002153B"/>
    <w:rsid w:val="000517E2"/>
    <w:rsid w:val="0006016B"/>
    <w:rsid w:val="000B6EE1"/>
    <w:rsid w:val="000E00E0"/>
    <w:rsid w:val="00101DA5"/>
    <w:rsid w:val="00126717"/>
    <w:rsid w:val="00170EF2"/>
    <w:rsid w:val="001920F0"/>
    <w:rsid w:val="001D23A3"/>
    <w:rsid w:val="002217F6"/>
    <w:rsid w:val="00255729"/>
    <w:rsid w:val="00277412"/>
    <w:rsid w:val="00294CC2"/>
    <w:rsid w:val="002B3C99"/>
    <w:rsid w:val="002C4773"/>
    <w:rsid w:val="002F4C15"/>
    <w:rsid w:val="00313B75"/>
    <w:rsid w:val="003279C7"/>
    <w:rsid w:val="00375819"/>
    <w:rsid w:val="00416CE9"/>
    <w:rsid w:val="00426625"/>
    <w:rsid w:val="004413A4"/>
    <w:rsid w:val="00462E4D"/>
    <w:rsid w:val="004D1694"/>
    <w:rsid w:val="004F3379"/>
    <w:rsid w:val="00510170"/>
    <w:rsid w:val="00513D21"/>
    <w:rsid w:val="005374EB"/>
    <w:rsid w:val="00583D29"/>
    <w:rsid w:val="00592201"/>
    <w:rsid w:val="005A307E"/>
    <w:rsid w:val="00643513"/>
    <w:rsid w:val="00663808"/>
    <w:rsid w:val="006C271B"/>
    <w:rsid w:val="006D18D7"/>
    <w:rsid w:val="0072516A"/>
    <w:rsid w:val="007878D6"/>
    <w:rsid w:val="007A700F"/>
    <w:rsid w:val="007E2E8E"/>
    <w:rsid w:val="00870C8B"/>
    <w:rsid w:val="00886D96"/>
    <w:rsid w:val="008A119C"/>
    <w:rsid w:val="008A2AE4"/>
    <w:rsid w:val="008B0831"/>
    <w:rsid w:val="008B0B85"/>
    <w:rsid w:val="008C0C6E"/>
    <w:rsid w:val="008E0140"/>
    <w:rsid w:val="009111D3"/>
    <w:rsid w:val="00926223"/>
    <w:rsid w:val="009361A9"/>
    <w:rsid w:val="00975CF8"/>
    <w:rsid w:val="009B15F7"/>
    <w:rsid w:val="009D77AE"/>
    <w:rsid w:val="00A85E00"/>
    <w:rsid w:val="00AB1680"/>
    <w:rsid w:val="00AD145B"/>
    <w:rsid w:val="00B1003A"/>
    <w:rsid w:val="00B10E49"/>
    <w:rsid w:val="00B51A96"/>
    <w:rsid w:val="00B531A2"/>
    <w:rsid w:val="00B678A5"/>
    <w:rsid w:val="00B70CFA"/>
    <w:rsid w:val="00BF1328"/>
    <w:rsid w:val="00C50CB0"/>
    <w:rsid w:val="00DA78C5"/>
    <w:rsid w:val="00DC605C"/>
    <w:rsid w:val="00DD2382"/>
    <w:rsid w:val="00E26750"/>
    <w:rsid w:val="00E30F8A"/>
    <w:rsid w:val="00E37B66"/>
    <w:rsid w:val="00E72173"/>
    <w:rsid w:val="00F17297"/>
    <w:rsid w:val="00F32435"/>
    <w:rsid w:val="00F85081"/>
    <w:rsid w:val="00FB6113"/>
    <w:rsid w:val="00FB73CD"/>
    <w:rsid w:val="00FE341F"/>
    <w:rsid w:val="00F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77A8"/>
  <w15:chartTrackingRefBased/>
  <w15:docId w15:val="{E6ECCEC9-8919-4842-9FB7-9ED72178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0C8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0C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0C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8B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0C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8B"/>
    <w:rPr>
      <w:rFonts w:ascii="Calibri" w:eastAsia="Calibri" w:hAnsi="Calibri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50CB0"/>
    <w:pPr>
      <w:ind w:left="720"/>
      <w:contextualSpacing/>
    </w:pPr>
  </w:style>
  <w:style w:type="table" w:styleId="Elencochiaro">
    <w:name w:val="Light List"/>
    <w:basedOn w:val="Tabellanormale"/>
    <w:uiPriority w:val="61"/>
    <w:rsid w:val="00B531A2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essunaspaziatura">
    <w:name w:val="No Spacing"/>
    <w:uiPriority w:val="1"/>
    <w:qFormat/>
    <w:rsid w:val="00B531A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6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694"/>
    <w:rPr>
      <w:rFonts w:ascii="Segoe UI" w:eastAsia="Calibri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teresa.troiani@uni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F Giunta</dc:creator>
  <cp:keywords/>
  <dc:description/>
  <cp:lastModifiedBy>Emilio F Giunta</cp:lastModifiedBy>
  <cp:revision>56</cp:revision>
  <dcterms:created xsi:type="dcterms:W3CDTF">2020-01-11T17:34:00Z</dcterms:created>
  <dcterms:modified xsi:type="dcterms:W3CDTF">2020-08-05T19:22:00Z</dcterms:modified>
</cp:coreProperties>
</file>