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2B097" w14:textId="77777777" w:rsidR="006B2BDB" w:rsidRPr="00B305BE" w:rsidRDefault="006B2BDB" w:rsidP="006B2BDB">
      <w:pPr>
        <w:rPr>
          <w:sz w:val="36"/>
          <w:szCs w:val="36"/>
        </w:rPr>
      </w:pPr>
      <w:r w:rsidRPr="00B305BE">
        <w:rPr>
          <w:sz w:val="36"/>
          <w:szCs w:val="36"/>
        </w:rPr>
        <w:t xml:space="preserve">Supplementary Information for </w:t>
      </w:r>
    </w:p>
    <w:p w14:paraId="647D73FC" w14:textId="77777777" w:rsidR="006B2BDB" w:rsidRPr="00B305BE" w:rsidRDefault="006B2BDB" w:rsidP="006B2BDB"/>
    <w:p w14:paraId="52FC0713" w14:textId="00C76C31" w:rsidR="006B2BDB" w:rsidRPr="00B305BE" w:rsidRDefault="006B2BDB" w:rsidP="006B2BDB">
      <w:pPr>
        <w:rPr>
          <w:sz w:val="28"/>
          <w:szCs w:val="28"/>
        </w:rPr>
      </w:pPr>
      <w:r w:rsidRPr="00B305BE">
        <w:rPr>
          <w:sz w:val="28"/>
          <w:szCs w:val="28"/>
        </w:rPr>
        <w:t>RNA oxidation in chromatin modification and DNA-damage response following exposure to formaldehyde</w:t>
      </w:r>
    </w:p>
    <w:p w14:paraId="77D7F648" w14:textId="551F19B1" w:rsidR="006B2BDB" w:rsidRPr="00B305BE" w:rsidRDefault="006B2BDB" w:rsidP="006B2BDB">
      <w:pPr>
        <w:spacing w:before="100" w:beforeAutospacing="1" w:after="100" w:afterAutospacing="1"/>
        <w:rPr>
          <w:rFonts w:eastAsia="Calibri"/>
          <w:color w:val="000000" w:themeColor="text1"/>
          <w:lang w:val="en-GB" w:eastAsia="en-GB"/>
        </w:rPr>
      </w:pPr>
      <w:r w:rsidRPr="00B305BE">
        <w:rPr>
          <w:rFonts w:eastAsia="Calibri"/>
          <w:color w:val="000000" w:themeColor="text1"/>
          <w:lang w:val="en-GB" w:eastAsia="en-GB"/>
        </w:rPr>
        <w:t>Juan C. Gonzalez</w:t>
      </w:r>
      <w:r w:rsidRPr="00B305BE">
        <w:rPr>
          <w:rFonts w:eastAsia="Calibri"/>
          <w:color w:val="000000" w:themeColor="text1"/>
          <w:vertAlign w:val="superscript"/>
          <w:lang w:val="en-GB" w:eastAsia="en-GB"/>
        </w:rPr>
        <w:t>‡</w:t>
      </w:r>
      <w:r w:rsidRPr="00B305BE">
        <w:rPr>
          <w:rFonts w:eastAsia="Calibri"/>
          <w:color w:val="000000" w:themeColor="text1"/>
          <w:lang w:val="en-GB" w:eastAsia="en-GB"/>
        </w:rPr>
        <w:t>, Mark W. Sherman</w:t>
      </w:r>
      <w:r w:rsidRPr="00B305BE">
        <w:rPr>
          <w:rFonts w:eastAsia="Calibri"/>
          <w:color w:val="000000" w:themeColor="text1"/>
          <w:vertAlign w:val="superscript"/>
          <w:lang w:val="en-GB" w:eastAsia="en-GB"/>
        </w:rPr>
        <w:t>‡</w:t>
      </w:r>
      <w:r w:rsidRPr="00B305BE">
        <w:rPr>
          <w:rFonts w:eastAsia="Calibri"/>
          <w:color w:val="000000" w:themeColor="text1"/>
          <w:lang w:eastAsia="en-GB"/>
        </w:rPr>
        <w:t>,</w:t>
      </w:r>
      <w:r w:rsidRPr="00B305BE">
        <w:rPr>
          <w:rFonts w:eastAsia="Calibri"/>
          <w:color w:val="000000" w:themeColor="text1"/>
          <w:lang w:val="en-GB" w:eastAsia="en-GB"/>
        </w:rPr>
        <w:t xml:space="preserve"> </w:t>
      </w:r>
      <w:proofErr w:type="spellStart"/>
      <w:r w:rsidRPr="00B305BE">
        <w:rPr>
          <w:rFonts w:eastAsia="Calibri"/>
          <w:color w:val="000000" w:themeColor="text1"/>
          <w:lang w:val="en-GB" w:eastAsia="en-GB"/>
        </w:rPr>
        <w:t>Dongyu</w:t>
      </w:r>
      <w:proofErr w:type="spellEnd"/>
      <w:r w:rsidRPr="00B305BE">
        <w:rPr>
          <w:rFonts w:eastAsia="Calibri"/>
          <w:color w:val="000000" w:themeColor="text1"/>
          <w:lang w:val="en-GB" w:eastAsia="en-GB"/>
        </w:rPr>
        <w:t xml:space="preserve"> S. Wang, Jamie C. L. </w:t>
      </w:r>
      <w:proofErr w:type="spellStart"/>
      <w:r w:rsidRPr="00B305BE">
        <w:rPr>
          <w:rFonts w:eastAsia="Calibri"/>
          <w:color w:val="000000" w:themeColor="text1"/>
          <w:lang w:val="en-GB" w:eastAsia="en-GB"/>
        </w:rPr>
        <w:t>Chuvalo</w:t>
      </w:r>
      <w:proofErr w:type="spellEnd"/>
      <w:r w:rsidRPr="00B305BE">
        <w:rPr>
          <w:rFonts w:eastAsia="Calibri"/>
          <w:color w:val="000000" w:themeColor="text1"/>
          <w:lang w:val="en-GB" w:eastAsia="en-GB"/>
        </w:rPr>
        <w:t>‐Abraham, Lea Hildebrandt Ruiz, and Lydia M. Contreras</w:t>
      </w:r>
    </w:p>
    <w:p w14:paraId="252975F7" w14:textId="429F5654" w:rsidR="006B2BDB" w:rsidRPr="00B305BE" w:rsidRDefault="006B2BDB" w:rsidP="006B2BDB">
      <w:pPr>
        <w:spacing w:before="100" w:beforeAutospacing="1" w:after="100" w:afterAutospacing="1"/>
        <w:rPr>
          <w:rFonts w:eastAsia="Calibri"/>
          <w:color w:val="000000" w:themeColor="text1"/>
          <w:vertAlign w:val="superscript"/>
          <w:lang w:val="en-GB" w:eastAsia="en-GB"/>
        </w:rPr>
      </w:pPr>
      <w:r w:rsidRPr="00B305BE">
        <w:rPr>
          <w:rFonts w:eastAsia="Calibri"/>
          <w:color w:val="000000" w:themeColor="text1"/>
          <w:vertAlign w:val="superscript"/>
          <w:lang w:val="en-GB" w:eastAsia="en-GB"/>
        </w:rPr>
        <w:t>‡</w:t>
      </w:r>
      <w:r w:rsidRPr="00B305BE">
        <w:rPr>
          <w:rFonts w:eastAsia="Calibri"/>
          <w:color w:val="000000" w:themeColor="text1"/>
          <w:lang w:val="en-GB" w:eastAsia="en-GB"/>
        </w:rPr>
        <w:t>Authors contributed equally to this work</w:t>
      </w:r>
    </w:p>
    <w:p w14:paraId="35CE59C6" w14:textId="77777777" w:rsidR="006B2BDB" w:rsidRPr="00B305BE" w:rsidRDefault="006B2BDB" w:rsidP="006B2BDB">
      <w:pPr>
        <w:rPr>
          <w:lang w:val="es-CO"/>
        </w:rPr>
      </w:pPr>
    </w:p>
    <w:p w14:paraId="4856DC31" w14:textId="0A8B054E" w:rsidR="006B2BDB" w:rsidRPr="00B305BE" w:rsidRDefault="006B2BDB" w:rsidP="006B2BDB">
      <w:pPr>
        <w:rPr>
          <w:lang w:val="es-CO"/>
        </w:rPr>
      </w:pPr>
      <w:r w:rsidRPr="00B305BE">
        <w:rPr>
          <w:lang w:val="es-CO"/>
        </w:rPr>
        <w:t xml:space="preserve">Lydia M. Contreras </w:t>
      </w:r>
    </w:p>
    <w:p w14:paraId="474A26C8" w14:textId="77777777" w:rsidR="006B2BDB" w:rsidRPr="00B305BE" w:rsidRDefault="006B2BDB" w:rsidP="006B2BDB">
      <w:pPr>
        <w:rPr>
          <w:lang w:val="es-CO"/>
        </w:rPr>
      </w:pPr>
      <w:r w:rsidRPr="00B305BE">
        <w:rPr>
          <w:lang w:val="es-CO"/>
        </w:rPr>
        <w:t>Email:  lcontrer@che.utexas.edu</w:t>
      </w:r>
    </w:p>
    <w:p w14:paraId="02BE9E7A" w14:textId="77777777" w:rsidR="006B2BDB" w:rsidRPr="00B305BE" w:rsidRDefault="006B2BDB" w:rsidP="006B2BDB">
      <w:pPr>
        <w:rPr>
          <w:lang w:val="es-CO"/>
        </w:rPr>
      </w:pPr>
    </w:p>
    <w:p w14:paraId="65D25D4C" w14:textId="77777777" w:rsidR="006B2BDB" w:rsidRPr="00B305BE" w:rsidRDefault="006B2BDB" w:rsidP="006B2BDB">
      <w:pPr>
        <w:rPr>
          <w:b/>
          <w:lang w:val="es-CO"/>
        </w:rPr>
      </w:pPr>
    </w:p>
    <w:p w14:paraId="5252288B" w14:textId="77777777" w:rsidR="006B2BDB" w:rsidRPr="00B305BE" w:rsidRDefault="006B2BDB" w:rsidP="006B2BDB">
      <w:pPr>
        <w:rPr>
          <w:b/>
        </w:rPr>
      </w:pPr>
      <w:r w:rsidRPr="00B305BE">
        <w:rPr>
          <w:b/>
        </w:rPr>
        <w:t>This PDF file includes:</w:t>
      </w:r>
    </w:p>
    <w:p w14:paraId="34EA379C" w14:textId="77777777" w:rsidR="006B2BDB" w:rsidRPr="00B305BE" w:rsidRDefault="006B2BDB" w:rsidP="006B2BDB"/>
    <w:p w14:paraId="54741788" w14:textId="31342B9D" w:rsidR="006B2BDB" w:rsidRPr="001D3420" w:rsidRDefault="006B2BDB" w:rsidP="006B2BDB">
      <w:r w:rsidRPr="00B305BE">
        <w:tab/>
      </w:r>
      <w:r w:rsidRPr="001D3420">
        <w:t xml:space="preserve">Supplementary </w:t>
      </w:r>
      <w:r w:rsidR="00D81A5B" w:rsidRPr="001D3420">
        <w:t>Methods</w:t>
      </w:r>
    </w:p>
    <w:p w14:paraId="56ADBC8A" w14:textId="0B67B110" w:rsidR="006B2BDB" w:rsidRPr="001D3420" w:rsidRDefault="006B2BDB" w:rsidP="006B2BDB">
      <w:r w:rsidRPr="001D3420">
        <w:tab/>
        <w:t>Fig</w:t>
      </w:r>
      <w:r w:rsidR="00D81A5B" w:rsidRPr="001D3420">
        <w:t xml:space="preserve">ure S1 </w:t>
      </w:r>
      <w:r w:rsidR="00922519" w:rsidRPr="001D3420">
        <w:t>– S3</w:t>
      </w:r>
    </w:p>
    <w:p w14:paraId="05D59230" w14:textId="77777777" w:rsidR="006B2BDB" w:rsidRPr="001D3420" w:rsidRDefault="006B2BDB" w:rsidP="006B2BDB"/>
    <w:p w14:paraId="6D55DC07" w14:textId="77777777" w:rsidR="006B2BDB" w:rsidRPr="001D3420" w:rsidRDefault="006B2BDB" w:rsidP="006B2BDB">
      <w:r w:rsidRPr="001D3420">
        <w:rPr>
          <w:b/>
        </w:rPr>
        <w:t xml:space="preserve">Other supplementary materials for this manuscript include the following: </w:t>
      </w:r>
    </w:p>
    <w:p w14:paraId="11E6F946" w14:textId="77777777" w:rsidR="006B2BDB" w:rsidRPr="001D3420" w:rsidRDefault="006B2BDB" w:rsidP="006B2BDB"/>
    <w:p w14:paraId="291BF090" w14:textId="4376F8AA" w:rsidR="006B2BDB" w:rsidRPr="001D3420" w:rsidRDefault="006B2BDB" w:rsidP="001D3420">
      <w:pPr>
        <w:ind w:left="720"/>
        <w:sectPr w:rsidR="006B2BDB" w:rsidRPr="001D3420" w:rsidSect="0094194D">
          <w:pgSz w:w="12240" w:h="15840"/>
          <w:pgMar w:top="1440" w:right="1440" w:bottom="1440" w:left="1440" w:header="720" w:footer="720" w:gutter="0"/>
          <w:cols w:space="720"/>
          <w:docGrid w:linePitch="360"/>
        </w:sectPr>
      </w:pPr>
      <w:r w:rsidRPr="001D3420">
        <w:t xml:space="preserve">Dataset 1: S1 </w:t>
      </w:r>
      <w:r w:rsidR="00D70E14">
        <w:t>–</w:t>
      </w:r>
      <w:r w:rsidRPr="001D3420">
        <w:t xml:space="preserve"> S</w:t>
      </w:r>
      <w:r w:rsidR="00F00CF2">
        <w:t>9</w:t>
      </w:r>
    </w:p>
    <w:p w14:paraId="5FE3BE08" w14:textId="411F0F19" w:rsidR="00674866" w:rsidRPr="00B305BE" w:rsidRDefault="00A57AB6" w:rsidP="00B305BE">
      <w:pPr>
        <w:pStyle w:val="Heading2"/>
      </w:pPr>
      <w:r w:rsidRPr="00B305BE">
        <w:lastRenderedPageBreak/>
        <w:t>Supplement</w:t>
      </w:r>
      <w:r w:rsidR="00674866" w:rsidRPr="00B305BE">
        <w:t xml:space="preserve">al </w:t>
      </w:r>
      <w:r w:rsidRPr="00B305BE">
        <w:t>Methods</w:t>
      </w:r>
    </w:p>
    <w:p w14:paraId="5F9307E0" w14:textId="77777777" w:rsidR="006B2BDB" w:rsidRPr="00B305BE" w:rsidRDefault="006B2BDB" w:rsidP="00674866">
      <w:pPr>
        <w:rPr>
          <w:b/>
          <w:color w:val="000000" w:themeColor="text1"/>
        </w:rPr>
      </w:pPr>
    </w:p>
    <w:p w14:paraId="0E5308F2" w14:textId="2E9A0B5B" w:rsidR="00674866" w:rsidRPr="00B305BE" w:rsidRDefault="00674866" w:rsidP="00B305BE">
      <w:pPr>
        <w:pStyle w:val="Heading3"/>
      </w:pPr>
      <w:r w:rsidRPr="00B305BE">
        <w:t xml:space="preserve">Formaldehyde Exposure </w:t>
      </w:r>
    </w:p>
    <w:p w14:paraId="2E4FCF14" w14:textId="77777777" w:rsidR="006B2BDB" w:rsidRPr="00B305BE" w:rsidRDefault="006B2BDB" w:rsidP="007D749F">
      <w:pPr>
        <w:rPr>
          <w:color w:val="000000" w:themeColor="text1"/>
        </w:rPr>
      </w:pPr>
    </w:p>
    <w:p w14:paraId="525D4CE4" w14:textId="6D6A1398" w:rsidR="00A57AB6" w:rsidRPr="00B305BE" w:rsidRDefault="006B2BDB" w:rsidP="007D749F">
      <w:pPr>
        <w:rPr>
          <w:color w:val="000000" w:themeColor="text1"/>
        </w:rPr>
      </w:pPr>
      <w:r w:rsidRPr="00B305BE">
        <w:rPr>
          <w:b/>
          <w:bCs/>
          <w:color w:val="000000" w:themeColor="text1"/>
        </w:rPr>
        <w:t xml:space="preserve">Table </w:t>
      </w:r>
      <w:r w:rsidR="00300D7E">
        <w:rPr>
          <w:b/>
          <w:bCs/>
          <w:color w:val="000000" w:themeColor="text1"/>
        </w:rPr>
        <w:t>M</w:t>
      </w:r>
      <w:r w:rsidR="00A57AB6" w:rsidRPr="00B305BE">
        <w:rPr>
          <w:b/>
          <w:bCs/>
          <w:color w:val="000000" w:themeColor="text1"/>
        </w:rPr>
        <w:t>1.</w:t>
      </w:r>
      <w:r w:rsidR="00A57AB6" w:rsidRPr="00B305BE">
        <w:rPr>
          <w:color w:val="000000" w:themeColor="text1"/>
        </w:rPr>
        <w:t xml:space="preserve"> The amount of paraformaldehyde powder and resulting gas concentration for each exposure.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614"/>
        <w:gridCol w:w="2347"/>
      </w:tblGrid>
      <w:tr w:rsidR="00A57AB6" w:rsidRPr="00B305BE" w14:paraId="7292C246" w14:textId="77777777" w:rsidTr="00580B2D">
        <w:trPr>
          <w:jc w:val="center"/>
        </w:trPr>
        <w:tc>
          <w:tcPr>
            <w:tcW w:w="1526" w:type="dxa"/>
            <w:tcBorders>
              <w:top w:val="single" w:sz="4" w:space="0" w:color="auto"/>
              <w:bottom w:val="single" w:sz="4" w:space="0" w:color="auto"/>
            </w:tcBorders>
          </w:tcPr>
          <w:p w14:paraId="605B9EF1" w14:textId="77777777" w:rsidR="00A57AB6" w:rsidRPr="00B305BE" w:rsidRDefault="00A57AB6" w:rsidP="0050406A">
            <w:pPr>
              <w:jc w:val="center"/>
              <w:rPr>
                <w:color w:val="000000" w:themeColor="text1"/>
              </w:rPr>
            </w:pPr>
            <w:r w:rsidRPr="00B305BE">
              <w:rPr>
                <w:color w:val="000000" w:themeColor="text1"/>
              </w:rPr>
              <w:t>Date</w:t>
            </w:r>
          </w:p>
        </w:tc>
        <w:tc>
          <w:tcPr>
            <w:tcW w:w="2614" w:type="dxa"/>
            <w:tcBorders>
              <w:top w:val="single" w:sz="4" w:space="0" w:color="auto"/>
              <w:bottom w:val="single" w:sz="4" w:space="0" w:color="auto"/>
            </w:tcBorders>
          </w:tcPr>
          <w:p w14:paraId="35ED74C5" w14:textId="5BF917D3" w:rsidR="00A57AB6" w:rsidRPr="00B305BE" w:rsidRDefault="00A57AB6" w:rsidP="0050406A">
            <w:pPr>
              <w:jc w:val="center"/>
              <w:rPr>
                <w:color w:val="000000" w:themeColor="text1"/>
              </w:rPr>
            </w:pPr>
            <w:r w:rsidRPr="00B305BE">
              <w:rPr>
                <w:color w:val="000000" w:themeColor="text1"/>
              </w:rPr>
              <w:t>Powder weighed (mg</w:t>
            </w:r>
            <w:r w:rsidR="00580B2D" w:rsidRPr="00B305BE">
              <w:rPr>
                <w:color w:val="000000" w:themeColor="text1"/>
                <w:u w:val="single"/>
              </w:rPr>
              <w:t>+0.1</w:t>
            </w:r>
            <w:r w:rsidRPr="00B305BE">
              <w:rPr>
                <w:color w:val="000000" w:themeColor="text1"/>
              </w:rPr>
              <w:t>)</w:t>
            </w:r>
          </w:p>
        </w:tc>
        <w:tc>
          <w:tcPr>
            <w:tcW w:w="2347" w:type="dxa"/>
            <w:tcBorders>
              <w:top w:val="single" w:sz="4" w:space="0" w:color="auto"/>
              <w:bottom w:val="single" w:sz="4" w:space="0" w:color="auto"/>
            </w:tcBorders>
          </w:tcPr>
          <w:p w14:paraId="71A56EA6" w14:textId="77777777" w:rsidR="00A57AB6" w:rsidRPr="00B305BE" w:rsidRDefault="00A57AB6" w:rsidP="0050406A">
            <w:pPr>
              <w:jc w:val="center"/>
              <w:rPr>
                <w:color w:val="000000" w:themeColor="text1"/>
              </w:rPr>
            </w:pPr>
            <w:r w:rsidRPr="00B305BE">
              <w:rPr>
                <w:color w:val="000000" w:themeColor="text1"/>
              </w:rPr>
              <w:t>Gas concentration (ppb)</w:t>
            </w:r>
          </w:p>
        </w:tc>
      </w:tr>
      <w:tr w:rsidR="00A57AB6" w:rsidRPr="00B305BE" w14:paraId="73B3685F" w14:textId="77777777" w:rsidTr="00580B2D">
        <w:trPr>
          <w:jc w:val="center"/>
        </w:trPr>
        <w:tc>
          <w:tcPr>
            <w:tcW w:w="1526" w:type="dxa"/>
            <w:tcBorders>
              <w:top w:val="single" w:sz="4" w:space="0" w:color="auto"/>
            </w:tcBorders>
          </w:tcPr>
          <w:p w14:paraId="0333EDE5" w14:textId="77777777" w:rsidR="00A57AB6" w:rsidRPr="00B305BE" w:rsidRDefault="00A57AB6" w:rsidP="0050406A">
            <w:pPr>
              <w:jc w:val="center"/>
              <w:rPr>
                <w:color w:val="000000" w:themeColor="text1"/>
              </w:rPr>
            </w:pPr>
            <w:r w:rsidRPr="00B305BE">
              <w:rPr>
                <w:color w:val="000000" w:themeColor="text1"/>
              </w:rPr>
              <w:t>2018/07/12</w:t>
            </w:r>
          </w:p>
        </w:tc>
        <w:tc>
          <w:tcPr>
            <w:tcW w:w="2614" w:type="dxa"/>
            <w:tcBorders>
              <w:top w:val="single" w:sz="4" w:space="0" w:color="auto"/>
            </w:tcBorders>
          </w:tcPr>
          <w:p w14:paraId="7A3A2468" w14:textId="77777777" w:rsidR="00A57AB6" w:rsidRPr="00B305BE" w:rsidRDefault="00A57AB6" w:rsidP="0050406A">
            <w:pPr>
              <w:jc w:val="center"/>
              <w:rPr>
                <w:color w:val="000000" w:themeColor="text1"/>
              </w:rPr>
            </w:pPr>
            <w:r w:rsidRPr="00B305BE">
              <w:rPr>
                <w:color w:val="000000" w:themeColor="text1"/>
              </w:rPr>
              <w:t>12.8</w:t>
            </w:r>
          </w:p>
        </w:tc>
        <w:tc>
          <w:tcPr>
            <w:tcW w:w="2347" w:type="dxa"/>
            <w:tcBorders>
              <w:top w:val="single" w:sz="4" w:space="0" w:color="auto"/>
            </w:tcBorders>
          </w:tcPr>
          <w:p w14:paraId="2393AF28" w14:textId="77777777" w:rsidR="00A57AB6" w:rsidRPr="00B305BE" w:rsidRDefault="00A57AB6" w:rsidP="0050406A">
            <w:pPr>
              <w:jc w:val="center"/>
              <w:rPr>
                <w:color w:val="000000" w:themeColor="text1"/>
              </w:rPr>
            </w:pPr>
            <w:r w:rsidRPr="00B305BE">
              <w:rPr>
                <w:color w:val="000000" w:themeColor="text1"/>
              </w:rPr>
              <w:t>1040</w:t>
            </w:r>
          </w:p>
        </w:tc>
      </w:tr>
      <w:tr w:rsidR="00A57AB6" w:rsidRPr="00B305BE" w14:paraId="1CCD5D48" w14:textId="77777777" w:rsidTr="00580B2D">
        <w:trPr>
          <w:jc w:val="center"/>
        </w:trPr>
        <w:tc>
          <w:tcPr>
            <w:tcW w:w="1526" w:type="dxa"/>
          </w:tcPr>
          <w:p w14:paraId="44B7F25B" w14:textId="77777777" w:rsidR="00A57AB6" w:rsidRPr="00B305BE" w:rsidRDefault="00A57AB6" w:rsidP="0050406A">
            <w:pPr>
              <w:jc w:val="center"/>
              <w:rPr>
                <w:color w:val="000000" w:themeColor="text1"/>
              </w:rPr>
            </w:pPr>
            <w:r w:rsidRPr="00B305BE">
              <w:rPr>
                <w:color w:val="000000" w:themeColor="text1"/>
              </w:rPr>
              <w:t>2018/07/14</w:t>
            </w:r>
          </w:p>
        </w:tc>
        <w:tc>
          <w:tcPr>
            <w:tcW w:w="2614" w:type="dxa"/>
          </w:tcPr>
          <w:p w14:paraId="5FD971FC" w14:textId="77777777" w:rsidR="00A57AB6" w:rsidRPr="00B305BE" w:rsidRDefault="00A57AB6" w:rsidP="0050406A">
            <w:pPr>
              <w:jc w:val="center"/>
              <w:rPr>
                <w:color w:val="000000" w:themeColor="text1"/>
              </w:rPr>
            </w:pPr>
            <w:r w:rsidRPr="00B305BE">
              <w:rPr>
                <w:color w:val="000000" w:themeColor="text1"/>
              </w:rPr>
              <w:t>13.2</w:t>
            </w:r>
          </w:p>
        </w:tc>
        <w:tc>
          <w:tcPr>
            <w:tcW w:w="2347" w:type="dxa"/>
          </w:tcPr>
          <w:p w14:paraId="33F6C416" w14:textId="77777777" w:rsidR="00A57AB6" w:rsidRPr="00B305BE" w:rsidRDefault="00A57AB6" w:rsidP="0050406A">
            <w:pPr>
              <w:jc w:val="center"/>
              <w:rPr>
                <w:color w:val="000000" w:themeColor="text1"/>
              </w:rPr>
            </w:pPr>
            <w:r w:rsidRPr="00B305BE">
              <w:rPr>
                <w:color w:val="000000" w:themeColor="text1"/>
              </w:rPr>
              <w:t>1070</w:t>
            </w:r>
          </w:p>
        </w:tc>
      </w:tr>
      <w:tr w:rsidR="00A57AB6" w:rsidRPr="00B305BE" w14:paraId="11260B92" w14:textId="77777777" w:rsidTr="00580B2D">
        <w:trPr>
          <w:jc w:val="center"/>
        </w:trPr>
        <w:tc>
          <w:tcPr>
            <w:tcW w:w="1526" w:type="dxa"/>
            <w:tcBorders>
              <w:bottom w:val="single" w:sz="4" w:space="0" w:color="auto"/>
            </w:tcBorders>
          </w:tcPr>
          <w:p w14:paraId="0D804C1B" w14:textId="77777777" w:rsidR="00A57AB6" w:rsidRPr="00B305BE" w:rsidRDefault="00A57AB6" w:rsidP="0050406A">
            <w:pPr>
              <w:jc w:val="center"/>
              <w:rPr>
                <w:color w:val="000000" w:themeColor="text1"/>
              </w:rPr>
            </w:pPr>
            <w:r w:rsidRPr="00B305BE">
              <w:rPr>
                <w:color w:val="000000" w:themeColor="text1"/>
              </w:rPr>
              <w:t>2018/07/16</w:t>
            </w:r>
          </w:p>
        </w:tc>
        <w:tc>
          <w:tcPr>
            <w:tcW w:w="2614" w:type="dxa"/>
            <w:tcBorders>
              <w:bottom w:val="single" w:sz="4" w:space="0" w:color="auto"/>
            </w:tcBorders>
          </w:tcPr>
          <w:p w14:paraId="0DF45D16" w14:textId="77777777" w:rsidR="00A57AB6" w:rsidRPr="00B305BE" w:rsidRDefault="00A57AB6" w:rsidP="0050406A">
            <w:pPr>
              <w:jc w:val="center"/>
              <w:rPr>
                <w:color w:val="000000" w:themeColor="text1"/>
              </w:rPr>
            </w:pPr>
            <w:r w:rsidRPr="00B305BE">
              <w:rPr>
                <w:color w:val="000000" w:themeColor="text1"/>
              </w:rPr>
              <w:t xml:space="preserve">12.6 </w:t>
            </w:r>
          </w:p>
        </w:tc>
        <w:tc>
          <w:tcPr>
            <w:tcW w:w="2347" w:type="dxa"/>
            <w:tcBorders>
              <w:bottom w:val="single" w:sz="4" w:space="0" w:color="auto"/>
            </w:tcBorders>
          </w:tcPr>
          <w:p w14:paraId="72A3CE16" w14:textId="77777777" w:rsidR="00A57AB6" w:rsidRPr="00B305BE" w:rsidRDefault="00A57AB6" w:rsidP="0050406A">
            <w:pPr>
              <w:jc w:val="center"/>
              <w:rPr>
                <w:color w:val="000000" w:themeColor="text1"/>
              </w:rPr>
            </w:pPr>
            <w:r w:rsidRPr="00B305BE">
              <w:rPr>
                <w:color w:val="000000" w:themeColor="text1"/>
              </w:rPr>
              <w:t>1030</w:t>
            </w:r>
          </w:p>
        </w:tc>
      </w:tr>
    </w:tbl>
    <w:p w14:paraId="52E7F097" w14:textId="77777777" w:rsidR="0050406A" w:rsidRPr="00B305BE" w:rsidRDefault="0050406A"/>
    <w:p w14:paraId="799625D3" w14:textId="25C745DD" w:rsidR="00A57AB6" w:rsidRPr="00B305BE" w:rsidRDefault="00A57AB6" w:rsidP="00A57AB6">
      <w:pPr>
        <w:jc w:val="both"/>
        <w:rPr>
          <w:color w:val="000000" w:themeColor="text1"/>
        </w:rPr>
      </w:pPr>
      <w:r w:rsidRPr="00B305BE">
        <w:rPr>
          <w:color w:val="000000" w:themeColor="text1"/>
        </w:rPr>
        <w:t xml:space="preserve">The conversion of the paraformaldehyde powder mass to gas-phase formaldehyde concentration </w:t>
      </w:r>
      <w:r w:rsidR="00D93A8F">
        <w:rPr>
          <w:color w:val="000000" w:themeColor="text1"/>
        </w:rPr>
        <w:t xml:space="preserve">(Table M1) </w:t>
      </w:r>
      <w:r w:rsidRPr="00B305BE">
        <w:rPr>
          <w:color w:val="000000" w:themeColor="text1"/>
        </w:rPr>
        <w:t>was performed assuming complete powder volatilization and a chamber volume of 10 m</w:t>
      </w:r>
      <w:r w:rsidRPr="00B305BE">
        <w:rPr>
          <w:color w:val="000000" w:themeColor="text1"/>
          <w:vertAlign w:val="superscript"/>
        </w:rPr>
        <w:t>3</w:t>
      </w:r>
      <w:r w:rsidRPr="00B305BE">
        <w:rPr>
          <w:color w:val="000000" w:themeColor="text1"/>
        </w:rPr>
        <w:t xml:space="preserve"> at standard conditions (1 </w:t>
      </w:r>
      <w:proofErr w:type="spellStart"/>
      <w:r w:rsidRPr="00B305BE">
        <w:rPr>
          <w:color w:val="000000" w:themeColor="text1"/>
        </w:rPr>
        <w:t>atm</w:t>
      </w:r>
      <w:proofErr w:type="spellEnd"/>
      <w:r w:rsidRPr="00B305BE">
        <w:rPr>
          <w:color w:val="000000" w:themeColor="text1"/>
        </w:rPr>
        <w:t xml:space="preserve"> and 298 K), according to Equation 1,</w:t>
      </w:r>
    </w:p>
    <w:p w14:paraId="5E376613" w14:textId="77777777" w:rsidR="00674866" w:rsidRPr="00B305BE" w:rsidRDefault="00674866" w:rsidP="00A57AB6">
      <w:pPr>
        <w:jc w:val="both"/>
        <w:rPr>
          <w:color w:val="000000" w:themeColor="text1"/>
        </w:rPr>
      </w:pPr>
    </w:p>
    <w:p w14:paraId="03E3038E" w14:textId="5D418F98" w:rsidR="00A57AB6" w:rsidRPr="00B305BE" w:rsidRDefault="00A57AB6" w:rsidP="00A57AB6">
      <w:pPr>
        <w:jc w:val="both"/>
        <w:rPr>
          <w:color w:val="000000" w:themeColor="text1"/>
        </w:rPr>
      </w:pPr>
      <w:r w:rsidRPr="00B305BE">
        <w:rPr>
          <w:color w:val="000000" w:themeColor="text1"/>
        </w:rPr>
        <w:tab/>
      </w:r>
      <w:r w:rsidRPr="00B305BE">
        <w:rPr>
          <w:color w:val="000000" w:themeColor="text1"/>
        </w:rPr>
        <w:tab/>
      </w:r>
      <w:r w:rsidRPr="00B305BE">
        <w:rPr>
          <w:color w:val="000000" w:themeColor="text1"/>
        </w:rPr>
        <w:tab/>
      </w:r>
      <m:oMath>
        <m:r>
          <w:rPr>
            <w:rFonts w:ascii="Cambria Math" w:hAnsi="Cambria Math"/>
            <w:color w:val="000000" w:themeColor="text1"/>
          </w:rPr>
          <m:t>C=M×</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3</m:t>
            </m:r>
          </m:sup>
        </m:sSup>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0.0409*MW</m:t>
                </m:r>
              </m:e>
            </m:d>
          </m:e>
          <m:sup>
            <m:r>
              <w:rPr>
                <w:rFonts w:ascii="Cambria Math" w:hAnsi="Cambria Math"/>
                <w:color w:val="000000" w:themeColor="text1"/>
              </w:rPr>
              <m:t>-1</m:t>
            </m:r>
          </m:sup>
        </m:sSup>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10</m:t>
                </m:r>
              </m:e>
            </m:d>
          </m:e>
          <m:sup>
            <m:r>
              <w:rPr>
                <w:rFonts w:ascii="Cambria Math" w:hAnsi="Cambria Math"/>
                <w:color w:val="000000" w:themeColor="text1"/>
              </w:rPr>
              <m:t>-1</m:t>
            </m:r>
          </m:sup>
        </m:sSup>
        <m:r>
          <w:rPr>
            <w:rFonts w:ascii="Cambria Math" w:hAnsi="Cambria Math"/>
            <w:color w:val="000000" w:themeColor="text1"/>
          </w:rPr>
          <m:t xml:space="preserve"> </m:t>
        </m:r>
      </m:oMath>
      <w:r w:rsidRPr="00B305BE">
        <w:rPr>
          <w:color w:val="000000" w:themeColor="text1"/>
        </w:rPr>
        <w:tab/>
      </w:r>
      <w:r w:rsidRPr="00B305BE">
        <w:rPr>
          <w:color w:val="000000" w:themeColor="text1"/>
        </w:rPr>
        <w:tab/>
      </w:r>
      <w:r w:rsidR="00674866" w:rsidRPr="00B305BE">
        <w:rPr>
          <w:color w:val="000000" w:themeColor="text1"/>
        </w:rPr>
        <w:tab/>
        <w:t xml:space="preserve"> (1)</w:t>
      </w:r>
    </w:p>
    <w:p w14:paraId="370C1416" w14:textId="77777777" w:rsidR="00A57AB6" w:rsidRPr="00B305BE" w:rsidRDefault="00A57AB6" w:rsidP="00A57AB6">
      <w:pPr>
        <w:jc w:val="both"/>
        <w:rPr>
          <w:color w:val="000000" w:themeColor="text1"/>
        </w:rPr>
      </w:pPr>
    </w:p>
    <w:p w14:paraId="656B5DFE" w14:textId="77777777" w:rsidR="00A57AB6" w:rsidRPr="00B305BE" w:rsidRDefault="00A57AB6" w:rsidP="00A57AB6">
      <w:pPr>
        <w:jc w:val="both"/>
        <w:rPr>
          <w:color w:val="000000" w:themeColor="text1"/>
        </w:rPr>
      </w:pPr>
      <w:r w:rsidRPr="00B305BE">
        <w:rPr>
          <w:color w:val="000000" w:themeColor="text1"/>
        </w:rPr>
        <w:t xml:space="preserve">where </w:t>
      </w:r>
      <w:r w:rsidRPr="00B305BE">
        <w:rPr>
          <w:i/>
          <w:color w:val="000000" w:themeColor="text1"/>
        </w:rPr>
        <w:t>C</w:t>
      </w:r>
      <w:r w:rsidRPr="00B305BE">
        <w:rPr>
          <w:color w:val="000000" w:themeColor="text1"/>
        </w:rPr>
        <w:t xml:space="preserve"> is the gas-phase formaldehyde concentration in ppb, </w:t>
      </w:r>
      <w:r w:rsidRPr="00B305BE">
        <w:rPr>
          <w:i/>
          <w:color w:val="000000" w:themeColor="text1"/>
        </w:rPr>
        <w:t>M</w:t>
      </w:r>
      <w:r w:rsidRPr="00B305BE">
        <w:rPr>
          <w:color w:val="000000" w:themeColor="text1"/>
        </w:rPr>
        <w:t xml:space="preserve"> is the mass of paraformaldehyde powder weighed in mg, and </w:t>
      </w:r>
      <w:r w:rsidRPr="00B305BE">
        <w:rPr>
          <w:i/>
          <w:color w:val="000000" w:themeColor="text1"/>
        </w:rPr>
        <w:t>MW</w:t>
      </w:r>
      <w:r w:rsidRPr="00B305BE">
        <w:rPr>
          <w:color w:val="000000" w:themeColor="text1"/>
        </w:rPr>
        <w:t xml:space="preserve"> is the molecular weight of formaldehyde (30.031 g mol</w:t>
      </w:r>
      <w:r w:rsidRPr="00B305BE">
        <w:rPr>
          <w:color w:val="000000" w:themeColor="text1"/>
          <w:vertAlign w:val="superscript"/>
        </w:rPr>
        <w:t>-1</w:t>
      </w:r>
      <w:r w:rsidRPr="00B305BE">
        <w:rPr>
          <w:color w:val="000000" w:themeColor="text1"/>
        </w:rPr>
        <w:t xml:space="preserve">). </w:t>
      </w:r>
    </w:p>
    <w:p w14:paraId="0882F759" w14:textId="77777777" w:rsidR="00A57AB6" w:rsidRPr="00B305BE" w:rsidRDefault="00A57AB6"/>
    <w:p w14:paraId="11A046EA" w14:textId="5486EAA9" w:rsidR="00A57AB6" w:rsidRPr="00B305BE" w:rsidRDefault="00A57AB6" w:rsidP="00A57AB6">
      <w:pPr>
        <w:jc w:val="both"/>
        <w:rPr>
          <w:color w:val="000000" w:themeColor="text1"/>
        </w:rPr>
      </w:pPr>
      <w:r w:rsidRPr="00B305BE">
        <w:rPr>
          <w:color w:val="000000" w:themeColor="text1"/>
        </w:rPr>
        <w:t>A high-resolution time-of-flight chemical ionization mass spectrometer (CIMS, Aerodyne, Billerica, MA) was used to monitor the molecular composition of gas-phase compounds using (H</w:t>
      </w:r>
      <w:r w:rsidRPr="00B305BE">
        <w:rPr>
          <w:color w:val="000000" w:themeColor="text1"/>
          <w:vertAlign w:val="subscript"/>
        </w:rPr>
        <w:t>2</w:t>
      </w:r>
      <w:r w:rsidRPr="00B305BE">
        <w:rPr>
          <w:color w:val="000000" w:themeColor="text1"/>
        </w:rPr>
        <w:t>O)</w:t>
      </w:r>
      <w:r w:rsidRPr="00B305BE">
        <w:rPr>
          <w:color w:val="000000" w:themeColor="text1"/>
          <w:vertAlign w:val="subscript"/>
        </w:rPr>
        <w:t>n</w:t>
      </w:r>
      <w:r w:rsidRPr="00B305BE">
        <w:rPr>
          <w:color w:val="000000" w:themeColor="text1"/>
        </w:rPr>
        <w:t>H</w:t>
      </w:r>
      <w:r w:rsidRPr="00B305BE">
        <w:rPr>
          <w:color w:val="000000" w:themeColor="text1"/>
          <w:vertAlign w:val="subscript"/>
        </w:rPr>
        <w:t>3</w:t>
      </w:r>
      <w:r w:rsidRPr="00B305BE">
        <w:rPr>
          <w:color w:val="000000" w:themeColor="text1"/>
        </w:rPr>
        <w:t>O</w:t>
      </w:r>
      <w:r w:rsidRPr="00B305BE">
        <w:rPr>
          <w:color w:val="000000" w:themeColor="text1"/>
          <w:vertAlign w:val="superscript"/>
        </w:rPr>
        <w:t>+</w:t>
      </w:r>
      <w:r w:rsidRPr="00B305BE">
        <w:rPr>
          <w:color w:val="000000" w:themeColor="text1"/>
        </w:rPr>
        <w:t xml:space="preserve"> as the chemical ionization reagent in the positive ion detection mode</w:t>
      </w:r>
      <w:r w:rsidR="003D3D18" w:rsidRPr="00B305BE">
        <w:rPr>
          <w:color w:val="000000" w:themeColor="text1"/>
        </w:rPr>
        <w:fldChar w:fldCharType="begin" w:fldLock="1"/>
      </w:r>
      <w:r w:rsidR="002A02D8" w:rsidRPr="00B305BE">
        <w:rPr>
          <w:color w:val="000000" w:themeColor="text1"/>
        </w:rPr>
        <w:instrText>ADDIN CSL_CITATION {"citationItems":[{"id":"ITEM-1","itemData":{"DOI":"10.5194/amt-6-3211-2013","ISBN":"1867-1381; 1867-8548","ISSN":"18671381","PMID":"1206","abstract":"This paper demonstrates the capabilities of chemical ionization mass spectrometry (CIMS) to study secondary organic aerosol (SOA) composition with a high-resolution (HR) time-of-flight mass analyzer (aerosol-ToF-CIMS). In particular, by studying aqueous oxidation of water-soluble organic compounds (WSOC) extracted from alpha -pinene ozonolysis SOA, we assess the capabilities of three common CIMS reagent ions: (a) protonated water clusters (H2O)(n)H+, (b) acetate CH3C(O)O- and (c) iodide water clusters I(H2O)(n)(-) to monitor SOA composition. Furthermore, we report the relative sensitivity of these reagent ions to a wide range of common organic aerosol constituents. We find that (H2O)(n)H+ is more selective to the detection of less oxidized species, so that the range of O/C and OSC (carbon oxidation state) in the SOA spectra is considerably lower than those measured using CH3C(O)O- and I(H2O)(n)(-). Specifically, (H2O)(n)H+ ionizes organic compounds with OSC &lt;= 1.3, whereas CH3C(O)O- and I(H2O)(n)(-) both ionize highly oxygenated organics with OSC up to 4 with I(H2O)(n)(-) being more selective towards multi-functional organic compounds. In the bulk O/C and H/C space (in a Van Krevelen plot), there is a remarkable agreement in both absolute magnitude and oxidation trajectory between ToF-CIMS data and those from a high-resolution aerosol mass spectrometer (HR-AMS). Despite not using a sensitivity-weighted response for the ToF-CIMS data, the CIMS approach appears to capture much of the chemical change occurring. As demonstrated by the calibration experiments with standards, this is likely because there is not a large variability in sensitivities from one highly oxygenated species to another, particularly for the CH3C(O)O- and I((HO)-O-2)(n)(-) reagent ions. Finally, the data illustrate the capability of aerosol-ToF-CIMS to monitor specific chemical change, including the fragmentation and functionalization reactions that occur during organic oxidation, and the oxidative conversion of dimeric SOA species into monomers. Overall, aerosol-ToF-CIMS is a valuable, selective complement to some common SOA characterization methods, such as AMS and spectroscopic techniques. Both laboratory and ambient SOA samples can be analyzed using the techniques illustrated in the paper.","author":[{"dropping-particle":"","family":"Aljawhary","given":"D.","non-dropping-particle":"","parse-names":false,"suffix":""},{"dropping-particle":"","family":"Lee","given":"A. K.Y.","non-dropping-particle":"","parse-names":false,"suffix":""},{"dropping-particle":"","family":"Abbatt","given":"J. P.D.","non-dropping-particle":"","parse-names":false,"suffix":""}],"container-title":"Atmospheric Measurement Techniques","id":"ITEM-1","issue":"11","issued":{"date-parts":[["2013"]]},"page":"3211-3224","title":"High-resolution chemical ionization mass spectrometry (ToF-CIMS): Application to study SOA composition and processing","type":"article-journal","volume":"6"},"uris":["http://www.mendeley.com/documents/?uuid=0fe5c080-396f-4616-8316-bb6665986a8a"]}],"mendeley":{"formattedCitation":"&lt;sup&gt;1&lt;/sup&gt;","plainTextFormattedCitation":"1","previouslyFormattedCitation":"&lt;sup&gt;1&lt;/sup&gt;"},"properties":{"noteIndex":0},"schema":"https://github.com/citation-style-language/schema/raw/master/csl-citation.json"}</w:instrText>
      </w:r>
      <w:r w:rsidR="003D3D18" w:rsidRPr="00B305BE">
        <w:rPr>
          <w:color w:val="000000" w:themeColor="text1"/>
        </w:rPr>
        <w:fldChar w:fldCharType="separate"/>
      </w:r>
      <w:r w:rsidR="003D3D18" w:rsidRPr="00B305BE">
        <w:rPr>
          <w:noProof/>
          <w:color w:val="000000" w:themeColor="text1"/>
          <w:vertAlign w:val="superscript"/>
        </w:rPr>
        <w:t>1</w:t>
      </w:r>
      <w:r w:rsidR="003D3D18" w:rsidRPr="00B305BE">
        <w:rPr>
          <w:color w:val="000000" w:themeColor="text1"/>
        </w:rPr>
        <w:fldChar w:fldCharType="end"/>
      </w:r>
      <w:r w:rsidR="003D3D18" w:rsidRPr="00B305BE">
        <w:rPr>
          <w:color w:val="000000" w:themeColor="text1"/>
        </w:rPr>
        <w:t xml:space="preserve">. </w:t>
      </w:r>
      <w:r w:rsidRPr="00B305BE">
        <w:rPr>
          <w:color w:val="000000" w:themeColor="text1"/>
        </w:rPr>
        <w:t>Similar to a proton transfer mass spectrometer (PTR-MS), the (H</w:t>
      </w:r>
      <w:r w:rsidRPr="00B305BE">
        <w:rPr>
          <w:color w:val="000000" w:themeColor="text1"/>
          <w:vertAlign w:val="subscript"/>
        </w:rPr>
        <w:t>2</w:t>
      </w:r>
      <w:r w:rsidRPr="00B305BE">
        <w:rPr>
          <w:color w:val="000000" w:themeColor="text1"/>
        </w:rPr>
        <w:t>O)</w:t>
      </w:r>
      <w:r w:rsidRPr="00B305BE">
        <w:rPr>
          <w:color w:val="000000" w:themeColor="text1"/>
          <w:vertAlign w:val="subscript"/>
        </w:rPr>
        <w:t>n</w:t>
      </w:r>
      <w:r w:rsidRPr="00B305BE">
        <w:rPr>
          <w:color w:val="000000" w:themeColor="text1"/>
        </w:rPr>
        <w:t>H</w:t>
      </w:r>
      <w:r w:rsidRPr="00B305BE">
        <w:rPr>
          <w:color w:val="000000" w:themeColor="text1"/>
          <w:vertAlign w:val="subscript"/>
        </w:rPr>
        <w:t>3</w:t>
      </w:r>
      <w:r w:rsidRPr="00B305BE">
        <w:rPr>
          <w:color w:val="000000" w:themeColor="text1"/>
        </w:rPr>
        <w:t>O</w:t>
      </w:r>
      <w:r w:rsidRPr="00B305BE">
        <w:rPr>
          <w:color w:val="000000" w:themeColor="text1"/>
          <w:vertAlign w:val="superscript"/>
        </w:rPr>
        <w:t>+</w:t>
      </w:r>
      <w:r w:rsidRPr="00B305BE">
        <w:rPr>
          <w:color w:val="000000" w:themeColor="text1"/>
        </w:rPr>
        <w:t xml:space="preserve"> </w:t>
      </w:r>
      <w:r w:rsidR="007D749F" w:rsidRPr="00B305BE">
        <w:rPr>
          <w:color w:val="000000" w:themeColor="text1"/>
        </w:rPr>
        <w:t>was</w:t>
      </w:r>
      <w:r w:rsidRPr="00B305BE">
        <w:rPr>
          <w:color w:val="000000" w:themeColor="text1"/>
        </w:rPr>
        <w:t xml:space="preserve"> used to detect unoxidized (e.g. sesquiterpenes and monoterpenes) to lightly oxidized volatile organic compounds (e.g. alcohols, ketones, and aldehydes) whose proton affinity is higher than that of the hydronium (and of hydronium-water clusters). Whereas the hydronium ion is the dominant chemical ionization reagent in the PTR-MS, the number of water clusters, </w:t>
      </w:r>
      <w:r w:rsidRPr="00B305BE">
        <w:rPr>
          <w:i/>
          <w:color w:val="000000" w:themeColor="text1"/>
        </w:rPr>
        <w:t>n</w:t>
      </w:r>
      <w:r w:rsidRPr="00B305BE">
        <w:rPr>
          <w:color w:val="000000" w:themeColor="text1"/>
        </w:rPr>
        <w:t xml:space="preserve"> ranged between 0 to 2 for (H</w:t>
      </w:r>
      <w:r w:rsidRPr="00B305BE">
        <w:rPr>
          <w:color w:val="000000" w:themeColor="text1"/>
          <w:vertAlign w:val="subscript"/>
        </w:rPr>
        <w:t>2</w:t>
      </w:r>
      <w:r w:rsidRPr="00B305BE">
        <w:rPr>
          <w:color w:val="000000" w:themeColor="text1"/>
        </w:rPr>
        <w:t>O)</w:t>
      </w:r>
      <w:r w:rsidRPr="00B305BE">
        <w:rPr>
          <w:color w:val="000000" w:themeColor="text1"/>
          <w:vertAlign w:val="subscript"/>
        </w:rPr>
        <w:t>n</w:t>
      </w:r>
      <w:r w:rsidRPr="00B305BE">
        <w:rPr>
          <w:color w:val="000000" w:themeColor="text1"/>
        </w:rPr>
        <w:t>H</w:t>
      </w:r>
      <w:r w:rsidRPr="00B305BE">
        <w:rPr>
          <w:color w:val="000000" w:themeColor="text1"/>
          <w:vertAlign w:val="subscript"/>
        </w:rPr>
        <w:t>3</w:t>
      </w:r>
      <w:r w:rsidRPr="00B305BE">
        <w:rPr>
          <w:color w:val="000000" w:themeColor="text1"/>
        </w:rPr>
        <w:t>O</w:t>
      </w:r>
      <w:r w:rsidRPr="00B305BE">
        <w:rPr>
          <w:color w:val="000000" w:themeColor="text1"/>
          <w:vertAlign w:val="superscript"/>
        </w:rPr>
        <w:t>+</w:t>
      </w:r>
      <w:r w:rsidRPr="00B305BE">
        <w:rPr>
          <w:color w:val="000000" w:themeColor="text1"/>
        </w:rPr>
        <w:t xml:space="preserve"> CIMS, with (H</w:t>
      </w:r>
      <w:r w:rsidRPr="00B305BE">
        <w:rPr>
          <w:color w:val="000000" w:themeColor="text1"/>
          <w:vertAlign w:val="subscript"/>
        </w:rPr>
        <w:t>2</w:t>
      </w:r>
      <w:r w:rsidRPr="00B305BE">
        <w:rPr>
          <w:color w:val="000000" w:themeColor="text1"/>
        </w:rPr>
        <w:t>O)H</w:t>
      </w:r>
      <w:r w:rsidRPr="00B305BE">
        <w:rPr>
          <w:color w:val="000000" w:themeColor="text1"/>
          <w:vertAlign w:val="subscript"/>
        </w:rPr>
        <w:t>3</w:t>
      </w:r>
      <w:r w:rsidRPr="00B305BE">
        <w:rPr>
          <w:color w:val="000000" w:themeColor="text1"/>
        </w:rPr>
        <w:t>O</w:t>
      </w:r>
      <w:r w:rsidRPr="00B305BE">
        <w:rPr>
          <w:color w:val="000000" w:themeColor="text1"/>
          <w:vertAlign w:val="superscript"/>
        </w:rPr>
        <w:t>+</w:t>
      </w:r>
      <w:r w:rsidRPr="00B305BE">
        <w:rPr>
          <w:color w:val="000000" w:themeColor="text1"/>
        </w:rPr>
        <w:t xml:space="preserve"> being the dominant chemical ionization reagent ion. As the proton affinity increases from hydronium to hydronium-water cluster(s), the (H</w:t>
      </w:r>
      <w:r w:rsidRPr="00B305BE">
        <w:rPr>
          <w:color w:val="000000" w:themeColor="text1"/>
          <w:vertAlign w:val="subscript"/>
        </w:rPr>
        <w:t>2</w:t>
      </w:r>
      <w:r w:rsidRPr="00B305BE">
        <w:rPr>
          <w:color w:val="000000" w:themeColor="text1"/>
        </w:rPr>
        <w:t>O)</w:t>
      </w:r>
      <w:r w:rsidRPr="00B305BE">
        <w:rPr>
          <w:color w:val="000000" w:themeColor="text1"/>
          <w:vertAlign w:val="subscript"/>
        </w:rPr>
        <w:t>n</w:t>
      </w:r>
      <w:r w:rsidRPr="00B305BE">
        <w:rPr>
          <w:color w:val="000000" w:themeColor="text1"/>
        </w:rPr>
        <w:t>H</w:t>
      </w:r>
      <w:r w:rsidRPr="00B305BE">
        <w:rPr>
          <w:color w:val="000000" w:themeColor="text1"/>
          <w:vertAlign w:val="subscript"/>
        </w:rPr>
        <w:t>3</w:t>
      </w:r>
      <w:r w:rsidRPr="00B305BE">
        <w:rPr>
          <w:color w:val="000000" w:themeColor="text1"/>
        </w:rPr>
        <w:t>O</w:t>
      </w:r>
      <w:r w:rsidRPr="00B305BE">
        <w:rPr>
          <w:color w:val="000000" w:themeColor="text1"/>
          <w:vertAlign w:val="superscript"/>
        </w:rPr>
        <w:t>+</w:t>
      </w:r>
      <w:r w:rsidRPr="00B305BE">
        <w:rPr>
          <w:color w:val="000000" w:themeColor="text1"/>
        </w:rPr>
        <w:t xml:space="preserve"> is less sensitive than the PTR-MS and exhibits more complex clustering and fragmentation patterns in the mass spectra. Both the proton transfer (Reaction </w:t>
      </w:r>
      <w:r w:rsidR="00674866" w:rsidRPr="00B305BE">
        <w:rPr>
          <w:color w:val="000000" w:themeColor="text1"/>
        </w:rPr>
        <w:t>2</w:t>
      </w:r>
      <w:r w:rsidRPr="00B305BE">
        <w:rPr>
          <w:color w:val="000000" w:themeColor="text1"/>
        </w:rPr>
        <w:t xml:space="preserve">) and the ligand exchange (Reaction </w:t>
      </w:r>
      <w:r w:rsidR="00674866" w:rsidRPr="00B305BE">
        <w:rPr>
          <w:color w:val="000000" w:themeColor="text1"/>
        </w:rPr>
        <w:t>3</w:t>
      </w:r>
      <w:r w:rsidRPr="00B305BE">
        <w:rPr>
          <w:color w:val="000000" w:themeColor="text1"/>
        </w:rPr>
        <w:t>) ion products corresponding to gas-phase formaldehyde were observed,</w:t>
      </w:r>
    </w:p>
    <w:p w14:paraId="4CCD49C9" w14:textId="77777777" w:rsidR="00A57AB6" w:rsidRPr="00B305BE" w:rsidRDefault="00A57AB6" w:rsidP="00A57AB6">
      <w:pPr>
        <w:ind w:firstLine="720"/>
        <w:jc w:val="both"/>
        <w:rPr>
          <w:color w:val="000000" w:themeColor="text1"/>
        </w:rPr>
      </w:pPr>
    </w:p>
    <w:p w14:paraId="7A94887F" w14:textId="0066D588" w:rsidR="00A57AB6" w:rsidRPr="00B305BE" w:rsidRDefault="00A57AB6" w:rsidP="00A57AB6">
      <w:pPr>
        <w:ind w:left="2160" w:firstLine="720"/>
        <w:jc w:val="both"/>
        <w:rPr>
          <w:color w:val="000000" w:themeColor="text1"/>
        </w:rPr>
      </w:pPr>
      <m:oMath>
        <m:r>
          <w:rPr>
            <w:rFonts w:ascii="Cambria Math" w:hAnsi="Cambria Math"/>
            <w:color w:val="000000" w:themeColor="text1"/>
          </w:rPr>
          <m:t>CH</m:t>
        </m:r>
        <m:sSub>
          <m:sSubPr>
            <m:ctrlPr>
              <w:rPr>
                <w:rFonts w:ascii="Cambria Math" w:hAnsi="Cambria Math"/>
                <w:i/>
                <w:color w:val="000000" w:themeColor="text1"/>
              </w:rPr>
            </m:ctrlPr>
          </m:sSubPr>
          <m:e>
            <m:r>
              <m:rPr>
                <m:sty m:val="p"/>
              </m:rPr>
              <w:rPr>
                <w:rFonts w:ascii="Cambria Math" w:hAnsi="Cambria Math"/>
                <w:color w:val="000000" w:themeColor="text1"/>
              </w:rPr>
              <w:softHyphen/>
            </m:r>
          </m:e>
          <m:sub>
            <m:r>
              <w:rPr>
                <w:rFonts w:ascii="Cambria Math" w:hAnsi="Cambria Math"/>
                <w:color w:val="000000" w:themeColor="text1"/>
              </w:rPr>
              <m:t>2</m:t>
            </m:r>
          </m:sub>
        </m:sSub>
        <m:r>
          <w:rPr>
            <w:rFonts w:ascii="Cambria Math" w:hAnsi="Cambria Math"/>
            <w:color w:val="000000" w:themeColor="text1"/>
          </w:rPr>
          <m:t>O+</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3</m:t>
            </m:r>
          </m:sub>
        </m:sSub>
        <m:sSup>
          <m:sSupPr>
            <m:ctrlPr>
              <w:rPr>
                <w:rFonts w:ascii="Cambria Math" w:hAnsi="Cambria Math"/>
                <w:i/>
                <w:color w:val="000000" w:themeColor="text1"/>
              </w:rPr>
            </m:ctrlPr>
          </m:sSupPr>
          <m:e>
            <m:r>
              <w:rPr>
                <w:rFonts w:ascii="Cambria Math" w:hAnsi="Cambria Math"/>
                <w:color w:val="000000" w:themeColor="text1"/>
              </w:rPr>
              <m:t>O</m:t>
            </m:r>
          </m:e>
          <m:sup>
            <m:r>
              <w:rPr>
                <w:rFonts w:ascii="Cambria Math" w:hAnsi="Cambria Math"/>
                <w:color w:val="000000" w:themeColor="text1"/>
              </w:rPr>
              <m:t>+</m:t>
            </m:r>
          </m:sup>
        </m:sSup>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CH</m:t>
            </m:r>
            <m:sSub>
              <m:sSubPr>
                <m:ctrlPr>
                  <w:rPr>
                    <w:rFonts w:ascii="Cambria Math" w:hAnsi="Cambria Math"/>
                    <w:i/>
                    <w:color w:val="000000" w:themeColor="text1"/>
                  </w:rPr>
                </m:ctrlPr>
              </m:sSubPr>
              <m:e>
                <m:r>
                  <m:rPr>
                    <m:sty m:val="p"/>
                  </m:rPr>
                  <w:rPr>
                    <w:rFonts w:ascii="Cambria Math" w:hAnsi="Cambria Math"/>
                    <w:color w:val="000000" w:themeColor="text1"/>
                  </w:rPr>
                  <w:softHyphen/>
                </m:r>
              </m:e>
              <m:sub>
                <m:r>
                  <w:rPr>
                    <w:rFonts w:ascii="Cambria Math" w:hAnsi="Cambria Math"/>
                    <w:color w:val="000000" w:themeColor="text1"/>
                  </w:rPr>
                  <m:t>2</m:t>
                </m:r>
              </m:sub>
            </m:sSub>
            <m:r>
              <w:rPr>
                <w:rFonts w:ascii="Cambria Math" w:hAnsi="Cambria Math"/>
                <w:color w:val="000000" w:themeColor="text1"/>
              </w:rPr>
              <m:t>O</m:t>
            </m:r>
          </m:e>
        </m:d>
        <m:sSup>
          <m:sSupPr>
            <m:ctrlPr>
              <w:rPr>
                <w:rFonts w:ascii="Cambria Math" w:hAnsi="Cambria Math"/>
                <w:i/>
                <w:color w:val="000000" w:themeColor="text1"/>
              </w:rPr>
            </m:ctrlPr>
          </m:sSupPr>
          <m:e>
            <m:r>
              <w:rPr>
                <w:rFonts w:ascii="Cambria Math" w:hAnsi="Cambria Math"/>
                <w:color w:val="000000" w:themeColor="text1"/>
              </w:rPr>
              <m:t>H</m:t>
            </m:r>
          </m:e>
          <m:sup>
            <m:r>
              <w:rPr>
                <w:rFonts w:ascii="Cambria Math" w:hAnsi="Cambria Math"/>
                <w:color w:val="000000" w:themeColor="text1"/>
              </w:rPr>
              <m:t>+</m:t>
            </m:r>
          </m:sup>
        </m:sSup>
        <m:r>
          <w:rPr>
            <w:rFonts w:ascii="Cambria Math" w:hAnsi="Cambria Math"/>
            <w:color w:val="000000" w:themeColor="text1"/>
          </w:rPr>
          <m:t>+H</m:t>
        </m:r>
        <m:sSub>
          <m:sSubPr>
            <m:ctrlPr>
              <w:rPr>
                <w:rFonts w:ascii="Cambria Math" w:hAnsi="Cambria Math"/>
                <w:i/>
                <w:color w:val="000000" w:themeColor="text1"/>
              </w:rPr>
            </m:ctrlPr>
          </m:sSubPr>
          <m:e>
            <m:r>
              <m:rPr>
                <m:sty m:val="p"/>
              </m:rPr>
              <w:rPr>
                <w:rFonts w:ascii="Cambria Math" w:hAnsi="Cambria Math"/>
                <w:color w:val="000000" w:themeColor="text1"/>
              </w:rPr>
              <w:softHyphen/>
            </m:r>
          </m:e>
          <m:sub>
            <m:r>
              <w:rPr>
                <w:rFonts w:ascii="Cambria Math" w:hAnsi="Cambria Math"/>
                <w:color w:val="000000" w:themeColor="text1"/>
              </w:rPr>
              <m:t>2</m:t>
            </m:r>
          </m:sub>
        </m:sSub>
        <m:r>
          <w:rPr>
            <w:rFonts w:ascii="Cambria Math" w:hAnsi="Cambria Math"/>
            <w:color w:val="000000" w:themeColor="text1"/>
          </w:rPr>
          <m:t>O</m:t>
        </m:r>
      </m:oMath>
      <w:r w:rsidRPr="00B305BE">
        <w:rPr>
          <w:color w:val="000000" w:themeColor="text1"/>
        </w:rPr>
        <w:tab/>
      </w:r>
      <w:r w:rsidRPr="00B305BE">
        <w:rPr>
          <w:color w:val="000000" w:themeColor="text1"/>
        </w:rPr>
        <w:tab/>
      </w:r>
      <w:r w:rsidR="003D3D18" w:rsidRPr="00B305BE">
        <w:rPr>
          <w:color w:val="000000" w:themeColor="text1"/>
        </w:rPr>
        <w:tab/>
      </w:r>
      <w:r w:rsidRPr="00B305BE">
        <w:rPr>
          <w:color w:val="000000" w:themeColor="text1"/>
        </w:rPr>
        <w:t>(</w:t>
      </w:r>
      <w:r w:rsidR="00674866" w:rsidRPr="00B305BE">
        <w:rPr>
          <w:color w:val="000000" w:themeColor="text1"/>
        </w:rPr>
        <w:t>2</w:t>
      </w:r>
      <w:r w:rsidRPr="00B305BE">
        <w:rPr>
          <w:color w:val="000000" w:themeColor="text1"/>
        </w:rPr>
        <w:t>)</w:t>
      </w:r>
    </w:p>
    <w:p w14:paraId="2F45603B" w14:textId="04184893" w:rsidR="00A57AB6" w:rsidRPr="00B305BE" w:rsidRDefault="00A57AB6" w:rsidP="00A57AB6">
      <w:pPr>
        <w:ind w:left="2160" w:firstLine="720"/>
        <w:jc w:val="both"/>
        <w:rPr>
          <w:color w:val="000000" w:themeColor="text1"/>
        </w:rPr>
      </w:pPr>
      <m:oMath>
        <m:r>
          <w:rPr>
            <w:rFonts w:ascii="Cambria Math" w:hAnsi="Cambria Math"/>
            <w:color w:val="000000" w:themeColor="text1"/>
          </w:rPr>
          <m:t>CH</m:t>
        </m:r>
        <m:sSub>
          <m:sSubPr>
            <m:ctrlPr>
              <w:rPr>
                <w:rFonts w:ascii="Cambria Math" w:hAnsi="Cambria Math"/>
                <w:i/>
                <w:color w:val="000000" w:themeColor="text1"/>
              </w:rPr>
            </m:ctrlPr>
          </m:sSubPr>
          <m:e>
            <m:r>
              <m:rPr>
                <m:sty m:val="p"/>
              </m:rPr>
              <w:rPr>
                <w:rFonts w:ascii="Cambria Math" w:hAnsi="Cambria Math"/>
                <w:color w:val="000000" w:themeColor="text1"/>
              </w:rPr>
              <w:softHyphen/>
            </m:r>
          </m:e>
          <m:sub>
            <m:r>
              <w:rPr>
                <w:rFonts w:ascii="Cambria Math" w:hAnsi="Cambria Math"/>
                <w:color w:val="000000" w:themeColor="text1"/>
              </w:rPr>
              <m:t>2</m:t>
            </m:r>
          </m:sub>
        </m:sSub>
        <m:r>
          <w:rPr>
            <w:rFonts w:ascii="Cambria Math" w:hAnsi="Cambria Math"/>
            <w:color w:val="000000" w:themeColor="text1"/>
          </w:rPr>
          <m:t>O+(</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O)</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3</m:t>
            </m:r>
          </m:sub>
        </m:sSub>
        <m:sSup>
          <m:sSupPr>
            <m:ctrlPr>
              <w:rPr>
                <w:rFonts w:ascii="Cambria Math" w:hAnsi="Cambria Math"/>
                <w:i/>
                <w:color w:val="000000" w:themeColor="text1"/>
              </w:rPr>
            </m:ctrlPr>
          </m:sSupPr>
          <m:e>
            <m:r>
              <w:rPr>
                <w:rFonts w:ascii="Cambria Math" w:hAnsi="Cambria Math"/>
                <w:color w:val="000000" w:themeColor="text1"/>
              </w:rPr>
              <m:t>O</m:t>
            </m:r>
          </m:e>
          <m:sup>
            <m:r>
              <w:rPr>
                <w:rFonts w:ascii="Cambria Math" w:hAnsi="Cambria Math"/>
                <w:color w:val="000000" w:themeColor="text1"/>
              </w:rPr>
              <m:t>+</m:t>
            </m:r>
          </m:sup>
        </m:sSup>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CH</m:t>
            </m:r>
            <m:sSub>
              <m:sSubPr>
                <m:ctrlPr>
                  <w:rPr>
                    <w:rFonts w:ascii="Cambria Math" w:hAnsi="Cambria Math"/>
                    <w:i/>
                    <w:color w:val="000000" w:themeColor="text1"/>
                  </w:rPr>
                </m:ctrlPr>
              </m:sSubPr>
              <m:e>
                <m:r>
                  <m:rPr>
                    <m:sty m:val="p"/>
                  </m:rPr>
                  <w:rPr>
                    <w:rFonts w:ascii="Cambria Math" w:hAnsi="Cambria Math"/>
                    <w:color w:val="000000" w:themeColor="text1"/>
                  </w:rPr>
                  <w:softHyphen/>
                </m:r>
              </m:e>
              <m:sub>
                <m:r>
                  <w:rPr>
                    <w:rFonts w:ascii="Cambria Math" w:hAnsi="Cambria Math"/>
                    <w:color w:val="000000" w:themeColor="text1"/>
                  </w:rPr>
                  <m:t>2</m:t>
                </m:r>
              </m:sub>
            </m:sSub>
            <m:r>
              <w:rPr>
                <w:rFonts w:ascii="Cambria Math" w:hAnsi="Cambria Math"/>
                <w:color w:val="000000" w:themeColor="text1"/>
              </w:rPr>
              <m:t>O</m:t>
            </m:r>
          </m:e>
        </m:d>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3</m:t>
            </m:r>
          </m:sub>
        </m:sSub>
        <m:sSup>
          <m:sSupPr>
            <m:ctrlPr>
              <w:rPr>
                <w:rFonts w:ascii="Cambria Math" w:hAnsi="Cambria Math"/>
                <w:i/>
                <w:color w:val="000000" w:themeColor="text1"/>
              </w:rPr>
            </m:ctrlPr>
          </m:sSupPr>
          <m:e>
            <m:r>
              <w:rPr>
                <w:rFonts w:ascii="Cambria Math" w:hAnsi="Cambria Math"/>
                <w:color w:val="000000" w:themeColor="text1"/>
              </w:rPr>
              <m:t>O</m:t>
            </m:r>
          </m:e>
          <m:sup>
            <m:r>
              <w:rPr>
                <w:rFonts w:ascii="Cambria Math" w:hAnsi="Cambria Math"/>
                <w:color w:val="000000" w:themeColor="text1"/>
              </w:rPr>
              <m:t>+</m:t>
            </m:r>
          </m:sup>
        </m:sSup>
        <m:r>
          <w:rPr>
            <w:rFonts w:ascii="Cambria Math" w:hAnsi="Cambria Math"/>
            <w:color w:val="000000" w:themeColor="text1"/>
          </w:rPr>
          <m:t>+H</m:t>
        </m:r>
        <m:sSub>
          <m:sSubPr>
            <m:ctrlPr>
              <w:rPr>
                <w:rFonts w:ascii="Cambria Math" w:hAnsi="Cambria Math"/>
                <w:i/>
                <w:color w:val="000000" w:themeColor="text1"/>
              </w:rPr>
            </m:ctrlPr>
          </m:sSubPr>
          <m:e>
            <m:r>
              <m:rPr>
                <m:sty m:val="p"/>
              </m:rPr>
              <w:rPr>
                <w:rFonts w:ascii="Cambria Math" w:hAnsi="Cambria Math"/>
                <w:color w:val="000000" w:themeColor="text1"/>
              </w:rPr>
              <w:softHyphen/>
            </m:r>
          </m:e>
          <m:sub>
            <m:r>
              <w:rPr>
                <w:rFonts w:ascii="Cambria Math" w:hAnsi="Cambria Math"/>
                <w:color w:val="000000" w:themeColor="text1"/>
              </w:rPr>
              <m:t>2</m:t>
            </m:r>
          </m:sub>
        </m:sSub>
        <m:r>
          <w:rPr>
            <w:rFonts w:ascii="Cambria Math" w:hAnsi="Cambria Math"/>
            <w:color w:val="000000" w:themeColor="text1"/>
          </w:rPr>
          <m:t>O</m:t>
        </m:r>
      </m:oMath>
      <w:r w:rsidR="003D3D18" w:rsidRPr="00B305BE">
        <w:rPr>
          <w:color w:val="000000" w:themeColor="text1"/>
        </w:rPr>
        <w:tab/>
      </w:r>
      <w:r w:rsidR="003D3D18" w:rsidRPr="00B305BE">
        <w:rPr>
          <w:color w:val="000000" w:themeColor="text1"/>
        </w:rPr>
        <w:tab/>
      </w:r>
      <w:r w:rsidRPr="00B305BE">
        <w:rPr>
          <w:color w:val="000000" w:themeColor="text1"/>
        </w:rPr>
        <w:t>(</w:t>
      </w:r>
      <w:r w:rsidR="00674866" w:rsidRPr="00B305BE">
        <w:rPr>
          <w:color w:val="000000" w:themeColor="text1"/>
        </w:rPr>
        <w:t>3</w:t>
      </w:r>
      <w:r w:rsidRPr="00B305BE">
        <w:rPr>
          <w:color w:val="000000" w:themeColor="text1"/>
        </w:rPr>
        <w:t>)</w:t>
      </w:r>
    </w:p>
    <w:p w14:paraId="13898716" w14:textId="77777777" w:rsidR="00A57AB6" w:rsidRPr="00B305BE" w:rsidRDefault="00A57AB6" w:rsidP="00A57AB6">
      <w:pPr>
        <w:jc w:val="both"/>
        <w:rPr>
          <w:color w:val="000000" w:themeColor="text1"/>
        </w:rPr>
      </w:pPr>
    </w:p>
    <w:p w14:paraId="1E100DB1" w14:textId="2BC55942" w:rsidR="00A57AB6" w:rsidRPr="00B305BE" w:rsidRDefault="00A57AB6" w:rsidP="00A57AB6">
      <w:pPr>
        <w:jc w:val="both"/>
        <w:rPr>
          <w:color w:val="000000" w:themeColor="text1"/>
        </w:rPr>
      </w:pPr>
      <w:r w:rsidRPr="00B305BE">
        <w:rPr>
          <w:color w:val="000000" w:themeColor="text1"/>
        </w:rPr>
        <w:t>Additional organic compounds such as CH</w:t>
      </w:r>
      <w:r w:rsidRPr="00B305BE">
        <w:rPr>
          <w:color w:val="000000" w:themeColor="text1"/>
          <w:vertAlign w:val="subscript"/>
        </w:rPr>
        <w:t>3</w:t>
      </w:r>
      <w:r w:rsidRPr="00B305BE">
        <w:rPr>
          <w:color w:val="000000" w:themeColor="text1"/>
        </w:rPr>
        <w:t>OH (methanol), C</w:t>
      </w:r>
      <w:r w:rsidRPr="00B305BE">
        <w:rPr>
          <w:color w:val="000000" w:themeColor="text1"/>
          <w:vertAlign w:val="subscript"/>
        </w:rPr>
        <w:t>2</w:t>
      </w:r>
      <w:r w:rsidRPr="00B305BE">
        <w:rPr>
          <w:color w:val="000000" w:themeColor="text1"/>
        </w:rPr>
        <w:t>H</w:t>
      </w:r>
      <w:r w:rsidRPr="00B305BE">
        <w:rPr>
          <w:color w:val="000000" w:themeColor="text1"/>
          <w:vertAlign w:val="subscript"/>
        </w:rPr>
        <w:t>5</w:t>
      </w:r>
      <w:r w:rsidRPr="00B305BE">
        <w:rPr>
          <w:color w:val="000000" w:themeColor="text1"/>
        </w:rPr>
        <w:t>OH (ethanol), C</w:t>
      </w:r>
      <w:r w:rsidRPr="00B305BE">
        <w:rPr>
          <w:color w:val="000000" w:themeColor="text1"/>
          <w:vertAlign w:val="subscript"/>
        </w:rPr>
        <w:t>2</w:t>
      </w:r>
      <w:r w:rsidRPr="00B305BE">
        <w:rPr>
          <w:color w:val="000000" w:themeColor="text1"/>
        </w:rPr>
        <w:t>H</w:t>
      </w:r>
      <w:r w:rsidRPr="00B305BE">
        <w:rPr>
          <w:color w:val="000000" w:themeColor="text1"/>
          <w:vertAlign w:val="subscript"/>
        </w:rPr>
        <w:t>4</w:t>
      </w:r>
      <w:r w:rsidRPr="00B305BE">
        <w:rPr>
          <w:color w:val="000000" w:themeColor="text1"/>
        </w:rPr>
        <w:t>O (acetaldehyde), were also observed during formaldehyde injection and seen to increase in proportion to the amount of formaldehyde added, which we have attributed to impurities present in the paraformaldehyde powder itself (</w:t>
      </w:r>
      <w:r w:rsidR="00300D7E">
        <w:rPr>
          <w:color w:val="000000" w:themeColor="text1"/>
        </w:rPr>
        <w:t>Figure M</w:t>
      </w:r>
      <w:r w:rsidR="003D3D18" w:rsidRPr="00B305BE">
        <w:rPr>
          <w:color w:val="000000" w:themeColor="text1"/>
        </w:rPr>
        <w:t>1</w:t>
      </w:r>
      <w:r w:rsidRPr="00B305BE">
        <w:rPr>
          <w:color w:val="000000" w:themeColor="text1"/>
        </w:rPr>
        <w:t>).</w:t>
      </w:r>
    </w:p>
    <w:p w14:paraId="68EA09B4" w14:textId="77777777" w:rsidR="00A57AB6" w:rsidRPr="00B305BE" w:rsidRDefault="00A57AB6" w:rsidP="00A57AB6">
      <w:pPr>
        <w:jc w:val="both"/>
        <w:rPr>
          <w:color w:val="000000" w:themeColor="text1"/>
        </w:rPr>
      </w:pPr>
    </w:p>
    <w:p w14:paraId="75832663" w14:textId="77777777" w:rsidR="00A57AB6" w:rsidRPr="00B305BE" w:rsidRDefault="00A57AB6" w:rsidP="00A57AB6">
      <w:pPr>
        <w:jc w:val="center"/>
        <w:rPr>
          <w:color w:val="000000" w:themeColor="text1"/>
        </w:rPr>
      </w:pPr>
      <w:r w:rsidRPr="00B305BE">
        <w:rPr>
          <w:noProof/>
          <w:color w:val="000000" w:themeColor="text1"/>
        </w:rPr>
        <w:lastRenderedPageBreak/>
        <w:drawing>
          <wp:inline distT="0" distB="0" distL="0" distR="0" wp14:anchorId="54A01660" wp14:editId="1C874F79">
            <wp:extent cx="4708151" cy="2605177"/>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_05_18_Compounds_PositiveMod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11199" cy="2606864"/>
                    </a:xfrm>
                    <a:prstGeom prst="rect">
                      <a:avLst/>
                    </a:prstGeom>
                  </pic:spPr>
                </pic:pic>
              </a:graphicData>
            </a:graphic>
          </wp:inline>
        </w:drawing>
      </w:r>
    </w:p>
    <w:p w14:paraId="576A6D25" w14:textId="21F481E8" w:rsidR="00A57AB6" w:rsidRPr="00B305BE" w:rsidRDefault="00A57AB6" w:rsidP="0062745A">
      <w:pPr>
        <w:jc w:val="both"/>
        <w:rPr>
          <w:rStyle w:val="CommentReference"/>
          <w:color w:val="000000" w:themeColor="text1"/>
          <w:sz w:val="24"/>
          <w:szCs w:val="24"/>
        </w:rPr>
      </w:pPr>
      <w:r w:rsidRPr="00B305BE">
        <w:rPr>
          <w:b/>
          <w:bCs/>
          <w:color w:val="000000" w:themeColor="text1"/>
        </w:rPr>
        <w:t xml:space="preserve">Figure </w:t>
      </w:r>
      <w:r w:rsidR="00B305BE">
        <w:rPr>
          <w:b/>
          <w:bCs/>
          <w:color w:val="000000" w:themeColor="text1"/>
        </w:rPr>
        <w:t>M</w:t>
      </w:r>
      <w:r w:rsidR="003D3D18" w:rsidRPr="00B305BE">
        <w:rPr>
          <w:b/>
          <w:bCs/>
          <w:color w:val="000000" w:themeColor="text1"/>
        </w:rPr>
        <w:t>1</w:t>
      </w:r>
      <w:r w:rsidRPr="00B305BE">
        <w:rPr>
          <w:b/>
          <w:bCs/>
          <w:color w:val="000000" w:themeColor="text1"/>
        </w:rPr>
        <w:t>.</w:t>
      </w:r>
      <w:r w:rsidRPr="00B305BE">
        <w:rPr>
          <w:color w:val="000000" w:themeColor="text1"/>
        </w:rPr>
        <w:t xml:space="preserve"> Time-series of select gas-phase compounds observed by the (H</w:t>
      </w:r>
      <w:r w:rsidRPr="00B305BE">
        <w:rPr>
          <w:color w:val="000000" w:themeColor="text1"/>
          <w:vertAlign w:val="subscript"/>
        </w:rPr>
        <w:t>2</w:t>
      </w:r>
      <w:r w:rsidRPr="00B305BE">
        <w:rPr>
          <w:color w:val="000000" w:themeColor="text1"/>
        </w:rPr>
        <w:t>O)</w:t>
      </w:r>
      <w:r w:rsidRPr="00B305BE">
        <w:rPr>
          <w:color w:val="000000" w:themeColor="text1"/>
          <w:vertAlign w:val="subscript"/>
        </w:rPr>
        <w:t>n</w:t>
      </w:r>
      <w:r w:rsidRPr="00B305BE">
        <w:rPr>
          <w:color w:val="000000" w:themeColor="text1"/>
        </w:rPr>
        <w:t>H</w:t>
      </w:r>
      <w:r w:rsidRPr="00B305BE">
        <w:rPr>
          <w:color w:val="000000" w:themeColor="text1"/>
          <w:vertAlign w:val="subscript"/>
        </w:rPr>
        <w:t>3</w:t>
      </w:r>
      <w:r w:rsidRPr="00B305BE">
        <w:rPr>
          <w:color w:val="000000" w:themeColor="text1"/>
        </w:rPr>
        <w:t>O</w:t>
      </w:r>
      <w:r w:rsidRPr="00B305BE">
        <w:rPr>
          <w:color w:val="000000" w:themeColor="text1"/>
          <w:vertAlign w:val="superscript"/>
        </w:rPr>
        <w:t>+</w:t>
      </w:r>
      <w:r w:rsidRPr="00B305BE">
        <w:rPr>
          <w:color w:val="000000" w:themeColor="text1"/>
        </w:rPr>
        <w:t xml:space="preserve"> CIMS during formaldehyde injection. The beginning of each injection event is indicated by vertical dash lines. Amounts of paraformaldehyde power added are indicated in the annotations. Compounds consistent with methanol (CH</w:t>
      </w:r>
      <w:r w:rsidRPr="00B305BE">
        <w:rPr>
          <w:color w:val="000000" w:themeColor="text1"/>
          <w:vertAlign w:val="subscript"/>
        </w:rPr>
        <w:t>3</w:t>
      </w:r>
      <w:r w:rsidRPr="00B305BE">
        <w:rPr>
          <w:color w:val="000000" w:themeColor="text1"/>
        </w:rPr>
        <w:t xml:space="preserve">OH) </w:t>
      </w:r>
      <w:r w:rsidR="00920BCE" w:rsidRPr="00B305BE">
        <w:rPr>
          <w:color w:val="000000" w:themeColor="text1"/>
        </w:rPr>
        <w:t>[</w:t>
      </w:r>
      <w:r w:rsidRPr="00B305BE">
        <w:rPr>
          <w:color w:val="000000" w:themeColor="text1"/>
        </w:rPr>
        <w:t>Blue circles</w:t>
      </w:r>
      <w:r w:rsidR="00920BCE" w:rsidRPr="00B305BE">
        <w:rPr>
          <w:color w:val="000000" w:themeColor="text1"/>
        </w:rPr>
        <w:t>]</w:t>
      </w:r>
      <w:r w:rsidRPr="00B305BE">
        <w:rPr>
          <w:color w:val="000000" w:themeColor="text1"/>
        </w:rPr>
        <w:t>, acetaldehyde (C</w:t>
      </w:r>
      <w:r w:rsidRPr="00B305BE">
        <w:rPr>
          <w:color w:val="000000" w:themeColor="text1"/>
          <w:vertAlign w:val="subscript"/>
        </w:rPr>
        <w:t>2</w:t>
      </w:r>
      <w:r w:rsidRPr="00B305BE">
        <w:rPr>
          <w:color w:val="000000" w:themeColor="text1"/>
        </w:rPr>
        <w:t>H</w:t>
      </w:r>
      <w:r w:rsidRPr="00B305BE">
        <w:rPr>
          <w:color w:val="000000" w:themeColor="text1"/>
          <w:vertAlign w:val="subscript"/>
        </w:rPr>
        <w:t>4</w:t>
      </w:r>
      <w:r w:rsidRPr="00B305BE">
        <w:rPr>
          <w:color w:val="000000" w:themeColor="text1"/>
        </w:rPr>
        <w:t>O) [red triangles], and ethanol (C</w:t>
      </w:r>
      <w:r w:rsidRPr="00B305BE">
        <w:rPr>
          <w:color w:val="000000" w:themeColor="text1"/>
          <w:vertAlign w:val="subscript"/>
        </w:rPr>
        <w:t>2</w:t>
      </w:r>
      <w:r w:rsidRPr="00B305BE">
        <w:rPr>
          <w:color w:val="000000" w:themeColor="text1"/>
        </w:rPr>
        <w:t>H</w:t>
      </w:r>
      <w:r w:rsidRPr="00B305BE">
        <w:rPr>
          <w:color w:val="000000" w:themeColor="text1"/>
          <w:vertAlign w:val="subscript"/>
        </w:rPr>
        <w:t>5</w:t>
      </w:r>
      <w:r w:rsidRPr="00B305BE">
        <w:rPr>
          <w:color w:val="000000" w:themeColor="text1"/>
        </w:rPr>
        <w:t>OH) [purple diamonds] were observed in addition to formaldehyde (CH</w:t>
      </w:r>
      <w:r w:rsidRPr="00B305BE">
        <w:rPr>
          <w:color w:val="000000" w:themeColor="text1"/>
          <w:vertAlign w:val="subscript"/>
        </w:rPr>
        <w:t>2</w:t>
      </w:r>
      <w:r w:rsidRPr="00B305BE">
        <w:rPr>
          <w:color w:val="000000" w:themeColor="text1"/>
        </w:rPr>
        <w:t>O) [green triangles]. Ion intensities were normalized against reagent ion signal, which was assumed to be 10</w:t>
      </w:r>
      <w:r w:rsidRPr="00B305BE">
        <w:rPr>
          <w:color w:val="000000" w:themeColor="text1"/>
          <w:vertAlign w:val="superscript"/>
        </w:rPr>
        <w:t>6</w:t>
      </w:r>
      <w:r w:rsidRPr="00B305BE">
        <w:rPr>
          <w:color w:val="000000" w:themeColor="text1"/>
        </w:rPr>
        <w:t xml:space="preserve"> cps.</w:t>
      </w:r>
    </w:p>
    <w:p w14:paraId="28EA0A92" w14:textId="41FE4177" w:rsidR="00A57AB6" w:rsidRPr="00B305BE" w:rsidRDefault="00A57AB6" w:rsidP="00A57AB6">
      <w:pPr>
        <w:jc w:val="both"/>
        <w:rPr>
          <w:rStyle w:val="CommentReference"/>
          <w:rFonts w:eastAsiaTheme="minorEastAsia"/>
        </w:rPr>
      </w:pPr>
    </w:p>
    <w:p w14:paraId="35A44C9F" w14:textId="701C32DD" w:rsidR="00A57AB6" w:rsidRPr="00B305BE" w:rsidRDefault="00A57AB6" w:rsidP="003D3D18">
      <w:pPr>
        <w:jc w:val="center"/>
        <w:rPr>
          <w:color w:val="000000" w:themeColor="text1"/>
        </w:rPr>
      </w:pPr>
    </w:p>
    <w:p w14:paraId="7B1C3178" w14:textId="1E2ECF41" w:rsidR="00A57AB6" w:rsidRPr="00B305BE" w:rsidRDefault="00A57AB6" w:rsidP="00A57AB6">
      <w:pPr>
        <w:jc w:val="both"/>
        <w:rPr>
          <w:color w:val="000000" w:themeColor="text1"/>
        </w:rPr>
      </w:pPr>
      <w:r w:rsidRPr="00B305BE">
        <w:rPr>
          <w:color w:val="000000" w:themeColor="text1"/>
        </w:rPr>
        <w:t>The CIMS was also operated in the negative ion mode using (H</w:t>
      </w:r>
      <w:r w:rsidRPr="00B305BE">
        <w:rPr>
          <w:color w:val="000000" w:themeColor="text1"/>
          <w:vertAlign w:val="subscript"/>
        </w:rPr>
        <w:t>2</w:t>
      </w:r>
      <w:r w:rsidRPr="00B305BE">
        <w:rPr>
          <w:color w:val="000000" w:themeColor="text1"/>
        </w:rPr>
        <w:t>O)</w:t>
      </w:r>
      <w:proofErr w:type="spellStart"/>
      <w:r w:rsidRPr="00B305BE">
        <w:rPr>
          <w:color w:val="000000" w:themeColor="text1"/>
          <w:vertAlign w:val="subscript"/>
        </w:rPr>
        <w:t>n</w:t>
      </w:r>
      <w:r w:rsidRPr="00B305BE">
        <w:rPr>
          <w:color w:val="000000" w:themeColor="text1"/>
        </w:rPr>
        <w:t>I</w:t>
      </w:r>
      <w:proofErr w:type="spellEnd"/>
      <w:r w:rsidRPr="00B305BE">
        <w:rPr>
          <w:color w:val="000000" w:themeColor="text1"/>
          <w:vertAlign w:val="superscript"/>
        </w:rPr>
        <w:t>-</w:t>
      </w:r>
      <w:r w:rsidRPr="00B305BE">
        <w:rPr>
          <w:color w:val="000000" w:themeColor="text1"/>
        </w:rPr>
        <w:t xml:space="preserve"> as the chemical ionization reagent ion to track organic acid impurities</w:t>
      </w:r>
      <w:r w:rsidRPr="00B305BE">
        <w:rPr>
          <w:color w:val="000000" w:themeColor="text1"/>
        </w:rPr>
        <w:fldChar w:fldCharType="begin" w:fldLock="1"/>
      </w:r>
      <w:r w:rsidR="002A02D8" w:rsidRPr="00B305BE">
        <w:rPr>
          <w:color w:val="000000" w:themeColor="text1"/>
        </w:rPr>
        <w:instrText>ADDIN CSL_CITATION {"citationItems":[{"id":"ITEM-1","itemData":{"DOI":"10.1021/es500362a","ISBN":"0013-936X","ISSN":"15205851","PMID":"24800638","abstract":"A high-resolution time-of-flight chemical-ionization mass spectrometer (HR-ToF-CIMS) using Iodide-adducts has been characterized and deployed in several laboratory and field studies to measure a suite of organic and inorganic atmospheric species. The large negative mass defect of Iodide, combined with soft ionization and the high mass-accuracy (&lt;20 ppm) and mass-resolving power (R&gt;5500) of the time-of-flight mass spectrometer, provides an additional degree of separation and allows for the determination of elemental compositions for the vast majority of detected ions. Laboratory characterization reveals Iodide-adduct ionization generally exhibits increasing sensitivity toward more polar or acidic volatile organic compounds. Simultaneous retrieval of a wide range of mass-to-charge ratios (m/Q from 25 to 625 Th) at a high frequency (&gt;1 Hz) provides a comprehensive view of atmospheric oxidative chemistry, particularly when sampling rapidly evolving plumes from fast moving platforms like an aircraft. We present the sampling protocol, detection limits and observations from the first aircraft deployment for an instrument of this type, which took place aboard the NOAA WP-3D aircraft during the Southeast Nexus (SENEX) 2013 field campaign.","author":[{"dropping-particle":"","family":"Lee","given":"Ben H.","non-dropping-particle":"","parse-names":false,"suffix":""},{"dropping-particle":"","family":"Lopez-Hilfiker","given":"Felipe D.","non-dropping-particle":"","parse-names":false,"suffix":""},{"dropping-particle":"","family":"Mohr","given":"Claudia","non-dropping-particle":"","parse-names":false,"suffix":""},{"dropping-particle":"","family":"Kurtén","given":"Theo","non-dropping-particle":"","parse-names":false,"suffix":""},{"dropping-particle":"","family":"Worsnop","given":"Douglas R.","non-dropping-particle":"","parse-names":false,"suffix":""},{"dropping-particle":"","family":"Thornton","given":"Joel A.","non-dropping-particle":"","parse-names":false,"suffix":""}],"container-title":"Environmental Science and Technology","id":"ITEM-1","issue":"11","issued":{"date-parts":[["2014","6"]]},"page":"6309-6317","title":"An iodide-adduct high-resolution time-of-flight chemical-ionization mass spectrometer: Application to atmospheric inorganic and organic compounds","type":"article-journal","volume":"48"},"uris":["http://www.mendeley.com/documents/?uuid=b5da21ff-b758-466a-82bd-9d050875ebff","http://www.mendeley.com/documents/?uuid=37456ae9-a0ec-4462-b1da-05b3d3f338b5"]}],"mendeley":{"formattedCitation":"&lt;sup&gt;2&lt;/sup&gt;","plainTextFormattedCitation":"2","previouslyFormattedCitation":"&lt;sup&gt;2&lt;/sup&gt;"},"properties":{"noteIndex":0},"schema":"https://github.com/citation-style-language/schema/raw/master/csl-citation.json"}</w:instrText>
      </w:r>
      <w:r w:rsidRPr="00B305BE">
        <w:rPr>
          <w:color w:val="000000" w:themeColor="text1"/>
        </w:rPr>
        <w:fldChar w:fldCharType="separate"/>
      </w:r>
      <w:r w:rsidR="003D3D18" w:rsidRPr="00B305BE">
        <w:rPr>
          <w:noProof/>
          <w:color w:val="000000" w:themeColor="text1"/>
          <w:vertAlign w:val="superscript"/>
        </w:rPr>
        <w:t>2</w:t>
      </w:r>
      <w:r w:rsidRPr="00B305BE">
        <w:rPr>
          <w:color w:val="000000" w:themeColor="text1"/>
        </w:rPr>
        <w:fldChar w:fldCharType="end"/>
      </w:r>
      <w:r w:rsidRPr="00B305BE">
        <w:rPr>
          <w:color w:val="000000" w:themeColor="text1"/>
        </w:rPr>
        <w:t xml:space="preserve">. The number of water clusters, </w:t>
      </w:r>
      <w:r w:rsidRPr="00B305BE">
        <w:rPr>
          <w:i/>
          <w:color w:val="000000" w:themeColor="text1"/>
        </w:rPr>
        <w:t>n</w:t>
      </w:r>
      <w:r w:rsidRPr="00B305BE">
        <w:rPr>
          <w:color w:val="000000" w:themeColor="text1"/>
        </w:rPr>
        <w:t xml:space="preserve"> ranges between 0 to 1 for (H</w:t>
      </w:r>
      <w:r w:rsidRPr="00B305BE">
        <w:rPr>
          <w:color w:val="000000" w:themeColor="text1"/>
          <w:vertAlign w:val="subscript"/>
        </w:rPr>
        <w:t>2</w:t>
      </w:r>
      <w:r w:rsidRPr="00B305BE">
        <w:rPr>
          <w:color w:val="000000" w:themeColor="text1"/>
        </w:rPr>
        <w:t>O)</w:t>
      </w:r>
      <w:proofErr w:type="spellStart"/>
      <w:r w:rsidRPr="00B305BE">
        <w:rPr>
          <w:color w:val="000000" w:themeColor="text1"/>
          <w:vertAlign w:val="subscript"/>
        </w:rPr>
        <w:t>n</w:t>
      </w:r>
      <w:r w:rsidRPr="00B305BE">
        <w:rPr>
          <w:color w:val="000000" w:themeColor="text1"/>
        </w:rPr>
        <w:t>I</w:t>
      </w:r>
      <w:proofErr w:type="spellEnd"/>
      <w:r w:rsidRPr="00B305BE">
        <w:rPr>
          <w:color w:val="000000" w:themeColor="text1"/>
          <w:vertAlign w:val="superscript"/>
        </w:rPr>
        <w:t>-</w:t>
      </w:r>
      <w:r w:rsidRPr="00B305BE">
        <w:rPr>
          <w:color w:val="000000" w:themeColor="text1"/>
        </w:rPr>
        <w:t xml:space="preserve"> CIMS, with I</w:t>
      </w:r>
      <w:r w:rsidRPr="00B305BE">
        <w:rPr>
          <w:color w:val="000000" w:themeColor="text1"/>
          <w:vertAlign w:val="superscript"/>
        </w:rPr>
        <w:t>-</w:t>
      </w:r>
      <w:r w:rsidRPr="00B305BE">
        <w:rPr>
          <w:color w:val="000000" w:themeColor="text1"/>
        </w:rPr>
        <w:t xml:space="preserve"> being the dominant chemical ionization reagent ion. Although deprotonate</w:t>
      </w:r>
      <w:r w:rsidR="003D3D18" w:rsidRPr="00B305BE">
        <w:rPr>
          <w:color w:val="000000" w:themeColor="text1"/>
        </w:rPr>
        <w:t>d</w:t>
      </w:r>
      <w:r w:rsidRPr="00B305BE">
        <w:rPr>
          <w:color w:val="000000" w:themeColor="text1"/>
        </w:rPr>
        <w:t xml:space="preserve"> product ions </w:t>
      </w:r>
      <w:r w:rsidR="0058090E" w:rsidRPr="00B305BE">
        <w:rPr>
          <w:color w:val="000000" w:themeColor="text1"/>
        </w:rPr>
        <w:t>were</w:t>
      </w:r>
      <w:r w:rsidRPr="00B305BE">
        <w:rPr>
          <w:color w:val="000000" w:themeColor="text1"/>
        </w:rPr>
        <w:t xml:space="preserve"> observed in the mass spectra, only the iodide-adduct ions (Reaction </w:t>
      </w:r>
      <w:r w:rsidR="00674866" w:rsidRPr="00B305BE">
        <w:rPr>
          <w:color w:val="000000" w:themeColor="text1"/>
        </w:rPr>
        <w:t>4</w:t>
      </w:r>
      <w:r w:rsidRPr="00B305BE">
        <w:rPr>
          <w:color w:val="000000" w:themeColor="text1"/>
        </w:rPr>
        <w:t xml:space="preserve">) </w:t>
      </w:r>
      <w:r w:rsidR="0058090E" w:rsidRPr="00B305BE">
        <w:rPr>
          <w:color w:val="000000" w:themeColor="text1"/>
        </w:rPr>
        <w:t>were</w:t>
      </w:r>
      <w:r w:rsidRPr="00B305BE">
        <w:rPr>
          <w:color w:val="000000" w:themeColor="text1"/>
        </w:rPr>
        <w:t xml:space="preserve"> used to monitor change concentration of a gas-phase species, X, where</w:t>
      </w:r>
    </w:p>
    <w:p w14:paraId="03A2D444" w14:textId="77777777" w:rsidR="00A57AB6" w:rsidRPr="00B305BE" w:rsidRDefault="00A57AB6" w:rsidP="00A57AB6">
      <w:pPr>
        <w:jc w:val="both"/>
        <w:rPr>
          <w:color w:val="000000" w:themeColor="text1"/>
        </w:rPr>
      </w:pPr>
    </w:p>
    <w:p w14:paraId="18B5D7FF" w14:textId="7B5DD0E5" w:rsidR="00A57AB6" w:rsidRPr="00B305BE" w:rsidRDefault="00A57AB6" w:rsidP="00A57AB6">
      <w:pPr>
        <w:ind w:left="2880" w:firstLine="720"/>
        <w:jc w:val="both"/>
        <w:rPr>
          <w:color w:val="000000" w:themeColor="text1"/>
        </w:rPr>
      </w:pPr>
      <m:oMath>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m:t>
            </m:r>
          </m:sup>
        </m:sSup>
        <m:r>
          <w:rPr>
            <w:rFonts w:ascii="Cambria Math" w:hAnsi="Cambria Math"/>
            <w:color w:val="000000" w:themeColor="text1"/>
          </w:rPr>
          <m:t>→X</m:t>
        </m:r>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m:t>
            </m:r>
          </m:sup>
        </m:sSup>
      </m:oMath>
      <w:r w:rsidR="003D3D18" w:rsidRPr="00B305BE">
        <w:rPr>
          <w:color w:val="000000" w:themeColor="text1"/>
        </w:rPr>
        <w:tab/>
      </w:r>
      <w:r w:rsidR="003D3D18" w:rsidRPr="00B305BE">
        <w:rPr>
          <w:color w:val="000000" w:themeColor="text1"/>
        </w:rPr>
        <w:tab/>
      </w:r>
      <w:r w:rsidR="003D3D18" w:rsidRPr="00B305BE">
        <w:rPr>
          <w:color w:val="000000" w:themeColor="text1"/>
        </w:rPr>
        <w:tab/>
      </w:r>
      <w:r w:rsidR="003D3D18" w:rsidRPr="00B305BE">
        <w:rPr>
          <w:color w:val="000000" w:themeColor="text1"/>
        </w:rPr>
        <w:tab/>
      </w:r>
      <w:r w:rsidR="003D3D18" w:rsidRPr="00B305BE">
        <w:rPr>
          <w:color w:val="000000" w:themeColor="text1"/>
        </w:rPr>
        <w:tab/>
      </w:r>
      <w:r w:rsidR="003D3D18" w:rsidRPr="00B305BE">
        <w:rPr>
          <w:color w:val="000000" w:themeColor="text1"/>
        </w:rPr>
        <w:tab/>
        <w:t xml:space="preserve">       </w:t>
      </w:r>
      <w:r w:rsidRPr="00B305BE">
        <w:rPr>
          <w:color w:val="000000" w:themeColor="text1"/>
        </w:rPr>
        <w:t>(</w:t>
      </w:r>
      <w:r w:rsidR="00674866" w:rsidRPr="00B305BE">
        <w:rPr>
          <w:color w:val="000000" w:themeColor="text1"/>
        </w:rPr>
        <w:t>4</w:t>
      </w:r>
      <w:r w:rsidRPr="00B305BE">
        <w:rPr>
          <w:color w:val="000000" w:themeColor="text1"/>
        </w:rPr>
        <w:t>)</w:t>
      </w:r>
    </w:p>
    <w:p w14:paraId="132C1A52" w14:textId="77777777" w:rsidR="00A57AB6" w:rsidRPr="00B305BE" w:rsidRDefault="00A57AB6" w:rsidP="00A57AB6">
      <w:pPr>
        <w:jc w:val="both"/>
        <w:rPr>
          <w:color w:val="000000" w:themeColor="text1"/>
        </w:rPr>
      </w:pPr>
    </w:p>
    <w:p w14:paraId="1DFA769C" w14:textId="3799FC51" w:rsidR="00A57AB6" w:rsidRPr="00B305BE" w:rsidRDefault="00A57AB6" w:rsidP="00A57AB6">
      <w:pPr>
        <w:jc w:val="both"/>
        <w:rPr>
          <w:color w:val="000000" w:themeColor="text1"/>
        </w:rPr>
      </w:pPr>
      <w:r w:rsidRPr="00B305BE">
        <w:rPr>
          <w:color w:val="000000" w:themeColor="text1"/>
        </w:rPr>
        <w:t>No correlation was observed between formaldehyde injection and formic acid concentration. Compounds consistent with glycolic acid (C</w:t>
      </w:r>
      <w:r w:rsidRPr="00B305BE">
        <w:rPr>
          <w:color w:val="000000" w:themeColor="text1"/>
          <w:vertAlign w:val="subscript"/>
        </w:rPr>
        <w:t>2</w:t>
      </w:r>
      <w:r w:rsidRPr="00B305BE">
        <w:rPr>
          <w:color w:val="000000" w:themeColor="text1"/>
        </w:rPr>
        <w:t>H</w:t>
      </w:r>
      <w:r w:rsidRPr="00B305BE">
        <w:rPr>
          <w:color w:val="000000" w:themeColor="text1"/>
          <w:vertAlign w:val="subscript"/>
        </w:rPr>
        <w:t>4</w:t>
      </w:r>
      <w:r w:rsidRPr="00B305BE">
        <w:rPr>
          <w:color w:val="000000" w:themeColor="text1"/>
        </w:rPr>
        <w:t>O</w:t>
      </w:r>
      <w:r w:rsidRPr="00B305BE">
        <w:rPr>
          <w:color w:val="000000" w:themeColor="text1"/>
          <w:vertAlign w:val="subscript"/>
        </w:rPr>
        <w:t>3</w:t>
      </w:r>
      <w:r w:rsidRPr="00B305BE">
        <w:rPr>
          <w:color w:val="000000" w:themeColor="text1"/>
        </w:rPr>
        <w:t>) and lactic acid (C</w:t>
      </w:r>
      <w:r w:rsidRPr="00B305BE">
        <w:rPr>
          <w:color w:val="000000" w:themeColor="text1"/>
          <w:vertAlign w:val="subscript"/>
        </w:rPr>
        <w:t>3</w:t>
      </w:r>
      <w:r w:rsidRPr="00B305BE">
        <w:rPr>
          <w:color w:val="000000" w:themeColor="text1"/>
        </w:rPr>
        <w:t>H</w:t>
      </w:r>
      <w:r w:rsidRPr="00B305BE">
        <w:rPr>
          <w:color w:val="000000" w:themeColor="text1"/>
          <w:vertAlign w:val="subscript"/>
        </w:rPr>
        <w:t>6</w:t>
      </w:r>
      <w:r w:rsidRPr="00B305BE">
        <w:rPr>
          <w:color w:val="000000" w:themeColor="text1"/>
        </w:rPr>
        <w:t>O</w:t>
      </w:r>
      <w:r w:rsidRPr="00B305BE">
        <w:rPr>
          <w:color w:val="000000" w:themeColor="text1"/>
          <w:vertAlign w:val="subscript"/>
        </w:rPr>
        <w:t>3</w:t>
      </w:r>
      <w:r w:rsidRPr="00B305BE">
        <w:rPr>
          <w:color w:val="000000" w:themeColor="text1"/>
        </w:rPr>
        <w:t xml:space="preserve">) were observed during formaldehyde injection on 2018-07-14 </w:t>
      </w:r>
      <w:r w:rsidR="002A02D8" w:rsidRPr="00B305BE">
        <w:rPr>
          <w:color w:val="000000" w:themeColor="text1"/>
        </w:rPr>
        <w:t>but</w:t>
      </w:r>
      <w:r w:rsidRPr="00B305BE">
        <w:rPr>
          <w:color w:val="000000" w:themeColor="text1"/>
        </w:rPr>
        <w:t xml:space="preserve"> not observed </w:t>
      </w:r>
      <w:r w:rsidR="002A02D8" w:rsidRPr="00B305BE">
        <w:rPr>
          <w:color w:val="000000" w:themeColor="text1"/>
        </w:rPr>
        <w:t xml:space="preserve">during </w:t>
      </w:r>
      <w:r w:rsidR="007D749F" w:rsidRPr="00B305BE">
        <w:rPr>
          <w:color w:val="000000" w:themeColor="text1"/>
        </w:rPr>
        <w:t>exposures</w:t>
      </w:r>
      <w:r w:rsidR="002A02D8" w:rsidRPr="00B305BE">
        <w:rPr>
          <w:color w:val="000000" w:themeColor="text1"/>
        </w:rPr>
        <w:t xml:space="preserve"> on</w:t>
      </w:r>
      <w:r w:rsidRPr="00B305BE">
        <w:rPr>
          <w:color w:val="000000" w:themeColor="text1"/>
        </w:rPr>
        <w:t xml:space="preserve"> 2018-07-12 or 2018-07-16 (</w:t>
      </w:r>
      <w:r w:rsidR="00300D7E">
        <w:rPr>
          <w:color w:val="000000" w:themeColor="text1"/>
        </w:rPr>
        <w:t>Figure M</w:t>
      </w:r>
      <w:r w:rsidR="0058090E" w:rsidRPr="00B305BE">
        <w:rPr>
          <w:color w:val="000000" w:themeColor="text1"/>
        </w:rPr>
        <w:t>2</w:t>
      </w:r>
      <w:r w:rsidRPr="00B305BE">
        <w:rPr>
          <w:color w:val="000000" w:themeColor="text1"/>
        </w:rPr>
        <w:t>). The source of these organic acid contaminations may be from skin contact or organic residues on the Swagelok pieces. The glycolic acid and lactic acid contaminations decreased to near-background levels shortly after (within 15 minutes) the end of formaldehyde injection</w:t>
      </w:r>
      <w:r w:rsidR="002A02D8" w:rsidRPr="00B305BE">
        <w:rPr>
          <w:color w:val="000000" w:themeColor="text1"/>
        </w:rPr>
        <w:t xml:space="preserve"> (</w:t>
      </w:r>
      <w:r w:rsidR="00300D7E">
        <w:rPr>
          <w:color w:val="000000" w:themeColor="text1"/>
        </w:rPr>
        <w:t>Figure M</w:t>
      </w:r>
      <w:r w:rsidR="0058090E" w:rsidRPr="00B305BE">
        <w:rPr>
          <w:color w:val="000000" w:themeColor="text1"/>
        </w:rPr>
        <w:t>2</w:t>
      </w:r>
      <w:r w:rsidR="002A02D8" w:rsidRPr="00B305BE">
        <w:rPr>
          <w:color w:val="000000" w:themeColor="text1"/>
        </w:rPr>
        <w:t>)</w:t>
      </w:r>
      <w:r w:rsidRPr="00B305BE">
        <w:rPr>
          <w:color w:val="000000" w:themeColor="text1"/>
        </w:rPr>
        <w:t>.</w:t>
      </w:r>
      <w:r w:rsidR="00223B29" w:rsidRPr="00B305BE">
        <w:rPr>
          <w:color w:val="000000" w:themeColor="text1"/>
        </w:rPr>
        <w:t xml:space="preserve"> </w:t>
      </w:r>
      <w:r w:rsidR="00223B29" w:rsidRPr="00B305BE">
        <w:rPr>
          <w:noProof/>
        </w:rPr>
        <w:t>CH</w:t>
      </w:r>
      <w:r w:rsidR="00223B29" w:rsidRPr="00B305BE">
        <w:rPr>
          <w:noProof/>
          <w:vertAlign w:val="subscript"/>
        </w:rPr>
        <w:t>2</w:t>
      </w:r>
      <w:r w:rsidR="00223B29" w:rsidRPr="00B305BE">
        <w:rPr>
          <w:noProof/>
        </w:rPr>
        <w:t>O</w:t>
      </w:r>
      <w:r w:rsidR="00223B29" w:rsidRPr="00B305BE">
        <w:rPr>
          <w:noProof/>
          <w:vertAlign w:val="subscript"/>
        </w:rPr>
        <w:t>2</w:t>
      </w:r>
      <w:r w:rsidR="00223B29" w:rsidRPr="00B305BE">
        <w:rPr>
          <w:noProof/>
        </w:rPr>
        <w:t xml:space="preserve"> (blue), C</w:t>
      </w:r>
      <w:r w:rsidR="00223B29" w:rsidRPr="00B305BE">
        <w:rPr>
          <w:noProof/>
          <w:vertAlign w:val="subscript"/>
        </w:rPr>
        <w:t>2</w:t>
      </w:r>
      <w:r w:rsidR="00223B29" w:rsidRPr="00B305BE">
        <w:rPr>
          <w:noProof/>
        </w:rPr>
        <w:t>H</w:t>
      </w:r>
      <w:r w:rsidR="00223B29" w:rsidRPr="00B305BE">
        <w:rPr>
          <w:noProof/>
          <w:vertAlign w:val="subscript"/>
        </w:rPr>
        <w:t>4</w:t>
      </w:r>
      <w:r w:rsidR="00223B29" w:rsidRPr="00B305BE">
        <w:rPr>
          <w:noProof/>
        </w:rPr>
        <w:t>O</w:t>
      </w:r>
      <w:r w:rsidR="00223B29" w:rsidRPr="00B305BE">
        <w:rPr>
          <w:noProof/>
          <w:vertAlign w:val="subscript"/>
        </w:rPr>
        <w:t>3</w:t>
      </w:r>
      <w:r w:rsidR="00223B29" w:rsidRPr="00B305BE">
        <w:rPr>
          <w:noProof/>
        </w:rPr>
        <w:t xml:space="preserve"> (red), and C</w:t>
      </w:r>
      <w:r w:rsidR="00223B29" w:rsidRPr="00B305BE">
        <w:rPr>
          <w:noProof/>
          <w:vertAlign w:val="subscript"/>
        </w:rPr>
        <w:t>3</w:t>
      </w:r>
      <w:r w:rsidR="00223B29" w:rsidRPr="00B305BE">
        <w:rPr>
          <w:noProof/>
        </w:rPr>
        <w:t>H</w:t>
      </w:r>
      <w:r w:rsidR="00223B29" w:rsidRPr="00B305BE">
        <w:rPr>
          <w:noProof/>
          <w:vertAlign w:val="subscript"/>
        </w:rPr>
        <w:t>6</w:t>
      </w:r>
      <w:r w:rsidR="00223B29" w:rsidRPr="00B305BE">
        <w:rPr>
          <w:noProof/>
        </w:rPr>
        <w:t>O</w:t>
      </w:r>
      <w:r w:rsidR="00223B29" w:rsidRPr="00B305BE">
        <w:rPr>
          <w:noProof/>
          <w:vertAlign w:val="subscript"/>
        </w:rPr>
        <w:t>3</w:t>
      </w:r>
      <w:r w:rsidR="00223B29" w:rsidRPr="00B305BE">
        <w:rPr>
          <w:noProof/>
        </w:rPr>
        <w:t xml:space="preserve"> (green) do not show consistent patterns across the three exposure dates, suggesting that contamination is not systematic. </w:t>
      </w:r>
      <w:r w:rsidR="00223B29" w:rsidRPr="00B305BE">
        <w:rPr>
          <w:color w:val="000000" w:themeColor="text1"/>
        </w:rPr>
        <w:t>During the 2018-07-14 experiment, concentrations consistent with glycolic acid (C</w:t>
      </w:r>
      <w:r w:rsidR="00223B29" w:rsidRPr="00B305BE">
        <w:rPr>
          <w:color w:val="000000" w:themeColor="text1"/>
          <w:vertAlign w:val="subscript"/>
        </w:rPr>
        <w:t>2</w:t>
      </w:r>
      <w:r w:rsidR="00223B29" w:rsidRPr="00B305BE">
        <w:rPr>
          <w:color w:val="000000" w:themeColor="text1"/>
        </w:rPr>
        <w:t>H</w:t>
      </w:r>
      <w:r w:rsidR="00223B29" w:rsidRPr="00B305BE">
        <w:rPr>
          <w:color w:val="000000" w:themeColor="text1"/>
          <w:vertAlign w:val="subscript"/>
        </w:rPr>
        <w:t>4</w:t>
      </w:r>
      <w:r w:rsidR="00223B29" w:rsidRPr="00B305BE">
        <w:rPr>
          <w:color w:val="000000" w:themeColor="text1"/>
        </w:rPr>
        <w:t>O</w:t>
      </w:r>
      <w:r w:rsidR="00223B29" w:rsidRPr="00B305BE">
        <w:rPr>
          <w:color w:val="000000" w:themeColor="text1"/>
          <w:vertAlign w:val="subscript"/>
        </w:rPr>
        <w:t>3</w:t>
      </w:r>
      <w:r w:rsidR="00223B29" w:rsidRPr="00B305BE">
        <w:rPr>
          <w:color w:val="000000" w:themeColor="text1"/>
        </w:rPr>
        <w:t>) and lactic acid (C</w:t>
      </w:r>
      <w:r w:rsidR="00223B29" w:rsidRPr="00B305BE">
        <w:rPr>
          <w:color w:val="000000" w:themeColor="text1"/>
          <w:vertAlign w:val="subscript"/>
        </w:rPr>
        <w:t>3</w:t>
      </w:r>
      <w:r w:rsidR="00223B29" w:rsidRPr="00B305BE">
        <w:rPr>
          <w:color w:val="000000" w:themeColor="text1"/>
        </w:rPr>
        <w:t>H</w:t>
      </w:r>
      <w:r w:rsidR="00223B29" w:rsidRPr="00B305BE">
        <w:rPr>
          <w:color w:val="000000" w:themeColor="text1"/>
          <w:vertAlign w:val="subscript"/>
        </w:rPr>
        <w:t>6</w:t>
      </w:r>
      <w:r w:rsidR="00223B29" w:rsidRPr="00B305BE">
        <w:rPr>
          <w:color w:val="000000" w:themeColor="text1"/>
        </w:rPr>
        <w:t>O</w:t>
      </w:r>
      <w:r w:rsidR="00223B29" w:rsidRPr="00B305BE">
        <w:rPr>
          <w:color w:val="000000" w:themeColor="text1"/>
          <w:vertAlign w:val="subscript"/>
        </w:rPr>
        <w:t>3</w:t>
      </w:r>
      <w:r w:rsidR="00223B29" w:rsidRPr="00B305BE">
        <w:rPr>
          <w:color w:val="000000" w:themeColor="text1"/>
        </w:rPr>
        <w:t xml:space="preserve">) increased during formaldehyde </w:t>
      </w:r>
      <w:r w:rsidR="00B305BE" w:rsidRPr="00B305BE">
        <w:rPr>
          <w:color w:val="000000" w:themeColor="text1"/>
        </w:rPr>
        <w:t>injection but</w:t>
      </w:r>
      <w:r w:rsidR="00223B29" w:rsidRPr="00B305BE">
        <w:rPr>
          <w:color w:val="000000" w:themeColor="text1"/>
        </w:rPr>
        <w:t xml:space="preserve"> decreased back to near-background levels over the course of 30 minutes. Increase in formic acid (CH</w:t>
      </w:r>
      <w:r w:rsidR="00223B29" w:rsidRPr="00B305BE">
        <w:rPr>
          <w:color w:val="000000" w:themeColor="text1"/>
          <w:vertAlign w:val="subscript"/>
        </w:rPr>
        <w:t>2</w:t>
      </w:r>
      <w:r w:rsidR="00223B29" w:rsidRPr="00B305BE">
        <w:rPr>
          <w:color w:val="000000" w:themeColor="text1"/>
        </w:rPr>
        <w:t>O</w:t>
      </w:r>
      <w:r w:rsidR="00223B29" w:rsidRPr="00B305BE">
        <w:rPr>
          <w:color w:val="000000" w:themeColor="text1"/>
          <w:vertAlign w:val="subscript"/>
        </w:rPr>
        <w:t>2</w:t>
      </w:r>
      <w:r w:rsidR="00223B29" w:rsidRPr="00B305BE">
        <w:rPr>
          <w:color w:val="000000" w:themeColor="text1"/>
        </w:rPr>
        <w:t>) concentrations later on, which was not observed during other exposure experiments, may be due to leaks in the environmental chamber wall.</w:t>
      </w:r>
    </w:p>
    <w:p w14:paraId="2FF4B506" w14:textId="32749CE9" w:rsidR="00A57AB6" w:rsidRPr="00B305BE" w:rsidRDefault="00920BCE" w:rsidP="00D93A8F">
      <w:pPr>
        <w:jc w:val="center"/>
        <w:rPr>
          <w:noProof/>
        </w:rPr>
      </w:pPr>
      <w:r w:rsidRPr="00B305BE">
        <w:rPr>
          <w:noProof/>
        </w:rPr>
        <w:lastRenderedPageBreak/>
        <w:drawing>
          <wp:inline distT="0" distB="0" distL="0" distR="0" wp14:anchorId="3EB465FF" wp14:editId="7F791DDA">
            <wp:extent cx="4858424" cy="710106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08 Supp FIg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61508" cy="7105575"/>
                    </a:xfrm>
                    <a:prstGeom prst="rect">
                      <a:avLst/>
                    </a:prstGeom>
                  </pic:spPr>
                </pic:pic>
              </a:graphicData>
            </a:graphic>
          </wp:inline>
        </w:drawing>
      </w:r>
    </w:p>
    <w:p w14:paraId="642F2A2E" w14:textId="77777777" w:rsidR="00920BCE" w:rsidRPr="00B305BE" w:rsidRDefault="00920BCE" w:rsidP="0058090E">
      <w:pPr>
        <w:jc w:val="both"/>
        <w:rPr>
          <w:noProof/>
        </w:rPr>
      </w:pPr>
    </w:p>
    <w:p w14:paraId="4BD48283" w14:textId="0546D4E3" w:rsidR="0058090E" w:rsidRPr="00B305BE" w:rsidRDefault="00300D7E" w:rsidP="0058090E">
      <w:pPr>
        <w:jc w:val="both"/>
        <w:rPr>
          <w:noProof/>
        </w:rPr>
      </w:pPr>
      <w:r>
        <w:rPr>
          <w:b/>
          <w:bCs/>
          <w:noProof/>
        </w:rPr>
        <w:t>Figure M</w:t>
      </w:r>
      <w:r w:rsidR="00223B29" w:rsidRPr="00B305BE">
        <w:rPr>
          <w:b/>
          <w:bCs/>
          <w:noProof/>
        </w:rPr>
        <w:t>2</w:t>
      </w:r>
      <w:r w:rsidR="00A57AB6" w:rsidRPr="00B305BE">
        <w:rPr>
          <w:b/>
          <w:bCs/>
          <w:noProof/>
        </w:rPr>
        <w:t>.</w:t>
      </w:r>
      <w:r w:rsidR="00A57AB6" w:rsidRPr="00B305BE">
        <w:rPr>
          <w:noProof/>
        </w:rPr>
        <w:t xml:space="preserve">  </w:t>
      </w:r>
      <w:r w:rsidR="0058090E" w:rsidRPr="00B305BE">
        <w:rPr>
          <w:color w:val="000000" w:themeColor="text1"/>
        </w:rPr>
        <w:t xml:space="preserve">Time-series of gas-phase organic acid contaminations </w:t>
      </w:r>
      <w:r w:rsidR="00A57AB6" w:rsidRPr="00B305BE">
        <w:rPr>
          <w:noProof/>
        </w:rPr>
        <w:t>measured during each of the exposures detected through mass spectrometry</w:t>
      </w:r>
      <w:r w:rsidR="00920BCE" w:rsidRPr="00B305BE">
        <w:rPr>
          <w:noProof/>
        </w:rPr>
        <w:t>. (A) 2018-07-12, (B) 2018-07-14, and (C) 2018-07-16.  Contaminants are plotted over time CH</w:t>
      </w:r>
      <w:r w:rsidR="00920BCE" w:rsidRPr="00B305BE">
        <w:rPr>
          <w:noProof/>
          <w:vertAlign w:val="subscript"/>
        </w:rPr>
        <w:t>2</w:t>
      </w:r>
      <w:r w:rsidR="00920BCE" w:rsidRPr="00B305BE">
        <w:rPr>
          <w:noProof/>
        </w:rPr>
        <w:t>O</w:t>
      </w:r>
      <w:r w:rsidR="00920BCE" w:rsidRPr="00B305BE">
        <w:rPr>
          <w:noProof/>
          <w:vertAlign w:val="subscript"/>
        </w:rPr>
        <w:t>2</w:t>
      </w:r>
      <w:r w:rsidR="00223B29" w:rsidRPr="00B305BE">
        <w:rPr>
          <w:noProof/>
        </w:rPr>
        <w:t xml:space="preserve"> </w:t>
      </w:r>
      <w:r w:rsidR="00920BCE" w:rsidRPr="00B305BE">
        <w:rPr>
          <w:noProof/>
        </w:rPr>
        <w:t>[</w:t>
      </w:r>
      <w:r w:rsidR="00223B29" w:rsidRPr="00B305BE">
        <w:rPr>
          <w:noProof/>
        </w:rPr>
        <w:t>blue</w:t>
      </w:r>
      <w:r w:rsidR="00920BCE" w:rsidRPr="00B305BE">
        <w:rPr>
          <w:noProof/>
        </w:rPr>
        <w:t xml:space="preserve"> triangles]</w:t>
      </w:r>
      <w:r w:rsidR="00223B29" w:rsidRPr="00B305BE">
        <w:rPr>
          <w:noProof/>
        </w:rPr>
        <w:t>, C</w:t>
      </w:r>
      <w:r w:rsidR="00223B29" w:rsidRPr="00B305BE">
        <w:rPr>
          <w:noProof/>
          <w:vertAlign w:val="subscript"/>
        </w:rPr>
        <w:t>2</w:t>
      </w:r>
      <w:r w:rsidR="00223B29" w:rsidRPr="00B305BE">
        <w:rPr>
          <w:noProof/>
        </w:rPr>
        <w:t>H</w:t>
      </w:r>
      <w:r w:rsidR="00223B29" w:rsidRPr="00B305BE">
        <w:rPr>
          <w:noProof/>
          <w:vertAlign w:val="subscript"/>
        </w:rPr>
        <w:t>4</w:t>
      </w:r>
      <w:r w:rsidR="00223B29" w:rsidRPr="00B305BE">
        <w:rPr>
          <w:noProof/>
        </w:rPr>
        <w:t>O</w:t>
      </w:r>
      <w:r w:rsidR="00223B29" w:rsidRPr="00B305BE">
        <w:rPr>
          <w:noProof/>
          <w:vertAlign w:val="subscript"/>
        </w:rPr>
        <w:t>3</w:t>
      </w:r>
      <w:r w:rsidR="00223B29" w:rsidRPr="00B305BE">
        <w:rPr>
          <w:noProof/>
        </w:rPr>
        <w:t xml:space="preserve"> </w:t>
      </w:r>
      <w:r w:rsidR="00920BCE" w:rsidRPr="00B305BE">
        <w:rPr>
          <w:noProof/>
        </w:rPr>
        <w:t>[</w:t>
      </w:r>
      <w:r w:rsidR="00223B29" w:rsidRPr="00B305BE">
        <w:rPr>
          <w:noProof/>
        </w:rPr>
        <w:t>red</w:t>
      </w:r>
      <w:r w:rsidR="00920BCE" w:rsidRPr="00B305BE">
        <w:rPr>
          <w:noProof/>
        </w:rPr>
        <w:t xml:space="preserve"> squares]</w:t>
      </w:r>
      <w:r w:rsidR="00223B29" w:rsidRPr="00B305BE">
        <w:rPr>
          <w:noProof/>
        </w:rPr>
        <w:t>, and C</w:t>
      </w:r>
      <w:r w:rsidR="00223B29" w:rsidRPr="00B305BE">
        <w:rPr>
          <w:noProof/>
          <w:vertAlign w:val="subscript"/>
        </w:rPr>
        <w:t>3</w:t>
      </w:r>
      <w:r w:rsidR="00223B29" w:rsidRPr="00B305BE">
        <w:rPr>
          <w:noProof/>
        </w:rPr>
        <w:t>H</w:t>
      </w:r>
      <w:r w:rsidR="00223B29" w:rsidRPr="00B305BE">
        <w:rPr>
          <w:noProof/>
          <w:vertAlign w:val="subscript"/>
        </w:rPr>
        <w:t>6</w:t>
      </w:r>
      <w:r w:rsidR="00223B29" w:rsidRPr="00B305BE">
        <w:rPr>
          <w:noProof/>
        </w:rPr>
        <w:t>O</w:t>
      </w:r>
      <w:r w:rsidR="00223B29" w:rsidRPr="00B305BE">
        <w:rPr>
          <w:noProof/>
          <w:vertAlign w:val="subscript"/>
        </w:rPr>
        <w:t>3</w:t>
      </w:r>
      <w:r w:rsidR="00223B29" w:rsidRPr="00B305BE">
        <w:rPr>
          <w:noProof/>
        </w:rPr>
        <w:t xml:space="preserve"> </w:t>
      </w:r>
      <w:r w:rsidR="00920BCE" w:rsidRPr="00B305BE">
        <w:rPr>
          <w:noProof/>
        </w:rPr>
        <w:t>[</w:t>
      </w:r>
      <w:r w:rsidR="00223B29" w:rsidRPr="00B305BE">
        <w:rPr>
          <w:noProof/>
        </w:rPr>
        <w:t>green</w:t>
      </w:r>
      <w:r w:rsidR="00920BCE" w:rsidRPr="00B305BE">
        <w:rPr>
          <w:noProof/>
        </w:rPr>
        <w:t xml:space="preserve"> circles]</w:t>
      </w:r>
    </w:p>
    <w:p w14:paraId="5BECBB7B" w14:textId="77777777" w:rsidR="00A57AB6" w:rsidRPr="00B305BE" w:rsidRDefault="00A57AB6"/>
    <w:p w14:paraId="60A922DB" w14:textId="3D0FD172" w:rsidR="00A57AB6" w:rsidRPr="00B305BE" w:rsidRDefault="00992566" w:rsidP="001E270D">
      <w:pPr>
        <w:pStyle w:val="Heading3"/>
      </w:pPr>
      <w:r w:rsidRPr="00B305BE">
        <w:lastRenderedPageBreak/>
        <w:t xml:space="preserve">Data Analysis </w:t>
      </w:r>
    </w:p>
    <w:p w14:paraId="4EF40159" w14:textId="77777777" w:rsidR="00A57AB6" w:rsidRPr="00B305BE" w:rsidRDefault="00A57AB6"/>
    <w:p w14:paraId="08D14961" w14:textId="77777777" w:rsidR="00E57F05" w:rsidRDefault="00E57F05" w:rsidP="00E57F05">
      <w:pPr>
        <w:jc w:val="both"/>
      </w:pPr>
      <w:r>
        <w:t xml:space="preserve">Raw sequencing data was acquired from the DNA sequencing core facilities at the University of Texas at Austin.  Sequences were visually assessed by </w:t>
      </w:r>
      <w:proofErr w:type="spellStart"/>
      <w:r>
        <w:t>FastQC</w:t>
      </w:r>
      <w:proofErr w:type="spellEnd"/>
      <w:r>
        <w:t xml:space="preserve"> (</w:t>
      </w:r>
      <w:hyperlink r:id="rId7" w:history="1">
        <w:r>
          <w:rPr>
            <w:rStyle w:val="Hyperlink"/>
          </w:rPr>
          <w:t>https://www.bioinformatics.babraham.ac.uk/index.html)</w:t>
        </w:r>
      </w:hyperlink>
      <w:r>
        <w:t xml:space="preserve"> for run quality.  Runs were then processed with </w:t>
      </w:r>
      <w:proofErr w:type="spellStart"/>
      <w:r>
        <w:t>cutadapt</w:t>
      </w:r>
      <w:proofErr w:type="spellEnd"/>
      <w:r>
        <w:t xml:space="preserve"> to remove primer and adaptor sequences</w:t>
      </w:r>
      <w:r>
        <w:fldChar w:fldCharType="begin" w:fldLock="1"/>
      </w:r>
      <w:r>
        <w:instrText>ADDIN CSL_CITATION {"citationItems":[{"id":"ITEM-1","itemData":{"author":[{"dropping-particle":"","family":"Martin","given":"Marcel","non-dropping-particle":"","parse-names":false,"suffix":""}],"container-title":"EMBnet.journal","id":"ITEM-1","issued":{"date-parts":[["2011"]]},"page":"10-12","title":"Cutadapt removes adaptor sequences from high-throughput sequencing reads","type":"article-journal","volume":"17"},"uris":["http://www.mendeley.com/documents/?uuid=1a128d9e-3589-4d06-9af3-20c2ca79fb7b"]}],"mendeley":{"formattedCitation":"&lt;sup&gt;3&lt;/sup&gt;","plainTextFormattedCitation":"3","previouslyFormattedCitation":"&lt;sup&gt;3&lt;/sup&gt;"},"properties":{"noteIndex":0},"schema":"https://github.com/citation-style-language/schema/raw/master/csl-citation.json"}</w:instrText>
      </w:r>
      <w:r>
        <w:fldChar w:fldCharType="separate"/>
      </w:r>
      <w:r>
        <w:rPr>
          <w:noProof/>
          <w:vertAlign w:val="superscript"/>
        </w:rPr>
        <w:t>3</w:t>
      </w:r>
      <w:r>
        <w:fldChar w:fldCharType="end"/>
      </w:r>
      <w:r>
        <w:t xml:space="preserve">. </w:t>
      </w:r>
    </w:p>
    <w:p w14:paraId="5FF8B161" w14:textId="77777777" w:rsidR="00E57F05" w:rsidRDefault="00E57F05" w:rsidP="00E57F05">
      <w:pPr>
        <w:ind w:left="720"/>
      </w:pPr>
    </w:p>
    <w:p w14:paraId="62B9B758" w14:textId="77777777" w:rsidR="00E57F05" w:rsidRDefault="00E57F05" w:rsidP="00E57F05">
      <w:pPr>
        <w:ind w:left="720"/>
      </w:pPr>
      <w:proofErr w:type="spellStart"/>
      <w:r>
        <w:t>cutadapt</w:t>
      </w:r>
      <w:proofErr w:type="spellEnd"/>
      <w:r>
        <w:t xml:space="preserve"> -a GATCGGAAGAGCACACGTCTGAACTCCAGTCACACAGTGATCTCGTATGCCGTCTTCTGCTTG -A GATCGGAAGAGCACACGTCTGAACTCCAGTCACACAGTGATCTCGTATGCCGTCTTCTGCTTG -q 30 -o in-CA-R1_S1_L001_R1.trimmed.fastq -p in-CA-R1_S1_L001_R2.trimmed.fastq in-CA-R1_S1_L001_R1_001.fastq.gz in-CA-R1_S1_L001_R2_001.fastq.gz</w:t>
      </w:r>
    </w:p>
    <w:p w14:paraId="09BB9466" w14:textId="77777777" w:rsidR="00E57F05" w:rsidRDefault="00E57F05" w:rsidP="00E57F05">
      <w:pPr>
        <w:jc w:val="both"/>
      </w:pPr>
    </w:p>
    <w:p w14:paraId="7C38AFF8" w14:textId="77777777" w:rsidR="00E57F05" w:rsidRDefault="00E57F05" w:rsidP="00E57F05">
      <w:pPr>
        <w:jc w:val="both"/>
      </w:pPr>
      <w:proofErr w:type="spellStart"/>
      <w:r>
        <w:t>FastQC</w:t>
      </w:r>
      <w:proofErr w:type="spellEnd"/>
      <w:r>
        <w:t xml:space="preserve"> was performed again to ensure read quality after trimming and data was assessed for any anomalies or repetitive sequences.  Trimmed reads were then aligned by STAR aligner to ENSEBL GRCh38.p12 primary genome assembly (</w:t>
      </w:r>
      <w:hyperlink r:id="rId8" w:history="1">
        <w:r>
          <w:rPr>
            <w:rStyle w:val="Hyperlink"/>
          </w:rPr>
          <w:t>ftp://ftp.ensembl.org/pub/release-94/fasta/homo_sapiens/dna/Homo_sapiens.GRCh38.dna_sm.primary_assembly.fa.gz)</w:t>
        </w:r>
      </w:hyperlink>
      <w:r>
        <w:t xml:space="preserve"> with the corresponding annotations (</w:t>
      </w:r>
      <w:hyperlink r:id="rId9" w:history="1">
        <w:r>
          <w:rPr>
            <w:rStyle w:val="Hyperlink"/>
          </w:rPr>
          <w:t>ftp://ftp.ensembl.org/pub/release-94/gtf/homo_sapiens/Homo_sapiens.GRCh38.94.gtf.gz)</w:t>
        </w:r>
      </w:hyperlink>
      <w:r>
        <w:rPr>
          <w:rStyle w:val="Hyperlink"/>
          <w:color w:val="000000" w:themeColor="text1"/>
        </w:rPr>
        <w:fldChar w:fldCharType="begin" w:fldLock="1"/>
      </w:r>
      <w:r>
        <w:rPr>
          <w:rStyle w:val="Hyperlink"/>
          <w:color w:val="000000" w:themeColor="text1"/>
        </w:rPr>
        <w:instrText>ADDIN CSL_CITATION {"citationItems":[{"id":"ITEM-1","itemData":{"DOI":"10.1093/bioinformatics/bts635","ISBN":"1367-4811 (Electronic)\\n1367-4803 (Linking)","ISSN":"13674803","PMID":"23104886","abstract":"MOTIVATION: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biases.\\n\\nRESULTS: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strategy.\\n\\nAVAILABILITY AND IMPLEMENTATION: STAR is implemented as a standalone C++ code. STAR is free open source software distributed under GPLv3 license and can be downloaded from http://code.google.com/p/rna-star/.","author":[{"dropping-particle":"","family":"Dobin","given":"Alexander","non-dropping-particle":"","parse-names":false,"suffix":""},{"dropping-particle":"","family":"Davis","given":"Carrie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R.","non-dropping-particle":"","parse-names":false,"suffix":""}],"container-title":"Bioinformatics","id":"ITEM-1","issue":"1","issued":{"date-parts":[["2013"]]},"page":"15-21","title":"STAR: Ultrafast universal RNA-seq aligner","type":"article-journal","volume":"29"},"uris":["http://www.mendeley.com/documents/?uuid=8737b3c9-b248-4c21-81da-eec03fccc19c"]}],"mendeley":{"formattedCitation":"&lt;sup&gt;4&lt;/sup&gt;","plainTextFormattedCitation":"4","previouslyFormattedCitation":"&lt;sup&gt;4&lt;/sup&gt;"},"properties":{"noteIndex":0},"schema":"https://github.com/citation-style-language/schema/raw/master/csl-citation.json"}</w:instrText>
      </w:r>
      <w:r>
        <w:rPr>
          <w:rStyle w:val="Hyperlink"/>
          <w:color w:val="000000" w:themeColor="text1"/>
        </w:rPr>
        <w:fldChar w:fldCharType="separate"/>
      </w:r>
      <w:r>
        <w:rPr>
          <w:rStyle w:val="Hyperlink"/>
          <w:noProof/>
          <w:color w:val="000000" w:themeColor="text1"/>
          <w:vertAlign w:val="superscript"/>
        </w:rPr>
        <w:t>4</w:t>
      </w:r>
      <w:r>
        <w:rPr>
          <w:rStyle w:val="Hyperlink"/>
          <w:color w:val="000000" w:themeColor="text1"/>
        </w:rPr>
        <w:fldChar w:fldCharType="end"/>
      </w:r>
      <w:r>
        <w:rPr>
          <w:color w:val="000000" w:themeColor="text1"/>
        </w:rPr>
        <w:t>.</w:t>
      </w:r>
    </w:p>
    <w:p w14:paraId="25C3AFA9" w14:textId="77777777" w:rsidR="00E57F05" w:rsidRDefault="00E57F05" w:rsidP="00E57F05">
      <w:pPr>
        <w:ind w:left="720"/>
      </w:pPr>
    </w:p>
    <w:p w14:paraId="5F36B5E4" w14:textId="77777777" w:rsidR="00E57F05" w:rsidRDefault="00E57F05" w:rsidP="00E57F05">
      <w:r>
        <w:t>Genome construction:</w:t>
      </w:r>
    </w:p>
    <w:p w14:paraId="50ECE151" w14:textId="77777777" w:rsidR="00E57F05" w:rsidRDefault="00E57F05" w:rsidP="00E57F05">
      <w:pPr>
        <w:ind w:firstLine="720"/>
      </w:pPr>
    </w:p>
    <w:p w14:paraId="2A8CB313" w14:textId="77777777" w:rsidR="00E57F05" w:rsidRDefault="00E57F05" w:rsidP="00E57F05">
      <w:pPr>
        <w:ind w:left="720"/>
      </w:pPr>
      <w:r>
        <w:t>STAR --</w:t>
      </w:r>
      <w:proofErr w:type="spellStart"/>
      <w:r>
        <w:t>runMode</w:t>
      </w:r>
      <w:proofErr w:type="spellEnd"/>
      <w:r>
        <w:t xml:space="preserve"> </w:t>
      </w:r>
      <w:proofErr w:type="spellStart"/>
      <w:r>
        <w:t>genomeGenerate</w:t>
      </w:r>
      <w:proofErr w:type="spellEnd"/>
      <w:r>
        <w:t xml:space="preserve"> --</w:t>
      </w:r>
      <w:proofErr w:type="spellStart"/>
      <w:r>
        <w:t>genomeDir</w:t>
      </w:r>
      <w:proofErr w:type="spellEnd"/>
      <w:r>
        <w:t xml:space="preserve"> . --</w:t>
      </w:r>
      <w:proofErr w:type="spellStart"/>
      <w:r>
        <w:t>genomeFastaFiles</w:t>
      </w:r>
      <w:proofErr w:type="spellEnd"/>
      <w:r>
        <w:t xml:space="preserve"> Homo_sapiens.GRCh38.dna_sm.primary_assembly.fa --</w:t>
      </w:r>
      <w:proofErr w:type="spellStart"/>
      <w:r>
        <w:t>sjdbGTFfile</w:t>
      </w:r>
      <w:proofErr w:type="spellEnd"/>
      <w:r>
        <w:t xml:space="preserve"> Homo_sapiens.GRCh38.94.gtf --</w:t>
      </w:r>
      <w:proofErr w:type="spellStart"/>
      <w:r>
        <w:t>sjdbOverhang</w:t>
      </w:r>
      <w:proofErr w:type="spellEnd"/>
      <w:r>
        <w:t xml:space="preserve"> 74 --</w:t>
      </w:r>
      <w:proofErr w:type="spellStart"/>
      <w:r>
        <w:t>genomeChrBinNbits</w:t>
      </w:r>
      <w:proofErr w:type="spellEnd"/>
      <w:r>
        <w:t xml:space="preserve"> 14 </w:t>
      </w:r>
    </w:p>
    <w:p w14:paraId="72BEA0CA" w14:textId="77777777" w:rsidR="00E57F05" w:rsidRDefault="00E57F05" w:rsidP="00E57F05">
      <w:pPr>
        <w:spacing w:line="254" w:lineRule="auto"/>
      </w:pPr>
      <w:r>
        <w:tab/>
      </w:r>
    </w:p>
    <w:p w14:paraId="162B4AC4" w14:textId="77777777" w:rsidR="00E57F05" w:rsidRDefault="00E57F05" w:rsidP="00E57F05">
      <w:pPr>
        <w:spacing w:line="254" w:lineRule="auto"/>
      </w:pPr>
      <w:r>
        <w:t>First pass of STAR mapping:</w:t>
      </w:r>
    </w:p>
    <w:p w14:paraId="15DFEB8A" w14:textId="77777777" w:rsidR="00E57F05" w:rsidRDefault="00E57F05" w:rsidP="00E57F05">
      <w:pPr>
        <w:ind w:left="720"/>
      </w:pPr>
    </w:p>
    <w:p w14:paraId="4A5BD8A9" w14:textId="77777777" w:rsidR="00E57F05" w:rsidRDefault="00E57F05" w:rsidP="00E57F05">
      <w:pPr>
        <w:ind w:left="720"/>
      </w:pPr>
      <w:r>
        <w:t>/STAR \</w:t>
      </w:r>
    </w:p>
    <w:p w14:paraId="4093A8D5" w14:textId="77777777" w:rsidR="00E57F05" w:rsidRDefault="00E57F05" w:rsidP="00E57F05">
      <w:pPr>
        <w:ind w:left="720"/>
      </w:pPr>
      <w:r>
        <w:t>--</w:t>
      </w:r>
      <w:proofErr w:type="spellStart"/>
      <w:r>
        <w:t>runThreadN</w:t>
      </w:r>
      <w:proofErr w:type="spellEnd"/>
      <w:r>
        <w:t xml:space="preserve"> 24 \</w:t>
      </w:r>
    </w:p>
    <w:p w14:paraId="7BC0BA42" w14:textId="77777777" w:rsidR="00E57F05" w:rsidRDefault="00E57F05" w:rsidP="00E57F05">
      <w:pPr>
        <w:ind w:left="720"/>
      </w:pPr>
      <w:r>
        <w:t>--</w:t>
      </w:r>
      <w:proofErr w:type="spellStart"/>
      <w:r>
        <w:t>genomeDir</w:t>
      </w:r>
      <w:proofErr w:type="spellEnd"/>
      <w:r>
        <w:t xml:space="preserve"> \</w:t>
      </w:r>
    </w:p>
    <w:p w14:paraId="2BB66FBD" w14:textId="77777777" w:rsidR="00E57F05" w:rsidRDefault="00E57F05" w:rsidP="00E57F05">
      <w:pPr>
        <w:ind w:left="720"/>
      </w:pPr>
      <w:r>
        <w:t>/</w:t>
      </w:r>
      <w:proofErr w:type="spellStart"/>
      <w:r>
        <w:t>HumanGenome</w:t>
      </w:r>
      <w:proofErr w:type="spellEnd"/>
      <w:r>
        <w:t>/GRCh38.94 \</w:t>
      </w:r>
    </w:p>
    <w:p w14:paraId="10E95F95" w14:textId="77777777" w:rsidR="00E57F05" w:rsidRDefault="00E57F05" w:rsidP="00E57F05">
      <w:pPr>
        <w:ind w:left="720"/>
      </w:pPr>
      <w:r>
        <w:t>--</w:t>
      </w:r>
      <w:proofErr w:type="spellStart"/>
      <w:r>
        <w:t>readFilesIn</w:t>
      </w:r>
      <w:proofErr w:type="spellEnd"/>
      <w:r>
        <w:t xml:space="preserve"> in-FA-R3_S4_R1.trimmed.fastq in-FA-R3_S4_R2.trimmed.fastq \</w:t>
      </w:r>
    </w:p>
    <w:p w14:paraId="64049A43" w14:textId="77777777" w:rsidR="00E57F05" w:rsidRDefault="00E57F05" w:rsidP="00E57F05">
      <w:pPr>
        <w:ind w:left="720"/>
      </w:pPr>
      <w:r>
        <w:t>--</w:t>
      </w:r>
      <w:proofErr w:type="spellStart"/>
      <w:r>
        <w:t>genomeLoad</w:t>
      </w:r>
      <w:proofErr w:type="spellEnd"/>
      <w:r>
        <w:t xml:space="preserve"> </w:t>
      </w:r>
      <w:proofErr w:type="spellStart"/>
      <w:r>
        <w:t>NoSharedMemory</w:t>
      </w:r>
      <w:proofErr w:type="spellEnd"/>
      <w:r>
        <w:t xml:space="preserve"> \</w:t>
      </w:r>
    </w:p>
    <w:p w14:paraId="1F9EF2F4" w14:textId="77777777" w:rsidR="00E57F05" w:rsidRDefault="00E57F05" w:rsidP="00E57F05">
      <w:pPr>
        <w:ind w:left="720"/>
      </w:pPr>
      <w:r>
        <w:t>--</w:t>
      </w:r>
      <w:proofErr w:type="spellStart"/>
      <w:r>
        <w:t>outFilterIntronMotifs</w:t>
      </w:r>
      <w:proofErr w:type="spellEnd"/>
      <w:r>
        <w:t xml:space="preserve"> None \</w:t>
      </w:r>
    </w:p>
    <w:p w14:paraId="2FDB42B9" w14:textId="77777777" w:rsidR="00E57F05" w:rsidRDefault="00E57F05" w:rsidP="00E57F05">
      <w:pPr>
        <w:ind w:left="720"/>
      </w:pPr>
      <w:r>
        <w:t>--</w:t>
      </w:r>
      <w:proofErr w:type="spellStart"/>
      <w:r>
        <w:t>outSAMattrIHstart</w:t>
      </w:r>
      <w:proofErr w:type="spellEnd"/>
      <w:r>
        <w:t xml:space="preserve"> 0 \</w:t>
      </w:r>
    </w:p>
    <w:p w14:paraId="099B8302" w14:textId="77777777" w:rsidR="00E57F05" w:rsidRDefault="00E57F05" w:rsidP="00E57F05">
      <w:pPr>
        <w:ind w:left="720"/>
      </w:pPr>
      <w:r>
        <w:t>--</w:t>
      </w:r>
      <w:proofErr w:type="spellStart"/>
      <w:r>
        <w:t>outSAMstrandField</w:t>
      </w:r>
      <w:proofErr w:type="spellEnd"/>
      <w:r>
        <w:t xml:space="preserve"> </w:t>
      </w:r>
      <w:proofErr w:type="spellStart"/>
      <w:r>
        <w:t>intronMotif</w:t>
      </w:r>
      <w:proofErr w:type="spellEnd"/>
      <w:r>
        <w:t xml:space="preserve">  \</w:t>
      </w:r>
    </w:p>
    <w:p w14:paraId="2DFDA85D" w14:textId="77777777" w:rsidR="00E57F05" w:rsidRDefault="00E57F05" w:rsidP="00E57F05">
      <w:pPr>
        <w:ind w:left="720"/>
      </w:pPr>
      <w:r>
        <w:t>--</w:t>
      </w:r>
      <w:proofErr w:type="spellStart"/>
      <w:r>
        <w:t>outFilterType</w:t>
      </w:r>
      <w:proofErr w:type="spellEnd"/>
      <w:r>
        <w:t xml:space="preserve"> </w:t>
      </w:r>
      <w:proofErr w:type="spellStart"/>
      <w:r>
        <w:t>BySJout</w:t>
      </w:r>
      <w:proofErr w:type="spellEnd"/>
      <w:r>
        <w:t xml:space="preserve"> \</w:t>
      </w:r>
    </w:p>
    <w:p w14:paraId="7730B9F2" w14:textId="77777777" w:rsidR="00E57F05" w:rsidRDefault="00E57F05" w:rsidP="00E57F05">
      <w:pPr>
        <w:ind w:left="720"/>
      </w:pPr>
      <w:r>
        <w:t>--</w:t>
      </w:r>
      <w:proofErr w:type="spellStart"/>
      <w:r>
        <w:t>outFilterMultimapNmax</w:t>
      </w:r>
      <w:proofErr w:type="spellEnd"/>
      <w:r>
        <w:t xml:space="preserve"> 20 \</w:t>
      </w:r>
    </w:p>
    <w:p w14:paraId="235A61AA" w14:textId="77777777" w:rsidR="00E57F05" w:rsidRDefault="00E57F05" w:rsidP="00E57F05">
      <w:pPr>
        <w:ind w:left="720"/>
      </w:pPr>
      <w:r>
        <w:t>--</w:t>
      </w:r>
      <w:proofErr w:type="spellStart"/>
      <w:r>
        <w:t>alignSJoverhangMin</w:t>
      </w:r>
      <w:proofErr w:type="spellEnd"/>
      <w:r>
        <w:t xml:space="preserve"> 8 \</w:t>
      </w:r>
    </w:p>
    <w:p w14:paraId="5D618E33" w14:textId="77777777" w:rsidR="00E57F05" w:rsidRDefault="00E57F05" w:rsidP="00E57F05">
      <w:pPr>
        <w:ind w:left="720"/>
      </w:pPr>
      <w:r>
        <w:t>--</w:t>
      </w:r>
      <w:proofErr w:type="spellStart"/>
      <w:r>
        <w:t>alignSJDBoverhangMin</w:t>
      </w:r>
      <w:proofErr w:type="spellEnd"/>
      <w:r>
        <w:t xml:space="preserve"> 1 \</w:t>
      </w:r>
    </w:p>
    <w:p w14:paraId="02991365" w14:textId="77777777" w:rsidR="00E57F05" w:rsidRDefault="00E57F05" w:rsidP="00E57F05">
      <w:pPr>
        <w:ind w:left="720"/>
      </w:pPr>
      <w:r>
        <w:t>--</w:t>
      </w:r>
      <w:proofErr w:type="spellStart"/>
      <w:r>
        <w:t>outFilterMismatchNmax</w:t>
      </w:r>
      <w:proofErr w:type="spellEnd"/>
      <w:r>
        <w:t xml:space="preserve"> 999 \</w:t>
      </w:r>
    </w:p>
    <w:p w14:paraId="4589CD80" w14:textId="77777777" w:rsidR="00E57F05" w:rsidRDefault="00E57F05" w:rsidP="00E57F05">
      <w:pPr>
        <w:ind w:left="720"/>
      </w:pPr>
      <w:r>
        <w:t>--</w:t>
      </w:r>
      <w:proofErr w:type="spellStart"/>
      <w:r>
        <w:t>outFilterMismatchNoverLmax</w:t>
      </w:r>
      <w:proofErr w:type="spellEnd"/>
      <w:r>
        <w:t xml:space="preserve"> 0.04 \</w:t>
      </w:r>
    </w:p>
    <w:p w14:paraId="529D901A" w14:textId="77777777" w:rsidR="00E57F05" w:rsidRDefault="00E57F05" w:rsidP="00E57F05">
      <w:pPr>
        <w:ind w:left="720"/>
      </w:pPr>
      <w:r>
        <w:t>--</w:t>
      </w:r>
      <w:proofErr w:type="spellStart"/>
      <w:r>
        <w:t>alignIntronMin</w:t>
      </w:r>
      <w:proofErr w:type="spellEnd"/>
      <w:r>
        <w:t xml:space="preserve"> 20 \</w:t>
      </w:r>
    </w:p>
    <w:p w14:paraId="01AE15CF" w14:textId="77777777" w:rsidR="00E57F05" w:rsidRDefault="00E57F05" w:rsidP="00E57F05">
      <w:pPr>
        <w:ind w:left="720"/>
      </w:pPr>
      <w:r>
        <w:lastRenderedPageBreak/>
        <w:t>--</w:t>
      </w:r>
      <w:proofErr w:type="spellStart"/>
      <w:r>
        <w:t>alignIntronMax</w:t>
      </w:r>
      <w:proofErr w:type="spellEnd"/>
      <w:r>
        <w:t xml:space="preserve"> 1000000 \</w:t>
      </w:r>
    </w:p>
    <w:p w14:paraId="0E8749F2" w14:textId="77777777" w:rsidR="00E57F05" w:rsidRDefault="00E57F05" w:rsidP="00E57F05">
      <w:pPr>
        <w:ind w:left="720"/>
      </w:pPr>
      <w:r>
        <w:t>--</w:t>
      </w:r>
      <w:proofErr w:type="spellStart"/>
      <w:r>
        <w:t>alignMatesGapMax</w:t>
      </w:r>
      <w:proofErr w:type="spellEnd"/>
      <w:r>
        <w:t xml:space="preserve"> 1000000 \</w:t>
      </w:r>
    </w:p>
    <w:p w14:paraId="772C6EAD" w14:textId="77777777" w:rsidR="00E57F05" w:rsidRDefault="00E57F05" w:rsidP="00E57F05">
      <w:pPr>
        <w:ind w:left="720"/>
      </w:pPr>
      <w:r>
        <w:t>--</w:t>
      </w:r>
      <w:proofErr w:type="spellStart"/>
      <w:r>
        <w:t>outSAMtype</w:t>
      </w:r>
      <w:proofErr w:type="spellEnd"/>
      <w:r>
        <w:t xml:space="preserve"> BAM </w:t>
      </w:r>
      <w:proofErr w:type="spellStart"/>
      <w:r>
        <w:t>SortedByCoordinate</w:t>
      </w:r>
      <w:proofErr w:type="spellEnd"/>
      <w:r>
        <w:t xml:space="preserve"> \</w:t>
      </w:r>
    </w:p>
    <w:p w14:paraId="7E9EE8AB" w14:textId="77777777" w:rsidR="00E57F05" w:rsidRDefault="00E57F05" w:rsidP="00E57F05">
      <w:pPr>
        <w:ind w:left="720"/>
      </w:pPr>
      <w:r>
        <w:t>--</w:t>
      </w:r>
      <w:proofErr w:type="spellStart"/>
      <w:r>
        <w:t>outFileNamePrefix</w:t>
      </w:r>
      <w:proofErr w:type="spellEnd"/>
      <w:r>
        <w:t xml:space="preserve"> "./in-FA-R3_S4."</w:t>
      </w:r>
    </w:p>
    <w:p w14:paraId="3150D1D9" w14:textId="77777777" w:rsidR="00E57F05" w:rsidRDefault="00E57F05" w:rsidP="00E57F05">
      <w:pPr>
        <w:spacing w:line="254" w:lineRule="auto"/>
      </w:pPr>
    </w:p>
    <w:p w14:paraId="048F30B3" w14:textId="77777777" w:rsidR="00E57F05" w:rsidRDefault="00E57F05" w:rsidP="00E57F05">
      <w:pPr>
        <w:spacing w:line="254" w:lineRule="auto"/>
      </w:pPr>
      <w:r>
        <w:t>Splice junctions were then compiled for 2nd pass mapping as recommended by the STAR manual.</w:t>
      </w:r>
    </w:p>
    <w:p w14:paraId="044C05B8" w14:textId="77777777" w:rsidR="00E57F05" w:rsidRDefault="00E57F05" w:rsidP="00E57F05">
      <w:pPr>
        <w:spacing w:line="254" w:lineRule="auto"/>
      </w:pPr>
    </w:p>
    <w:p w14:paraId="73840A47" w14:textId="77777777" w:rsidR="00E57F05" w:rsidRDefault="00E57F05" w:rsidP="00E57F05">
      <w:pPr>
        <w:spacing w:line="254" w:lineRule="auto"/>
      </w:pPr>
      <w:r>
        <w:t>Second pass mapping:</w:t>
      </w:r>
    </w:p>
    <w:p w14:paraId="2B8B4CF7" w14:textId="77777777" w:rsidR="00E57F05" w:rsidRDefault="00E57F05" w:rsidP="00E57F05">
      <w:pPr>
        <w:ind w:left="720"/>
      </w:pPr>
    </w:p>
    <w:p w14:paraId="1A146D49"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/STAR \</w:t>
      </w:r>
    </w:p>
    <w:p w14:paraId="1CB13CEC"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runThreadN</w:t>
      </w:r>
      <w:proofErr w:type="spellEnd"/>
      <w:r>
        <w:t xml:space="preserve"> 24 \</w:t>
      </w:r>
    </w:p>
    <w:p w14:paraId="567AF470"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genomeDir</w:t>
      </w:r>
      <w:proofErr w:type="spellEnd"/>
      <w:r>
        <w:t xml:space="preserve"> GRCh38.94 \</w:t>
      </w:r>
    </w:p>
    <w:p w14:paraId="46004A33"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readFilesIn</w:t>
      </w:r>
      <w:proofErr w:type="spellEnd"/>
      <w:r>
        <w:t xml:space="preserve"> IP-FA-R1_S7_R1.trimmed.fastq IP-FA-R1_S7_R2.trimmed.fastq \</w:t>
      </w:r>
    </w:p>
    <w:p w14:paraId="142B5461"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outReadsUnmapped</w:t>
      </w:r>
      <w:proofErr w:type="spellEnd"/>
      <w:r>
        <w:t xml:space="preserve"> </w:t>
      </w:r>
      <w:proofErr w:type="spellStart"/>
      <w:r>
        <w:t>Fastx</w:t>
      </w:r>
      <w:proofErr w:type="spellEnd"/>
      <w:r>
        <w:t xml:space="preserve"> \</w:t>
      </w:r>
    </w:p>
    <w:p w14:paraId="5D50DC83"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outSAMtype</w:t>
      </w:r>
      <w:proofErr w:type="spellEnd"/>
      <w:r>
        <w:t xml:space="preserve"> BAM </w:t>
      </w:r>
      <w:proofErr w:type="spellStart"/>
      <w:r>
        <w:t>SortedByCoordinate</w:t>
      </w:r>
      <w:proofErr w:type="spellEnd"/>
      <w:r>
        <w:t xml:space="preserve"> \</w:t>
      </w:r>
    </w:p>
    <w:p w14:paraId="02286E2D"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quantMode</w:t>
      </w:r>
      <w:proofErr w:type="spellEnd"/>
      <w:r>
        <w:t xml:space="preserve"> </w:t>
      </w:r>
      <w:proofErr w:type="spellStart"/>
      <w:r>
        <w:t>TranscriptomeSAM</w:t>
      </w:r>
      <w:proofErr w:type="spellEnd"/>
      <w:r>
        <w:t xml:space="preserve"> </w:t>
      </w:r>
      <w:proofErr w:type="spellStart"/>
      <w:r>
        <w:t>GeneCounts</w:t>
      </w:r>
      <w:proofErr w:type="spellEnd"/>
      <w:r>
        <w:t xml:space="preserve"> \</w:t>
      </w:r>
    </w:p>
    <w:p w14:paraId="64176CFE"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outBAMcompression</w:t>
      </w:r>
      <w:proofErr w:type="spellEnd"/>
      <w:r>
        <w:t xml:space="preserve"> 10 \</w:t>
      </w:r>
    </w:p>
    <w:p w14:paraId="71BD3266"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quantTranscriptomeBAMcompression</w:t>
      </w:r>
      <w:proofErr w:type="spellEnd"/>
      <w:r>
        <w:t xml:space="preserve"> 10 \</w:t>
      </w:r>
    </w:p>
    <w:p w14:paraId="02437A01"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outFilterIntronMotifs</w:t>
      </w:r>
      <w:proofErr w:type="spellEnd"/>
      <w:r>
        <w:t xml:space="preserve"> None \</w:t>
      </w:r>
    </w:p>
    <w:p w14:paraId="71AC3115"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outSAMattrIHstart</w:t>
      </w:r>
      <w:proofErr w:type="spellEnd"/>
      <w:r>
        <w:t xml:space="preserve"> 0 \</w:t>
      </w:r>
    </w:p>
    <w:p w14:paraId="75E3DFB9"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outFilterType</w:t>
      </w:r>
      <w:proofErr w:type="spellEnd"/>
      <w:r>
        <w:t xml:space="preserve"> Normal \</w:t>
      </w:r>
    </w:p>
    <w:p w14:paraId="420ABF1B"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outFilterMultimapNmax</w:t>
      </w:r>
      <w:proofErr w:type="spellEnd"/>
      <w:r>
        <w:t xml:space="preserve"> 20 \</w:t>
      </w:r>
    </w:p>
    <w:p w14:paraId="3152553D"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alignSJoverhangMin</w:t>
      </w:r>
      <w:proofErr w:type="spellEnd"/>
      <w:r>
        <w:t xml:space="preserve"> 8 \</w:t>
      </w:r>
    </w:p>
    <w:p w14:paraId="3E9CC440"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alignSJDBoverhangMin</w:t>
      </w:r>
      <w:proofErr w:type="spellEnd"/>
      <w:r>
        <w:t xml:space="preserve"> 1 \</w:t>
      </w:r>
    </w:p>
    <w:p w14:paraId="1F21A2D8"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outFilterMismatchNmax</w:t>
      </w:r>
      <w:proofErr w:type="spellEnd"/>
      <w:r>
        <w:t xml:space="preserve"> 999 \</w:t>
      </w:r>
    </w:p>
    <w:p w14:paraId="6870F8E8"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outFilterMismatchNoverLmax</w:t>
      </w:r>
      <w:proofErr w:type="spellEnd"/>
      <w:r>
        <w:t xml:space="preserve"> 0.04 \</w:t>
      </w:r>
    </w:p>
    <w:p w14:paraId="5109BE36"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alignIntronMin</w:t>
      </w:r>
      <w:proofErr w:type="spellEnd"/>
      <w:r>
        <w:t xml:space="preserve"> 20 \</w:t>
      </w:r>
    </w:p>
    <w:p w14:paraId="7DD306F7"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alignIntronMax</w:t>
      </w:r>
      <w:proofErr w:type="spellEnd"/>
      <w:r>
        <w:t xml:space="preserve"> 1000000 \</w:t>
      </w:r>
    </w:p>
    <w:p w14:paraId="23BF1A68"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alignMatesGapMax</w:t>
      </w:r>
      <w:proofErr w:type="spellEnd"/>
      <w:r>
        <w:t xml:space="preserve"> 1000000 \</w:t>
      </w:r>
    </w:p>
    <w:p w14:paraId="7564D82D"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sjdbFileChrStartEnd</w:t>
      </w:r>
      <w:proofErr w:type="spellEnd"/>
      <w:r>
        <w:t xml:space="preserve"> ./in-CA-R1_S1.SJ.out.tab ./in-CA-R3_S2.SJ.out.tab ./in-FA-R1_S3.SJ.out.tab ./in-FA-R3_S4.SJ.out.tab ./IP-CA-R1_S5.SJ.out.tab ./IP-CA-R3_S6_R1.SJ.out.tab ./IP-FA-R1_S7.SJ.out.tab ./IP-FA-R3_S8.SJ.out.tab \</w:t>
      </w:r>
    </w:p>
    <w:p w14:paraId="38C632BB" w14:textId="77777777" w:rsidR="00E57F05" w:rsidRDefault="00E57F05" w:rsidP="00E57F05">
      <w:pPr>
        <w:ind w:firstLine="720"/>
      </w:pPr>
      <w:r>
        <w:t>--</w:t>
      </w:r>
      <w:proofErr w:type="spellStart"/>
      <w:r>
        <w:t>outFileNamePrefix</w:t>
      </w:r>
      <w:proofErr w:type="spellEnd"/>
      <w:r>
        <w:t xml:space="preserve"> "./IP-FA-R1."</w:t>
      </w:r>
    </w:p>
    <w:p w14:paraId="2694F77E" w14:textId="77777777" w:rsidR="00E57F05" w:rsidRDefault="00E57F05" w:rsidP="00E57F05">
      <w:pPr>
        <w:ind w:left="720"/>
      </w:pPr>
    </w:p>
    <w:p w14:paraId="3BE76228" w14:textId="77777777" w:rsidR="00E57F05" w:rsidRDefault="00E57F05" w:rsidP="00E57F05">
      <w:pPr>
        <w:ind w:left="720"/>
        <w:rPr>
          <w:rFonts w:ascii="Lucida Console" w:hAnsi="Lucida Console"/>
          <w:sz w:val="16"/>
          <w:szCs w:val="16"/>
        </w:rPr>
      </w:pPr>
    </w:p>
    <w:p w14:paraId="36AD7A04" w14:textId="3DB43B6F" w:rsidR="00E57F05" w:rsidRDefault="00E57F05" w:rsidP="00E57F05">
      <w:pPr>
        <w:spacing w:line="254" w:lineRule="auto"/>
        <w:jc w:val="both"/>
      </w:pPr>
      <w:r>
        <w:t>Read alignments were visually inspected by Inter Genome Viewer and RSEM (</w:t>
      </w:r>
      <w:hyperlink r:id="rId10" w:history="1">
        <w:r>
          <w:rPr>
            <w:rStyle w:val="Hyperlink"/>
          </w:rPr>
          <w:t>https://deweylab.github.io/RSEM/)</w:t>
        </w:r>
      </w:hyperlink>
      <w:r>
        <w:t xml:space="preserve"> reference file was the prepared by RSEM to use with RSEM to count reads associated with splice variants</w:t>
      </w:r>
      <w:r>
        <w:fldChar w:fldCharType="begin" w:fldLock="1"/>
      </w:r>
      <w:r w:rsidR="004A5C05">
        <w:instrText>ADDIN CSL_CITATION {"citationItems":[{"id":"ITEM-1","itemData":{"DOI":"10.1093/bib/bbs017","ISBN":"1477-4054 (Electronic)\\r1467-5463 (Linking)","ISSN":"14675463","PMID":"22517427","abstract":"Data visualization is an essential component of genomic data analysis. However, the size and diversity of the data sets produced by today's sequencing and array-based profiling methods present major challenges to visualization tools. The Integrative Genomics Viewer (IGV) is a high-performance viewer that efficiently handles large heterogeneous data sets, while providing a smooth and intuitive user experience at all levels of genome resolution. A key characteristic of IGV is its focus on the integrative nature of genomic studies, with support for both array-based and next-generation sequencing data, and the integration of clinical and phenotypic data. Although IGV is often used to view genomic data from public sources, its primary emphasis is to support researchers who wish to visualize and explore their own data sets or those from colleagues. To that end, IGV supports flexible loading of local and remote data sets, and is optimized to provide high-performance data visualization and exploration on standard desktop systems. IGV is freely available for download from http://www.broadinstitute.org/igv, under a GNU LGPL open-source license.","author":[{"dropping-particle":"","family":"Thorvaldsdóttir","given":"Helga","non-dropping-particle":"","parse-names":false,"suffix":""},{"dropping-particle":"","family":"Robinson","given":"James T.","non-dropping-particle":"","parse-names":false,"suffix":""},{"dropping-particle":"","family":"Mesirov","given":"Jill P.","non-dropping-particle":"","parse-names":false,"suffix":""}],"container-title":"Briefings in Bioinformatics","id":"ITEM-1","issue":"2","issued":{"date-parts":[["2012"]]},"page":"178-192","title":"Integrative Genomics Viewer (IGV): High-performance genomics data visualization and exploration","type":"article-journal","volume":"14"},"uris":["http://www.mendeley.com/documents/?uuid=9885847b-e6c6-4912-b8be-4cb06bf8b33e"]},{"id":"ITEM-2","itemData":{"DOI":"10.1201/b16589","ISBN":"9781482246629","ISSN":"14712105","PMID":"21816040","abstract":"BACKGROUND: RNA-Seq is revolutionizing the way transcript abundances are measured. A key challenge in transcript quantification from RNA-Seq data is the handling of reads that map to multiple genes or isoforms. This issue is particularly important for quantification with de novo transcriptome assemblies in the absence of sequenced genomes, as it is difficult to determine which transcripts are isoforms of the same gene. A second significant issue is the design of RNA-Seq experiments, in terms of the number of reads, read length, and whether reads come from one or both ends of cDNA fragments.\\n\\nRESULTS: We present RSEM, an user-friendly software package for quantifying gene and isoform abundances from single-end or paired-end RNA-Seq data. RSEM outputs abundance estimates, 95% credibility intervals, and visualization files and can also simulate RNA-Seq data. In contrast to other existing tools, the software does not require a reference genome. Thus, in combination with a de novo transcriptome assembler, RSEM enables accurate transcript quantification for species without sequenced genomes. On simulated and real data sets, RSEM has superior or comparable performance to quantification methods that rely on a reference genome. Taking advantage of RSEM's ability to effectively use ambiguously-mapping reads, we show that accurate gene-level abundance estimates are best obtained with large numbers of short single-end reads. On the other hand, estimates of the relative frequencies of isoforms within single genes may be improved through the use of paired-end reads, depending on the number of possible splice forms for each gene.\\n\\nCONCLUSIONS: RSEM is an accurate and user-friendly software tool for quantifying transcript abundances from RNA-Seq data. As it does not rely on the existence of a reference genome, it is particularly useful for quantification with de novo transcriptome assemblies. In addition, RSEM has enabled valuable guidance for cost-efficient design of quantification experiments with RNA-Seq, which is currently relatively expensive.","author":[{"dropping-particle":"","family":"Li","given":"Bo","non-dropping-particle":"","parse-names":false,"suffix":""},{"dropping-particle":"","family":"Dewey","given":"Colin N.","non-dropping-particle":"","parse-names":false,"suffix":""}],"container-title":"BMC Bioinformatics","id":"ITEM-2","issue":"323","issued":{"date-parts":[["2014"]]},"page":"1-16","title":"RSEM: Accurate transcript quantification from RNA-seq data with or without a reference genome","type":"article-journal","volume":"12"},"uris":["http://www.mendeley.com/documents/?uuid=d9e903f3-fbf8-451f-b6e1-29626ce32c4a"]}],"mendeley":{"formattedCitation":"&lt;sup&gt;5,6&lt;/sup&gt;","plainTextFormattedCitation":"5,6","previouslyFormattedCitation":"&lt;sup&gt;5,6&lt;/sup&gt;"},"properties":{"noteIndex":0},"schema":"https://github.com/citation-style-language/schema/raw/master/csl-citation.json"}</w:instrText>
      </w:r>
      <w:r>
        <w:fldChar w:fldCharType="separate"/>
      </w:r>
      <w:r>
        <w:rPr>
          <w:noProof/>
          <w:vertAlign w:val="superscript"/>
        </w:rPr>
        <w:t>5,6</w:t>
      </w:r>
      <w:r>
        <w:fldChar w:fldCharType="end"/>
      </w:r>
      <w:r>
        <w:t xml:space="preserve">. </w:t>
      </w:r>
    </w:p>
    <w:p w14:paraId="382EAAFE" w14:textId="77777777" w:rsidR="00E57F05" w:rsidRDefault="00E57F05" w:rsidP="00E57F05">
      <w:pPr>
        <w:spacing w:line="254" w:lineRule="auto"/>
        <w:jc w:val="both"/>
      </w:pPr>
      <w:r>
        <w:tab/>
      </w:r>
    </w:p>
    <w:p w14:paraId="7162AD4F" w14:textId="77777777" w:rsidR="00E57F05" w:rsidRDefault="00E57F05" w:rsidP="00E57F05">
      <w:pPr>
        <w:spacing w:line="254" w:lineRule="auto"/>
        <w:jc w:val="both"/>
      </w:pPr>
      <w:r>
        <w:t>RSEM reference generation:</w:t>
      </w:r>
    </w:p>
    <w:p w14:paraId="719FA423"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Lucida Console" w:hAnsi="Lucida Console"/>
          <w:sz w:val="16"/>
        </w:rPr>
      </w:pPr>
    </w:p>
    <w:p w14:paraId="1468B70C"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rsem</w:t>
      </w:r>
      <w:proofErr w:type="spellEnd"/>
      <w:r>
        <w:t>-prepare-reference \</w:t>
      </w:r>
    </w:p>
    <w:p w14:paraId="1043033B"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w:t>
      </w:r>
      <w:proofErr w:type="spellStart"/>
      <w:r>
        <w:t>gtf</w:t>
      </w:r>
      <w:proofErr w:type="spellEnd"/>
      <w:r>
        <w:t xml:space="preserve"> \</w:t>
      </w:r>
    </w:p>
    <w:p w14:paraId="75DFA6ED"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/Homo_sapiens.GRCh38.94.gtf \</w:t>
      </w:r>
    </w:p>
    <w:p w14:paraId="2013D0A7"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/Homo_sapiens.GRCh38.dna_sm.primary_assembly.fa \</w:t>
      </w:r>
    </w:p>
    <w:p w14:paraId="33386891" w14:textId="77777777" w:rsidR="00E57F05" w:rsidRDefault="00E57F05" w:rsidP="00E57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pPr>
      <w:r>
        <w:t>/GRCh38.rsem.ref.genome</w:t>
      </w:r>
    </w:p>
    <w:p w14:paraId="16104A9C" w14:textId="77777777" w:rsidR="00E57F05" w:rsidRDefault="00E57F05" w:rsidP="00E57F05">
      <w:pPr>
        <w:pStyle w:val="m6839711715107099790gmail-p1"/>
        <w:shd w:val="clear" w:color="auto" w:fill="FFFFFF"/>
        <w:spacing w:before="0" w:beforeAutospacing="0" w:after="0" w:afterAutospacing="0"/>
        <w:ind w:left="720"/>
      </w:pPr>
    </w:p>
    <w:p w14:paraId="0A0B048A" w14:textId="77777777" w:rsidR="00E57F05" w:rsidRDefault="00E57F05" w:rsidP="00E57F05">
      <w:pPr>
        <w:spacing w:line="254" w:lineRule="auto"/>
        <w:jc w:val="both"/>
      </w:pPr>
      <w:r>
        <w:t>RSEM was used to estimate the number of reads assigned to each splice variant.</w:t>
      </w:r>
    </w:p>
    <w:p w14:paraId="63B9C8A5" w14:textId="77777777" w:rsidR="00E57F05" w:rsidRDefault="00E57F05" w:rsidP="00E57F05">
      <w:pPr>
        <w:spacing w:line="254" w:lineRule="auto"/>
        <w:jc w:val="both"/>
      </w:pPr>
    </w:p>
    <w:p w14:paraId="695349B7" w14:textId="77777777" w:rsidR="00E57F05" w:rsidRDefault="00E57F05" w:rsidP="00E57F05">
      <w:pPr>
        <w:pStyle w:val="m6839711715107099790gmail-p1"/>
        <w:shd w:val="clear" w:color="auto" w:fill="FFFFFF"/>
        <w:spacing w:before="0" w:beforeAutospacing="0" w:after="0" w:afterAutospacing="0"/>
        <w:ind w:left="720"/>
      </w:pPr>
      <w:r>
        <w:t>/</w:t>
      </w:r>
      <w:proofErr w:type="spellStart"/>
      <w:r>
        <w:t>rsem</w:t>
      </w:r>
      <w:proofErr w:type="spellEnd"/>
      <w:r>
        <w:t>-calculate-expression \</w:t>
      </w:r>
    </w:p>
    <w:p w14:paraId="3B3FE146" w14:textId="77777777" w:rsidR="00E57F05" w:rsidRDefault="00E57F05" w:rsidP="00E57F05">
      <w:pPr>
        <w:pStyle w:val="m6839711715107099790gmail-p1"/>
        <w:shd w:val="clear" w:color="auto" w:fill="FFFFFF"/>
        <w:spacing w:before="0" w:beforeAutospacing="0" w:after="0" w:afterAutospacing="0"/>
        <w:ind w:left="720"/>
      </w:pPr>
      <w:r>
        <w:t>--paired-end \</w:t>
      </w:r>
    </w:p>
    <w:p w14:paraId="1CB21492" w14:textId="77777777" w:rsidR="00E57F05" w:rsidRDefault="00E57F05" w:rsidP="00E57F05">
      <w:pPr>
        <w:pStyle w:val="m6839711715107099790gmail-p1"/>
        <w:shd w:val="clear" w:color="auto" w:fill="FFFFFF"/>
        <w:spacing w:before="0" w:beforeAutospacing="0" w:after="0" w:afterAutospacing="0"/>
        <w:ind w:left="720"/>
      </w:pPr>
      <w:r>
        <w:t>-p 24 \</w:t>
      </w:r>
    </w:p>
    <w:p w14:paraId="76CBEC38" w14:textId="77777777" w:rsidR="00E57F05" w:rsidRDefault="00E57F05" w:rsidP="00E57F05">
      <w:pPr>
        <w:pStyle w:val="m6839711715107099790gmail-p1"/>
        <w:shd w:val="clear" w:color="auto" w:fill="FFFFFF"/>
        <w:spacing w:before="0" w:beforeAutospacing="0" w:after="0" w:afterAutospacing="0"/>
        <w:ind w:left="720"/>
      </w:pPr>
      <w:r>
        <w:t>--bam \</w:t>
      </w:r>
    </w:p>
    <w:p w14:paraId="08320F9E" w14:textId="77777777" w:rsidR="00E57F05" w:rsidRDefault="00E57F05" w:rsidP="00E57F05">
      <w:pPr>
        <w:pStyle w:val="m6839711715107099790gmail-p1"/>
        <w:shd w:val="clear" w:color="auto" w:fill="FFFFFF"/>
        <w:spacing w:before="0" w:beforeAutospacing="0" w:after="0" w:afterAutospacing="0"/>
        <w:ind w:left="720"/>
      </w:pPr>
      <w:r>
        <w:t>--output-genome-bam \</w:t>
      </w:r>
    </w:p>
    <w:p w14:paraId="038DC9D6" w14:textId="77777777" w:rsidR="00E57F05" w:rsidRDefault="00E57F05" w:rsidP="00E57F05">
      <w:pPr>
        <w:pStyle w:val="m6839711715107099790gmail-p1"/>
        <w:shd w:val="clear" w:color="auto" w:fill="FFFFFF"/>
        <w:spacing w:before="0" w:beforeAutospacing="0" w:after="0" w:afterAutospacing="0"/>
        <w:ind w:left="720"/>
      </w:pPr>
      <w:r>
        <w:t>/in-CA-R1_S1_R2.Aligned.toTranscriptome.out.bam \</w:t>
      </w:r>
    </w:p>
    <w:p w14:paraId="7184DB60" w14:textId="77777777" w:rsidR="00E57F05" w:rsidRDefault="00E57F05" w:rsidP="00E57F05">
      <w:pPr>
        <w:pStyle w:val="m6839711715107099790gmail-p1"/>
        <w:shd w:val="clear" w:color="auto" w:fill="FFFFFF"/>
        <w:spacing w:before="0" w:beforeAutospacing="0" w:after="0" w:afterAutospacing="0"/>
        <w:ind w:left="720"/>
      </w:pPr>
      <w:r>
        <w:t>/GRCh38.rsem.ref.genome \</w:t>
      </w:r>
    </w:p>
    <w:p w14:paraId="10E0DA67" w14:textId="77777777" w:rsidR="00E57F05" w:rsidRDefault="00E57F05" w:rsidP="00E57F05">
      <w:pPr>
        <w:pStyle w:val="m6839711715107099790gmail-p1"/>
        <w:shd w:val="clear" w:color="auto" w:fill="FFFFFF"/>
        <w:spacing w:before="0" w:beforeAutospacing="0" w:after="0" w:afterAutospacing="0"/>
        <w:ind w:left="720"/>
      </w:pPr>
      <w:r>
        <w:t>/in-CA-R1_S1</w:t>
      </w:r>
    </w:p>
    <w:p w14:paraId="54B22AE9" w14:textId="77777777" w:rsidR="00E57F05" w:rsidRDefault="00E57F05" w:rsidP="00E57F05">
      <w:pPr>
        <w:pStyle w:val="m6839711715107099790gmail-p1"/>
        <w:shd w:val="clear" w:color="auto" w:fill="FFFFFF"/>
        <w:spacing w:before="0" w:beforeAutospacing="0" w:after="0" w:afterAutospacing="0"/>
        <w:ind w:left="720"/>
        <w:sectPr w:rsidR="00E57F05" w:rsidSect="0094194D">
          <w:pgSz w:w="12240" w:h="15840"/>
          <w:pgMar w:top="1440" w:right="1440" w:bottom="1440" w:left="1440" w:header="720" w:footer="720" w:gutter="0"/>
          <w:cols w:space="720"/>
          <w:docGrid w:linePitch="360"/>
        </w:sectPr>
      </w:pPr>
    </w:p>
    <w:p w14:paraId="22F4FE4D" w14:textId="75C21EF1" w:rsidR="001E270D" w:rsidRDefault="001E270D" w:rsidP="00920BCE">
      <w:pPr>
        <w:spacing w:line="256" w:lineRule="auto"/>
        <w:jc w:val="both"/>
      </w:pPr>
      <w:r w:rsidRPr="005E2BA2">
        <w:rPr>
          <w:noProof/>
          <w:color w:val="000000" w:themeColor="text1"/>
        </w:rPr>
        <w:lastRenderedPageBreak/>
        <w:drawing>
          <wp:inline distT="0" distB="0" distL="0" distR="0" wp14:anchorId="3329FFEF" wp14:editId="6BBEDE2F">
            <wp:extent cx="5943600" cy="2979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0 Figure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79420"/>
                    </a:xfrm>
                    <a:prstGeom prst="rect">
                      <a:avLst/>
                    </a:prstGeom>
                  </pic:spPr>
                </pic:pic>
              </a:graphicData>
            </a:graphic>
          </wp:inline>
        </w:drawing>
      </w:r>
    </w:p>
    <w:p w14:paraId="7241501A" w14:textId="77777777" w:rsidR="001E270D" w:rsidRDefault="001E270D" w:rsidP="00920BCE">
      <w:pPr>
        <w:spacing w:line="256" w:lineRule="auto"/>
        <w:jc w:val="both"/>
        <w:rPr>
          <w:b/>
          <w:bCs/>
        </w:rPr>
      </w:pPr>
    </w:p>
    <w:p w14:paraId="7EE9D43E" w14:textId="76ECB74F" w:rsidR="009E5063" w:rsidRPr="00B305BE" w:rsidRDefault="006B2BDB" w:rsidP="00920BCE">
      <w:pPr>
        <w:spacing w:line="256" w:lineRule="auto"/>
        <w:jc w:val="both"/>
      </w:pPr>
      <w:r w:rsidRPr="001E270D">
        <w:rPr>
          <w:b/>
          <w:bCs/>
        </w:rPr>
        <w:t>Figure S1</w:t>
      </w:r>
      <w:r w:rsidR="001E270D" w:rsidRPr="001E270D">
        <w:rPr>
          <w:b/>
          <w:bCs/>
        </w:rPr>
        <w:t>.</w:t>
      </w:r>
      <w:r w:rsidR="001E270D">
        <w:t xml:space="preserve"> </w:t>
      </w:r>
      <w:r w:rsidR="001E270D" w:rsidRPr="001E270D">
        <w:t>Formaldehyde injection and exposure system. Clean air was generated with an high air purity generator (AADCO instruments) and channeled either into the clean air exposure chamber or injected with formaldehyde generated by thermal decomposition of paraformaldehyde powder into the environmental reaction chamber, then pulled into the formaldehyde exposure chamber at 2 L/min.  BEAS-2B cell cultures were either exposed to the formaldehyde-air mix or clean air for two hours at 37˚C and recovered for 6 hours in fresh media at 37˚C before processing.</w:t>
      </w:r>
    </w:p>
    <w:p w14:paraId="173F7520" w14:textId="787D10E2" w:rsidR="006B2BDB" w:rsidRPr="00B305BE" w:rsidRDefault="006B2BDB" w:rsidP="00920BCE">
      <w:pPr>
        <w:spacing w:line="256" w:lineRule="auto"/>
        <w:jc w:val="both"/>
      </w:pPr>
    </w:p>
    <w:p w14:paraId="08EC7959" w14:textId="77777777" w:rsidR="006B2BDB" w:rsidRPr="00B305BE" w:rsidRDefault="006B2BDB" w:rsidP="00920BCE">
      <w:pPr>
        <w:spacing w:line="256" w:lineRule="auto"/>
        <w:jc w:val="both"/>
        <w:sectPr w:rsidR="006B2BDB" w:rsidRPr="00B305BE" w:rsidSect="0094194D">
          <w:pgSz w:w="12240" w:h="15840"/>
          <w:pgMar w:top="1440" w:right="1440" w:bottom="1440" w:left="1440" w:header="720" w:footer="720" w:gutter="0"/>
          <w:cols w:space="720"/>
          <w:docGrid w:linePitch="360"/>
        </w:sectPr>
      </w:pPr>
    </w:p>
    <w:p w14:paraId="0C5758D1" w14:textId="43002C0D" w:rsidR="001E270D" w:rsidRDefault="00810E51" w:rsidP="00920BCE">
      <w:pPr>
        <w:spacing w:line="256" w:lineRule="auto"/>
        <w:jc w:val="both"/>
      </w:pPr>
      <w:r>
        <w:rPr>
          <w:noProof/>
        </w:rPr>
        <w:lastRenderedPageBreak/>
        <w:drawing>
          <wp:inline distT="0" distB="0" distL="0" distR="0" wp14:anchorId="78A6BD05" wp14:editId="5F6922B9">
            <wp:extent cx="3276600" cy="8229600"/>
            <wp:effectExtent l="0" t="0" r="0" b="0"/>
            <wp:docPr id="5"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6600" cy="8229600"/>
                    </a:xfrm>
                    <a:prstGeom prst="rect">
                      <a:avLst/>
                    </a:prstGeom>
                  </pic:spPr>
                </pic:pic>
              </a:graphicData>
            </a:graphic>
          </wp:inline>
        </w:drawing>
      </w:r>
    </w:p>
    <w:p w14:paraId="7B178C88" w14:textId="77777777" w:rsidR="007124AB" w:rsidRDefault="007124AB" w:rsidP="00920BCE">
      <w:pPr>
        <w:spacing w:line="256" w:lineRule="auto"/>
        <w:jc w:val="both"/>
      </w:pPr>
    </w:p>
    <w:p w14:paraId="28A2E1C8" w14:textId="07DEC10D" w:rsidR="00D70E14" w:rsidRPr="00873AB1" w:rsidRDefault="006B2BDB" w:rsidP="00920BCE">
      <w:pPr>
        <w:spacing w:line="256" w:lineRule="auto"/>
        <w:jc w:val="both"/>
        <w:sectPr w:rsidR="00D70E14" w:rsidRPr="00873AB1" w:rsidSect="0094194D">
          <w:pgSz w:w="12240" w:h="15840"/>
          <w:pgMar w:top="1440" w:right="1440" w:bottom="1440" w:left="1440" w:header="720" w:footer="720" w:gutter="0"/>
          <w:cols w:space="720"/>
          <w:docGrid w:linePitch="360"/>
        </w:sectPr>
      </w:pPr>
      <w:r w:rsidRPr="00D70E14">
        <w:rPr>
          <w:b/>
          <w:bCs/>
        </w:rPr>
        <w:t>Figure S2</w:t>
      </w:r>
      <w:r w:rsidR="00D70E14" w:rsidRPr="00D70E14">
        <w:rPr>
          <w:b/>
          <w:bCs/>
        </w:rPr>
        <w:t>.</w:t>
      </w:r>
      <w:r w:rsidR="00873AB1">
        <w:rPr>
          <w:b/>
          <w:bCs/>
        </w:rPr>
        <w:t xml:space="preserve"> </w:t>
      </w:r>
      <w:r w:rsidR="00873AB1">
        <w:t>Statistical analysis of 8-oxoG RIP-</w:t>
      </w:r>
      <w:proofErr w:type="spellStart"/>
      <w:r w:rsidR="00873AB1">
        <w:t>seq</w:t>
      </w:r>
      <w:proofErr w:type="spellEnd"/>
      <w:r w:rsidR="00873AB1">
        <w:t xml:space="preserve"> data from BEAS-2B cells exposed to formaldehyde (FA) relative to clean air (CA) controls using DESEQ2</w:t>
      </w:r>
      <w:r w:rsidR="00A57937">
        <w:t xml:space="preserve"> show major drivers of variance</w:t>
      </w:r>
      <w:r w:rsidR="00873AB1">
        <w:t xml:space="preserve">. </w:t>
      </w:r>
      <w:r w:rsidR="00A57937">
        <w:t>Principal component analysis (</w:t>
      </w:r>
      <w:r w:rsidR="00873AB1">
        <w:t>PCA</w:t>
      </w:r>
      <w:r w:rsidR="00A57937">
        <w:t>)</w:t>
      </w:r>
      <w:r w:rsidR="00D13D1B">
        <w:t xml:space="preserve"> </w:t>
      </w:r>
      <w:r w:rsidR="00A57937">
        <w:t>of full transcriptomics</w:t>
      </w:r>
      <w:r w:rsidR="00873AB1">
        <w:t xml:space="preserve"> for </w:t>
      </w:r>
      <w:r w:rsidR="00A57937">
        <w:t>formaldehyde (FA) exposure samples</w:t>
      </w:r>
      <w:r w:rsidR="00D13D1B">
        <w:t xml:space="preserve"> </w:t>
      </w:r>
      <w:r w:rsidR="00873AB1">
        <w:t>FA</w:t>
      </w:r>
      <w:r w:rsidR="00873AB1" w:rsidRPr="00873AB1">
        <w:rPr>
          <w:vertAlign w:val="subscript"/>
        </w:rPr>
        <w:t>IP</w:t>
      </w:r>
      <w:r w:rsidR="00873AB1">
        <w:t xml:space="preserve"> vs FA</w:t>
      </w:r>
      <w:r w:rsidR="00873AB1" w:rsidRPr="00873AB1">
        <w:rPr>
          <w:vertAlign w:val="subscript"/>
        </w:rPr>
        <w:t>IN</w:t>
      </w:r>
      <w:r w:rsidR="00873AB1">
        <w:t xml:space="preserve"> (A) and </w:t>
      </w:r>
      <w:r w:rsidR="00A57937">
        <w:t xml:space="preserve">for clean air (CA) controls </w:t>
      </w:r>
      <w:r w:rsidR="00873AB1">
        <w:t>CA</w:t>
      </w:r>
      <w:r w:rsidR="00873AB1" w:rsidRPr="00873AB1">
        <w:rPr>
          <w:vertAlign w:val="subscript"/>
        </w:rPr>
        <w:t>IP</w:t>
      </w:r>
      <w:r w:rsidR="00873AB1">
        <w:t xml:space="preserve"> vs CA</w:t>
      </w:r>
      <w:r w:rsidR="00873AB1" w:rsidRPr="00873AB1">
        <w:rPr>
          <w:vertAlign w:val="subscript"/>
        </w:rPr>
        <w:t>IN</w:t>
      </w:r>
      <w:r w:rsidR="00873AB1">
        <w:t xml:space="preserve"> (B).</w:t>
      </w:r>
      <w:r w:rsidR="00A57937">
        <w:t xml:space="preserve"> </w:t>
      </w:r>
      <w:r w:rsidR="00D13D1B">
        <w:t xml:space="preserve">IN and IP refers to input RNA pool previous and post-immunoprecipitation, respectively. PCA 1 and PC2 represent the % of explained variances. </w:t>
      </w:r>
      <w:r w:rsidR="00A57937">
        <w:t>Biological replicas are shown in the legend box (i.e. R1 and R3)</w:t>
      </w:r>
      <w:r w:rsidR="00D13D1B">
        <w:t xml:space="preserve"> and spatial </w:t>
      </w:r>
      <w:r w:rsidR="00A57937">
        <w:t xml:space="preserve">proximity </w:t>
      </w:r>
      <w:r w:rsidR="00D13D1B">
        <w:t>among</w:t>
      </w:r>
      <w:r w:rsidR="00A57937">
        <w:t xml:space="preserve"> </w:t>
      </w:r>
      <w:r w:rsidR="00D13D1B">
        <w:t xml:space="preserve">replicas indicate similar patterns of expression. </w:t>
      </w:r>
      <w:r w:rsidR="00873AB1">
        <w:t>Volcano plot</w:t>
      </w:r>
      <w:r w:rsidR="00D13D1B">
        <w:t xml:space="preserve"> of full transcriptomics for formaldehyde (FA) exposure samples</w:t>
      </w:r>
      <w:r w:rsidR="00873AB1">
        <w:t xml:space="preserve"> for FA</w:t>
      </w:r>
      <w:r w:rsidR="00873AB1" w:rsidRPr="00873AB1">
        <w:rPr>
          <w:vertAlign w:val="subscript"/>
        </w:rPr>
        <w:t>IP</w:t>
      </w:r>
      <w:r w:rsidR="00873AB1">
        <w:t xml:space="preserve"> vs FA</w:t>
      </w:r>
      <w:r w:rsidR="00873AB1" w:rsidRPr="00873AB1">
        <w:rPr>
          <w:vertAlign w:val="subscript"/>
        </w:rPr>
        <w:t>IN</w:t>
      </w:r>
      <w:r w:rsidR="00873AB1">
        <w:t xml:space="preserve"> (C) and </w:t>
      </w:r>
      <w:r w:rsidR="00D13D1B">
        <w:t>for clean air (CA) controls</w:t>
      </w:r>
      <w:r w:rsidR="00873AB1">
        <w:t xml:space="preserve"> CA</w:t>
      </w:r>
      <w:r w:rsidR="00873AB1" w:rsidRPr="00873AB1">
        <w:rPr>
          <w:vertAlign w:val="subscript"/>
        </w:rPr>
        <w:t>IP</w:t>
      </w:r>
      <w:r w:rsidR="00873AB1">
        <w:t xml:space="preserve"> vs CA</w:t>
      </w:r>
      <w:r w:rsidR="00873AB1" w:rsidRPr="00873AB1">
        <w:rPr>
          <w:vertAlign w:val="subscript"/>
        </w:rPr>
        <w:t>IN</w:t>
      </w:r>
      <w:r w:rsidR="00873AB1">
        <w:t xml:space="preserve"> (D).</w:t>
      </w:r>
      <w:r w:rsidR="006236A9">
        <w:t xml:space="preserve"> Full transcriptomics data after DESEQ2 analysis used to create the volcano plots is available in Dataset S7 and S8.</w:t>
      </w:r>
    </w:p>
    <w:p w14:paraId="59C8E49A" w14:textId="06149CF5" w:rsidR="006B2BDB" w:rsidRDefault="0006005E" w:rsidP="00920BCE">
      <w:pPr>
        <w:spacing w:line="256" w:lineRule="auto"/>
        <w:jc w:val="both"/>
      </w:pPr>
      <w:r>
        <w:rPr>
          <w:noProof/>
        </w:rPr>
        <w:lastRenderedPageBreak/>
        <w:drawing>
          <wp:inline distT="0" distB="0" distL="0" distR="0" wp14:anchorId="5FD62444" wp14:editId="6864A4D4">
            <wp:extent cx="3722419" cy="4653023"/>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6111" cy="4657637"/>
                    </a:xfrm>
                    <a:prstGeom prst="rect">
                      <a:avLst/>
                    </a:prstGeom>
                  </pic:spPr>
                </pic:pic>
              </a:graphicData>
            </a:graphic>
          </wp:inline>
        </w:drawing>
      </w:r>
    </w:p>
    <w:p w14:paraId="7AECE431" w14:textId="77777777" w:rsidR="00E07A99" w:rsidRDefault="00E07A99" w:rsidP="00920BCE">
      <w:pPr>
        <w:spacing w:line="256" w:lineRule="auto"/>
        <w:jc w:val="both"/>
      </w:pPr>
    </w:p>
    <w:p w14:paraId="304DCBCE" w14:textId="152CC1E9" w:rsidR="00D13D1B" w:rsidRPr="00D70E14" w:rsidRDefault="00D70E14" w:rsidP="00920BCE">
      <w:pPr>
        <w:spacing w:line="256" w:lineRule="auto"/>
        <w:jc w:val="both"/>
        <w:sectPr w:rsidR="00D13D1B" w:rsidRPr="00D70E14" w:rsidSect="0094194D">
          <w:pgSz w:w="12240" w:h="15840"/>
          <w:pgMar w:top="1440" w:right="1440" w:bottom="1440" w:left="1440" w:header="720" w:footer="720" w:gutter="0"/>
          <w:cols w:space="720"/>
          <w:docGrid w:linePitch="360"/>
        </w:sectPr>
      </w:pPr>
      <w:r w:rsidRPr="00D70E14">
        <w:rPr>
          <w:b/>
          <w:bCs/>
        </w:rPr>
        <w:t>Figure S3</w:t>
      </w:r>
      <w:r>
        <w:rPr>
          <w:b/>
          <w:bCs/>
        </w:rPr>
        <w:t xml:space="preserve">. </w:t>
      </w:r>
      <w:r w:rsidR="00396F03">
        <w:rPr>
          <w:b/>
          <w:bCs/>
        </w:rPr>
        <w:t xml:space="preserve"> </w:t>
      </w:r>
      <w:r w:rsidR="00396F03">
        <w:t xml:space="preserve">Statistical analysis of </w:t>
      </w:r>
      <w:r w:rsidR="00E07A99">
        <w:t>the RNA-</w:t>
      </w:r>
      <w:proofErr w:type="spellStart"/>
      <w:r w:rsidR="00E07A99">
        <w:t>seq</w:t>
      </w:r>
      <w:proofErr w:type="spellEnd"/>
      <w:r w:rsidR="00E07A99">
        <w:t xml:space="preserve"> data</w:t>
      </w:r>
      <w:r w:rsidR="00396F03">
        <w:t xml:space="preserve"> from BEAS-2B cells exposed to formaldehyde (FA) relative to clean air (CA) controls using DESEQ2</w:t>
      </w:r>
      <w:r w:rsidR="00D13D1B">
        <w:t xml:space="preserve"> show major drivers of variance</w:t>
      </w:r>
      <w:r w:rsidR="00396F03">
        <w:t xml:space="preserve">. </w:t>
      </w:r>
      <w:r w:rsidR="00D13D1B">
        <w:t>(A) Principal component analysis (PCA) of full transcriptomics pre-immunoprecipitation for formaldehyde (FA</w:t>
      </w:r>
      <w:r w:rsidR="00D13D1B" w:rsidRPr="00D13D1B">
        <w:rPr>
          <w:vertAlign w:val="subscript"/>
        </w:rPr>
        <w:t>IN</w:t>
      </w:r>
      <w:r w:rsidR="00D13D1B">
        <w:t>) and clean air (CA</w:t>
      </w:r>
      <w:r w:rsidR="00D13D1B" w:rsidRPr="00D13D1B">
        <w:rPr>
          <w:vertAlign w:val="subscript"/>
        </w:rPr>
        <w:t>IN</w:t>
      </w:r>
      <w:r w:rsidR="00D13D1B">
        <w:t>). PCA 1 and PC2 represent the % of explained variances. Biological replicas are shown in the legend box (i.e. R1 and R3) and spatial proximity among replicas indicate similar patterns of expression. Volcano plot of full transcriptomics for formaldehyde (FA</w:t>
      </w:r>
      <w:r w:rsidR="00D13D1B" w:rsidRPr="00D13D1B">
        <w:rPr>
          <w:vertAlign w:val="subscript"/>
        </w:rPr>
        <w:t>IN</w:t>
      </w:r>
      <w:r w:rsidR="00D13D1B">
        <w:t>) exposure samples and clean air (CA</w:t>
      </w:r>
      <w:r w:rsidR="00D13D1B" w:rsidRPr="00D13D1B">
        <w:rPr>
          <w:vertAlign w:val="subscript"/>
        </w:rPr>
        <w:t>IN</w:t>
      </w:r>
      <w:r w:rsidR="00D13D1B">
        <w:t xml:space="preserve">) controls. </w:t>
      </w:r>
      <w:r w:rsidR="0006005E" w:rsidRPr="0006005E">
        <w:t xml:space="preserve">Red color indicates </w:t>
      </w:r>
      <w:r w:rsidR="0006005E">
        <w:t xml:space="preserve">differential expressed transcripts (log2(FC)&gt;|2| and </w:t>
      </w:r>
      <w:proofErr w:type="spellStart"/>
      <w:r w:rsidR="0006005E">
        <w:t>p</w:t>
      </w:r>
      <w:r w:rsidR="0006005E" w:rsidRPr="0006005E">
        <w:rPr>
          <w:vertAlign w:val="subscript"/>
        </w:rPr>
        <w:t>adj</w:t>
      </w:r>
      <w:proofErr w:type="spellEnd"/>
      <w:r w:rsidR="0006005E">
        <w:t xml:space="preserve"> &lt; 0.05). </w:t>
      </w:r>
      <w:r w:rsidR="006236A9">
        <w:t>Full transcriptomics data after DESEQ2 analysis used to create the volcano plots is available in Dataset S9.</w:t>
      </w:r>
    </w:p>
    <w:p w14:paraId="0FE42F64" w14:textId="5A77383A" w:rsidR="00920BCE" w:rsidRPr="00B305BE" w:rsidRDefault="00F8654F" w:rsidP="00981D9D">
      <w:pPr>
        <w:pStyle w:val="Heading2"/>
      </w:pPr>
      <w:r w:rsidRPr="00B305BE">
        <w:lastRenderedPageBreak/>
        <w:t>Supplemental works cited</w:t>
      </w:r>
    </w:p>
    <w:p w14:paraId="751D3863" w14:textId="77777777" w:rsidR="00FE4912" w:rsidRPr="00B305BE" w:rsidRDefault="00FE4912" w:rsidP="00FE4912">
      <w:pPr>
        <w:jc w:val="center"/>
      </w:pPr>
    </w:p>
    <w:p w14:paraId="1EF2D387" w14:textId="11EB9B7E" w:rsidR="004A5C05" w:rsidRPr="004A5C05" w:rsidRDefault="007F0F4C" w:rsidP="004A5C05">
      <w:pPr>
        <w:widowControl w:val="0"/>
        <w:autoSpaceDE w:val="0"/>
        <w:autoSpaceDN w:val="0"/>
        <w:adjustRightInd w:val="0"/>
        <w:ind w:left="640" w:hanging="640"/>
        <w:rPr>
          <w:noProof/>
        </w:rPr>
      </w:pPr>
      <w:r w:rsidRPr="00B305BE">
        <w:fldChar w:fldCharType="begin" w:fldLock="1"/>
      </w:r>
      <w:r w:rsidRPr="00B305BE">
        <w:instrText xml:space="preserve">ADDIN Mendeley Bibliography CSL_BIBLIOGRAPHY </w:instrText>
      </w:r>
      <w:r w:rsidRPr="00B305BE">
        <w:fldChar w:fldCharType="separate"/>
      </w:r>
      <w:bookmarkStart w:id="0" w:name="_GoBack"/>
      <w:bookmarkEnd w:id="0"/>
      <w:r w:rsidR="004A5C05" w:rsidRPr="004A5C05">
        <w:rPr>
          <w:noProof/>
        </w:rPr>
        <w:t>1.</w:t>
      </w:r>
      <w:r w:rsidR="004A5C05" w:rsidRPr="004A5C05">
        <w:rPr>
          <w:noProof/>
        </w:rPr>
        <w:tab/>
        <w:t xml:space="preserve">Aljawhary, D., Lee, A. K. Y. &amp; Abbatt, J. P. D. High-resolution chemical ionization mass spectrometry (ToF-CIMS): Application to study SOA composition and processing. </w:t>
      </w:r>
      <w:r w:rsidR="004A5C05" w:rsidRPr="004A5C05">
        <w:rPr>
          <w:i/>
          <w:iCs/>
          <w:noProof/>
        </w:rPr>
        <w:t>Atmos. Meas. Tech.</w:t>
      </w:r>
      <w:r w:rsidR="004A5C05" w:rsidRPr="004A5C05">
        <w:rPr>
          <w:noProof/>
        </w:rPr>
        <w:t xml:space="preserve"> </w:t>
      </w:r>
      <w:r w:rsidR="004A5C05" w:rsidRPr="004A5C05">
        <w:rPr>
          <w:b/>
          <w:bCs/>
          <w:noProof/>
        </w:rPr>
        <w:t>6</w:t>
      </w:r>
      <w:r w:rsidR="004A5C05" w:rsidRPr="004A5C05">
        <w:rPr>
          <w:noProof/>
        </w:rPr>
        <w:t>, 3211–3224 (2013).</w:t>
      </w:r>
    </w:p>
    <w:p w14:paraId="64A99AD6" w14:textId="77777777" w:rsidR="004A5C05" w:rsidRPr="004A5C05" w:rsidRDefault="004A5C05" w:rsidP="004A5C05">
      <w:pPr>
        <w:widowControl w:val="0"/>
        <w:autoSpaceDE w:val="0"/>
        <w:autoSpaceDN w:val="0"/>
        <w:adjustRightInd w:val="0"/>
        <w:ind w:left="640" w:hanging="640"/>
        <w:rPr>
          <w:noProof/>
        </w:rPr>
      </w:pPr>
      <w:r w:rsidRPr="004A5C05">
        <w:rPr>
          <w:noProof/>
        </w:rPr>
        <w:t>2.</w:t>
      </w:r>
      <w:r w:rsidRPr="004A5C05">
        <w:rPr>
          <w:noProof/>
        </w:rPr>
        <w:tab/>
        <w:t xml:space="preserve">Lee, B. H. </w:t>
      </w:r>
      <w:r w:rsidRPr="004A5C05">
        <w:rPr>
          <w:i/>
          <w:iCs/>
          <w:noProof/>
        </w:rPr>
        <w:t>et al.</w:t>
      </w:r>
      <w:r w:rsidRPr="004A5C05">
        <w:rPr>
          <w:noProof/>
        </w:rPr>
        <w:t xml:space="preserve"> An iodide-adduct high-resolution time-of-flight chemical-ionization mass spectrometer: Application to atmospheric inorganic and organic compounds. </w:t>
      </w:r>
      <w:r w:rsidRPr="004A5C05">
        <w:rPr>
          <w:i/>
          <w:iCs/>
          <w:noProof/>
        </w:rPr>
        <w:t>Environ. Sci. Technol.</w:t>
      </w:r>
      <w:r w:rsidRPr="004A5C05">
        <w:rPr>
          <w:noProof/>
        </w:rPr>
        <w:t xml:space="preserve"> </w:t>
      </w:r>
      <w:r w:rsidRPr="004A5C05">
        <w:rPr>
          <w:b/>
          <w:bCs/>
          <w:noProof/>
        </w:rPr>
        <w:t>48</w:t>
      </w:r>
      <w:r w:rsidRPr="004A5C05">
        <w:rPr>
          <w:noProof/>
        </w:rPr>
        <w:t>, 6309–6317 (2014).</w:t>
      </w:r>
    </w:p>
    <w:p w14:paraId="59A5F7CE" w14:textId="77777777" w:rsidR="004A5C05" w:rsidRPr="004A5C05" w:rsidRDefault="004A5C05" w:rsidP="004A5C05">
      <w:pPr>
        <w:widowControl w:val="0"/>
        <w:autoSpaceDE w:val="0"/>
        <w:autoSpaceDN w:val="0"/>
        <w:adjustRightInd w:val="0"/>
        <w:ind w:left="640" w:hanging="640"/>
        <w:rPr>
          <w:noProof/>
        </w:rPr>
      </w:pPr>
      <w:r w:rsidRPr="004A5C05">
        <w:rPr>
          <w:noProof/>
        </w:rPr>
        <w:t>3.</w:t>
      </w:r>
      <w:r w:rsidRPr="004A5C05">
        <w:rPr>
          <w:noProof/>
        </w:rPr>
        <w:tab/>
        <w:t xml:space="preserve">Martin, M. Cutadapt removes adaptor sequences from high-throughput sequencing reads. </w:t>
      </w:r>
      <w:r w:rsidRPr="004A5C05">
        <w:rPr>
          <w:i/>
          <w:iCs/>
          <w:noProof/>
        </w:rPr>
        <w:t>EMBnet.journal</w:t>
      </w:r>
      <w:r w:rsidRPr="004A5C05">
        <w:rPr>
          <w:noProof/>
        </w:rPr>
        <w:t xml:space="preserve"> </w:t>
      </w:r>
      <w:r w:rsidRPr="004A5C05">
        <w:rPr>
          <w:b/>
          <w:bCs/>
          <w:noProof/>
        </w:rPr>
        <w:t>17</w:t>
      </w:r>
      <w:r w:rsidRPr="004A5C05">
        <w:rPr>
          <w:noProof/>
        </w:rPr>
        <w:t>, 10–12 (2011).</w:t>
      </w:r>
    </w:p>
    <w:p w14:paraId="4F208189" w14:textId="77777777" w:rsidR="004A5C05" w:rsidRPr="004A5C05" w:rsidRDefault="004A5C05" w:rsidP="004A5C05">
      <w:pPr>
        <w:widowControl w:val="0"/>
        <w:autoSpaceDE w:val="0"/>
        <w:autoSpaceDN w:val="0"/>
        <w:adjustRightInd w:val="0"/>
        <w:ind w:left="640" w:hanging="640"/>
        <w:rPr>
          <w:noProof/>
        </w:rPr>
      </w:pPr>
      <w:r w:rsidRPr="004A5C05">
        <w:rPr>
          <w:noProof/>
        </w:rPr>
        <w:t>4.</w:t>
      </w:r>
      <w:r w:rsidRPr="004A5C05">
        <w:rPr>
          <w:noProof/>
        </w:rPr>
        <w:tab/>
        <w:t xml:space="preserve">Dobin, A. </w:t>
      </w:r>
      <w:r w:rsidRPr="004A5C05">
        <w:rPr>
          <w:i/>
          <w:iCs/>
          <w:noProof/>
        </w:rPr>
        <w:t>et al.</w:t>
      </w:r>
      <w:r w:rsidRPr="004A5C05">
        <w:rPr>
          <w:noProof/>
        </w:rPr>
        <w:t xml:space="preserve"> STAR: Ultrafast universal RNA-seq aligner. </w:t>
      </w:r>
      <w:r w:rsidRPr="004A5C05">
        <w:rPr>
          <w:i/>
          <w:iCs/>
          <w:noProof/>
        </w:rPr>
        <w:t>Bioinformatics</w:t>
      </w:r>
      <w:r w:rsidRPr="004A5C05">
        <w:rPr>
          <w:noProof/>
        </w:rPr>
        <w:t xml:space="preserve"> </w:t>
      </w:r>
      <w:r w:rsidRPr="004A5C05">
        <w:rPr>
          <w:b/>
          <w:bCs/>
          <w:noProof/>
        </w:rPr>
        <w:t>29</w:t>
      </w:r>
      <w:r w:rsidRPr="004A5C05">
        <w:rPr>
          <w:noProof/>
        </w:rPr>
        <w:t>, 15–21 (2013).</w:t>
      </w:r>
    </w:p>
    <w:p w14:paraId="2D164D98" w14:textId="77777777" w:rsidR="004A5C05" w:rsidRPr="004A5C05" w:rsidRDefault="004A5C05" w:rsidP="004A5C05">
      <w:pPr>
        <w:widowControl w:val="0"/>
        <w:autoSpaceDE w:val="0"/>
        <w:autoSpaceDN w:val="0"/>
        <w:adjustRightInd w:val="0"/>
        <w:ind w:left="640" w:hanging="640"/>
        <w:rPr>
          <w:noProof/>
        </w:rPr>
      </w:pPr>
      <w:r w:rsidRPr="004A5C05">
        <w:rPr>
          <w:noProof/>
        </w:rPr>
        <w:t>5.</w:t>
      </w:r>
      <w:r w:rsidRPr="004A5C05">
        <w:rPr>
          <w:noProof/>
        </w:rPr>
        <w:tab/>
        <w:t xml:space="preserve">Thorvaldsdóttir, H., Robinson, J. T. &amp; Mesirov, J. P. Integrative Genomics Viewer (IGV): High-performance genomics data visualization and exploration. </w:t>
      </w:r>
      <w:r w:rsidRPr="004A5C05">
        <w:rPr>
          <w:i/>
          <w:iCs/>
          <w:noProof/>
        </w:rPr>
        <w:t>Brief. Bioinform.</w:t>
      </w:r>
      <w:r w:rsidRPr="004A5C05">
        <w:rPr>
          <w:noProof/>
        </w:rPr>
        <w:t xml:space="preserve"> </w:t>
      </w:r>
      <w:r w:rsidRPr="004A5C05">
        <w:rPr>
          <w:b/>
          <w:bCs/>
          <w:noProof/>
        </w:rPr>
        <w:t>14</w:t>
      </w:r>
      <w:r w:rsidRPr="004A5C05">
        <w:rPr>
          <w:noProof/>
        </w:rPr>
        <w:t>, 178–192 (2012).</w:t>
      </w:r>
    </w:p>
    <w:p w14:paraId="4BAB9E7A" w14:textId="77777777" w:rsidR="004A5C05" w:rsidRPr="004A5C05" w:rsidRDefault="004A5C05" w:rsidP="004A5C05">
      <w:pPr>
        <w:widowControl w:val="0"/>
        <w:autoSpaceDE w:val="0"/>
        <w:autoSpaceDN w:val="0"/>
        <w:adjustRightInd w:val="0"/>
        <w:ind w:left="640" w:hanging="640"/>
        <w:rPr>
          <w:noProof/>
        </w:rPr>
      </w:pPr>
      <w:r w:rsidRPr="004A5C05">
        <w:rPr>
          <w:noProof/>
        </w:rPr>
        <w:t>6.</w:t>
      </w:r>
      <w:r w:rsidRPr="004A5C05">
        <w:rPr>
          <w:noProof/>
        </w:rPr>
        <w:tab/>
        <w:t xml:space="preserve">Li, B. &amp; Dewey, C. N. RSEM: Accurate transcript quantification from RNA-seq data with or without a reference genome. </w:t>
      </w:r>
      <w:r w:rsidRPr="004A5C05">
        <w:rPr>
          <w:i/>
          <w:iCs/>
          <w:noProof/>
        </w:rPr>
        <w:t>BMC Bioinformatics</w:t>
      </w:r>
      <w:r w:rsidRPr="004A5C05">
        <w:rPr>
          <w:noProof/>
        </w:rPr>
        <w:t xml:space="preserve"> </w:t>
      </w:r>
      <w:r w:rsidRPr="004A5C05">
        <w:rPr>
          <w:b/>
          <w:bCs/>
          <w:noProof/>
        </w:rPr>
        <w:t>12</w:t>
      </w:r>
      <w:r w:rsidRPr="004A5C05">
        <w:rPr>
          <w:noProof/>
        </w:rPr>
        <w:t>, 1–16 (2014).</w:t>
      </w:r>
    </w:p>
    <w:p w14:paraId="7D091AE8" w14:textId="4658D7FB" w:rsidR="00FE4912" w:rsidRPr="00B305BE" w:rsidRDefault="007F0F4C" w:rsidP="004A5C05">
      <w:pPr>
        <w:widowControl w:val="0"/>
        <w:autoSpaceDE w:val="0"/>
        <w:autoSpaceDN w:val="0"/>
        <w:adjustRightInd w:val="0"/>
        <w:ind w:left="640" w:hanging="640"/>
      </w:pPr>
      <w:r w:rsidRPr="00B305BE">
        <w:fldChar w:fldCharType="end"/>
      </w:r>
    </w:p>
    <w:sectPr w:rsidR="00FE4912" w:rsidRPr="00B305BE" w:rsidSect="009419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4E2"/>
    <w:rsid w:val="0006005E"/>
    <w:rsid w:val="00187F1B"/>
    <w:rsid w:val="001D3420"/>
    <w:rsid w:val="001E270D"/>
    <w:rsid w:val="00223B29"/>
    <w:rsid w:val="002670F9"/>
    <w:rsid w:val="002A02D8"/>
    <w:rsid w:val="002B71E5"/>
    <w:rsid w:val="002C7141"/>
    <w:rsid w:val="00300D7E"/>
    <w:rsid w:val="00396F03"/>
    <w:rsid w:val="003D3D18"/>
    <w:rsid w:val="003D4C55"/>
    <w:rsid w:val="004A5C05"/>
    <w:rsid w:val="0050406A"/>
    <w:rsid w:val="00522210"/>
    <w:rsid w:val="00543A9D"/>
    <w:rsid w:val="0058090E"/>
    <w:rsid w:val="00580B2D"/>
    <w:rsid w:val="005C368E"/>
    <w:rsid w:val="006236A9"/>
    <w:rsid w:val="0062745A"/>
    <w:rsid w:val="00674866"/>
    <w:rsid w:val="006B2BDB"/>
    <w:rsid w:val="007124AB"/>
    <w:rsid w:val="007244E2"/>
    <w:rsid w:val="00761CDB"/>
    <w:rsid w:val="007B5346"/>
    <w:rsid w:val="007D29F7"/>
    <w:rsid w:val="007D749F"/>
    <w:rsid w:val="007F0F4C"/>
    <w:rsid w:val="00810E51"/>
    <w:rsid w:val="00852AC0"/>
    <w:rsid w:val="00873AB1"/>
    <w:rsid w:val="008A540B"/>
    <w:rsid w:val="00920BCE"/>
    <w:rsid w:val="00922519"/>
    <w:rsid w:val="0094194D"/>
    <w:rsid w:val="00977981"/>
    <w:rsid w:val="00981D9D"/>
    <w:rsid w:val="00992566"/>
    <w:rsid w:val="009E5063"/>
    <w:rsid w:val="00A00974"/>
    <w:rsid w:val="00A10A8D"/>
    <w:rsid w:val="00A313F3"/>
    <w:rsid w:val="00A57937"/>
    <w:rsid w:val="00A57AB6"/>
    <w:rsid w:val="00AC0AE2"/>
    <w:rsid w:val="00B305BE"/>
    <w:rsid w:val="00BF7DF7"/>
    <w:rsid w:val="00D13D1B"/>
    <w:rsid w:val="00D1427D"/>
    <w:rsid w:val="00D70E14"/>
    <w:rsid w:val="00D81A5B"/>
    <w:rsid w:val="00D93A8F"/>
    <w:rsid w:val="00E07A99"/>
    <w:rsid w:val="00E15C68"/>
    <w:rsid w:val="00E2553B"/>
    <w:rsid w:val="00E57F05"/>
    <w:rsid w:val="00EC15F3"/>
    <w:rsid w:val="00F00CF2"/>
    <w:rsid w:val="00F37957"/>
    <w:rsid w:val="00F8654F"/>
    <w:rsid w:val="00FC5531"/>
    <w:rsid w:val="00FD7BAE"/>
    <w:rsid w:val="00FE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87E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AB6"/>
    <w:rPr>
      <w:rFonts w:ascii="Times New Roman" w:hAnsi="Times New Roman" w:cs="Times New Roman"/>
    </w:rPr>
  </w:style>
  <w:style w:type="paragraph" w:styleId="Heading1">
    <w:name w:val="heading 1"/>
    <w:basedOn w:val="Normal"/>
    <w:next w:val="Normal"/>
    <w:link w:val="Heading1Char"/>
    <w:uiPriority w:val="9"/>
    <w:qFormat/>
    <w:rsid w:val="000600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05BE"/>
    <w:pPr>
      <w:outlineLvl w:val="1"/>
    </w:pPr>
    <w:rPr>
      <w:b/>
      <w:color w:val="000000" w:themeColor="text1"/>
    </w:rPr>
  </w:style>
  <w:style w:type="paragraph" w:styleId="Heading3">
    <w:name w:val="heading 3"/>
    <w:basedOn w:val="Normal"/>
    <w:next w:val="Normal"/>
    <w:link w:val="Heading3Char"/>
    <w:uiPriority w:val="9"/>
    <w:unhideWhenUsed/>
    <w:qFormat/>
    <w:rsid w:val="00B305BE"/>
    <w:pPr>
      <w:outlineLvl w:val="2"/>
    </w:pPr>
    <w:rPr>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AB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7AB6"/>
    <w:rPr>
      <w:sz w:val="16"/>
      <w:szCs w:val="16"/>
    </w:rPr>
  </w:style>
  <w:style w:type="paragraph" w:styleId="CommentText">
    <w:name w:val="annotation text"/>
    <w:basedOn w:val="Normal"/>
    <w:link w:val="CommentTextChar"/>
    <w:uiPriority w:val="99"/>
    <w:semiHidden/>
    <w:unhideWhenUsed/>
    <w:rsid w:val="00A57AB6"/>
    <w:rPr>
      <w:rFonts w:eastAsiaTheme="minorEastAsia"/>
      <w:sz w:val="20"/>
      <w:szCs w:val="20"/>
    </w:rPr>
  </w:style>
  <w:style w:type="character" w:customStyle="1" w:styleId="CommentTextChar">
    <w:name w:val="Comment Text Char"/>
    <w:basedOn w:val="DefaultParagraphFont"/>
    <w:link w:val="CommentText"/>
    <w:uiPriority w:val="99"/>
    <w:semiHidden/>
    <w:rsid w:val="00A57AB6"/>
    <w:rPr>
      <w:rFonts w:ascii="Times New Roman" w:eastAsiaTheme="minorEastAsia" w:hAnsi="Times New Roman" w:cs="Times New Roman"/>
      <w:sz w:val="20"/>
      <w:szCs w:val="20"/>
    </w:rPr>
  </w:style>
  <w:style w:type="paragraph" w:styleId="BalloonText">
    <w:name w:val="Balloon Text"/>
    <w:basedOn w:val="Normal"/>
    <w:link w:val="BalloonTextChar"/>
    <w:uiPriority w:val="99"/>
    <w:semiHidden/>
    <w:unhideWhenUsed/>
    <w:rsid w:val="00A57AB6"/>
    <w:rPr>
      <w:sz w:val="18"/>
      <w:szCs w:val="18"/>
    </w:rPr>
  </w:style>
  <w:style w:type="character" w:customStyle="1" w:styleId="BalloonTextChar">
    <w:name w:val="Balloon Text Char"/>
    <w:basedOn w:val="DefaultParagraphFont"/>
    <w:link w:val="BalloonText"/>
    <w:uiPriority w:val="99"/>
    <w:semiHidden/>
    <w:rsid w:val="00A57AB6"/>
    <w:rPr>
      <w:rFonts w:ascii="Times New Roman" w:hAnsi="Times New Roman" w:cs="Times New Roman"/>
      <w:sz w:val="18"/>
      <w:szCs w:val="18"/>
    </w:rPr>
  </w:style>
  <w:style w:type="character" w:styleId="Hyperlink">
    <w:name w:val="Hyperlink"/>
    <w:basedOn w:val="DefaultParagraphFont"/>
    <w:uiPriority w:val="99"/>
    <w:unhideWhenUsed/>
    <w:rsid w:val="00A57AB6"/>
    <w:rPr>
      <w:color w:val="0563C1" w:themeColor="hyperlink"/>
      <w:u w:val="single"/>
    </w:rPr>
  </w:style>
  <w:style w:type="paragraph" w:customStyle="1" w:styleId="m6839711715107099790gmail-p1">
    <w:name w:val="m_6839711715107099790gmail-p1"/>
    <w:basedOn w:val="Normal"/>
    <w:rsid w:val="00A57AB6"/>
    <w:pPr>
      <w:spacing w:before="100" w:beforeAutospacing="1" w:after="100" w:afterAutospacing="1"/>
    </w:pPr>
  </w:style>
  <w:style w:type="character" w:customStyle="1" w:styleId="m6839711715107099790gmail-s1">
    <w:name w:val="m_6839711715107099790gmail-s1"/>
    <w:basedOn w:val="DefaultParagraphFont"/>
    <w:rsid w:val="00A57AB6"/>
  </w:style>
  <w:style w:type="character" w:customStyle="1" w:styleId="m6839711715107099790gmail-s2">
    <w:name w:val="m_6839711715107099790gmail-s2"/>
    <w:basedOn w:val="DefaultParagraphFont"/>
    <w:rsid w:val="00A57AB6"/>
  </w:style>
  <w:style w:type="character" w:customStyle="1" w:styleId="m6839711715107099790gmail-s3">
    <w:name w:val="m_6839711715107099790gmail-s3"/>
    <w:basedOn w:val="DefaultParagraphFont"/>
    <w:rsid w:val="00A57AB6"/>
  </w:style>
  <w:style w:type="character" w:customStyle="1" w:styleId="m6839711715107099790gmail-s4">
    <w:name w:val="m_6839711715107099790gmail-s4"/>
    <w:basedOn w:val="DefaultParagraphFont"/>
    <w:rsid w:val="00A57AB6"/>
  </w:style>
  <w:style w:type="table" w:styleId="PlainTable3">
    <w:name w:val="Plain Table 3"/>
    <w:basedOn w:val="TableNormal"/>
    <w:uiPriority w:val="43"/>
    <w:rsid w:val="0050406A"/>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7B5346"/>
    <w:rPr>
      <w:rFonts w:eastAsiaTheme="minorHAnsi"/>
      <w:b/>
      <w:bCs/>
    </w:rPr>
  </w:style>
  <w:style w:type="character" w:customStyle="1" w:styleId="CommentSubjectChar">
    <w:name w:val="Comment Subject Char"/>
    <w:basedOn w:val="CommentTextChar"/>
    <w:link w:val="CommentSubject"/>
    <w:uiPriority w:val="99"/>
    <w:semiHidden/>
    <w:rsid w:val="007B5346"/>
    <w:rPr>
      <w:rFonts w:ascii="Times New Roman" w:eastAsiaTheme="minorEastAsia" w:hAnsi="Times New Roman" w:cs="Times New Roman"/>
      <w:b/>
      <w:bCs/>
      <w:sz w:val="20"/>
      <w:szCs w:val="20"/>
    </w:rPr>
  </w:style>
  <w:style w:type="character" w:customStyle="1" w:styleId="Heading2Char">
    <w:name w:val="Heading 2 Char"/>
    <w:basedOn w:val="DefaultParagraphFont"/>
    <w:link w:val="Heading2"/>
    <w:uiPriority w:val="9"/>
    <w:rsid w:val="00B305BE"/>
    <w:rPr>
      <w:rFonts w:ascii="Times New Roman" w:hAnsi="Times New Roman" w:cs="Times New Roman"/>
      <w:b/>
      <w:color w:val="000000" w:themeColor="text1"/>
    </w:rPr>
  </w:style>
  <w:style w:type="character" w:customStyle="1" w:styleId="Heading3Char">
    <w:name w:val="Heading 3 Char"/>
    <w:basedOn w:val="DefaultParagraphFont"/>
    <w:link w:val="Heading3"/>
    <w:uiPriority w:val="9"/>
    <w:rsid w:val="00B305BE"/>
    <w:rPr>
      <w:rFonts w:ascii="Times New Roman" w:hAnsi="Times New Roman" w:cs="Times New Roman"/>
      <w:b/>
      <w:i/>
      <w:iCs/>
      <w:color w:val="000000" w:themeColor="text1"/>
    </w:rPr>
  </w:style>
  <w:style w:type="character" w:customStyle="1" w:styleId="Heading1Char">
    <w:name w:val="Heading 1 Char"/>
    <w:basedOn w:val="DefaultParagraphFont"/>
    <w:link w:val="Heading1"/>
    <w:uiPriority w:val="9"/>
    <w:rsid w:val="0006005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7222">
      <w:bodyDiv w:val="1"/>
      <w:marLeft w:val="0"/>
      <w:marRight w:val="0"/>
      <w:marTop w:val="0"/>
      <w:marBottom w:val="0"/>
      <w:divBdr>
        <w:top w:val="none" w:sz="0" w:space="0" w:color="auto"/>
        <w:left w:val="none" w:sz="0" w:space="0" w:color="auto"/>
        <w:bottom w:val="none" w:sz="0" w:space="0" w:color="auto"/>
        <w:right w:val="none" w:sz="0" w:space="0" w:color="auto"/>
      </w:divBdr>
    </w:div>
    <w:div w:id="395515530">
      <w:bodyDiv w:val="1"/>
      <w:marLeft w:val="0"/>
      <w:marRight w:val="0"/>
      <w:marTop w:val="0"/>
      <w:marBottom w:val="0"/>
      <w:divBdr>
        <w:top w:val="none" w:sz="0" w:space="0" w:color="auto"/>
        <w:left w:val="none" w:sz="0" w:space="0" w:color="auto"/>
        <w:bottom w:val="none" w:sz="0" w:space="0" w:color="auto"/>
        <w:right w:val="none" w:sz="0" w:space="0" w:color="auto"/>
      </w:divBdr>
    </w:div>
    <w:div w:id="956839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tp://ftp.ensembl.org/pub/release-94/fasta/homo_sapiens/dna/Homo_sapiens.GRCh38.dna_sm.primary_assembly.fa.gz)"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bioinformatics.babraham.ac.uk/index.html)"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deweylab.github.io/RSEM/)" TargetMode="External"/><Relationship Id="rId4" Type="http://schemas.openxmlformats.org/officeDocument/2006/relationships/webSettings" Target="webSettings.xml"/><Relationship Id="rId9" Type="http://schemas.openxmlformats.org/officeDocument/2006/relationships/hyperlink" Target="ftp://ftp.ensembl.org/pub/release-94/gtf/homo_sapiens/Homo_sapiens.GRCh38.94.gtf.g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94C648-D076-E243-AEA9-8ED1BA2F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4236</Words>
  <Characters>24151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2020-07-31T16:48:00Z</dcterms:created>
  <dcterms:modified xsi:type="dcterms:W3CDTF">2020-07-31T16:48:00Z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http://www.zotero.org/styles/acs-synthetic-biology</vt:lpwstr>
  </property>
  <property fmtid="{D5CDD505-2E9C-101B-9397-08002B2CF9AE}" pid="3" name="Mendeley Recent Style Name 0_1">
    <vt:lpwstr>ACS Synthetic Biology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http://www.zotero.org/styles/applied-and-environmental-microbiology</vt:lpwstr>
  </property>
  <property fmtid="{D5CDD505-2E9C-101B-9397-08002B2CF9AE}" pid="9" name="Mendeley Recent Style Name 3_1">
    <vt:lpwstr>Applied and Environmental Microbiology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3bf094f1-84d4-349b-9509-a202b3be7c34</vt:lpwstr>
  </property>
  <property fmtid="{D5CDD505-2E9C-101B-9397-08002B2CF9AE}" pid="24" name="Mendeley Citation Style_1">
    <vt:lpwstr>http://www.zotero.org/styles/nature</vt:lpwstr>
  </property>
</Properties>
</file>