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85F5A" w14:textId="77777777" w:rsidR="001F7B7A" w:rsidRDefault="002873A6">
      <w:pPr>
        <w:spacing w:line="480" w:lineRule="auto"/>
        <w:rPr>
          <w:rFonts w:eastAsia="SimSun"/>
          <w:b/>
          <w:lang w:eastAsia="zh-CN"/>
        </w:rPr>
      </w:pPr>
      <w:r>
        <w:rPr>
          <w:rFonts w:eastAsia="SimSun" w:hint="eastAsia"/>
          <w:b/>
          <w:lang w:eastAsia="zh-CN"/>
        </w:rPr>
        <w:t>Supplemental Information</w:t>
      </w:r>
    </w:p>
    <w:p w14:paraId="0AFF0765" w14:textId="77777777" w:rsidR="001F7B7A" w:rsidRDefault="002873A6">
      <w:pPr>
        <w:spacing w:line="480" w:lineRule="auto"/>
        <w:jc w:val="center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Hyperphosphorylated tau aggregation and cytotoxicity modulators screen identified prescription drugs linked to Alzheimer's disease and cognitive functions</w:t>
      </w:r>
    </w:p>
    <w:p w14:paraId="74CB5F5E" w14:textId="77777777" w:rsidR="001F7B7A" w:rsidRDefault="001F7B7A">
      <w:pPr>
        <w:spacing w:line="480" w:lineRule="auto"/>
        <w:rPr>
          <w:color w:val="000000" w:themeColor="text1"/>
          <w:szCs w:val="22"/>
        </w:rPr>
      </w:pPr>
    </w:p>
    <w:p w14:paraId="39168366" w14:textId="77777777" w:rsidR="001F7B7A" w:rsidRDefault="002873A6">
      <w:pPr>
        <w:spacing w:line="480" w:lineRule="auto"/>
        <w:rPr>
          <w:b/>
          <w:color w:val="000000" w:themeColor="text1"/>
          <w:szCs w:val="22"/>
        </w:rPr>
      </w:pPr>
      <w:r>
        <w:rPr>
          <w:b/>
          <w:color w:val="000000" w:themeColor="text1"/>
          <w:szCs w:val="22"/>
        </w:rPr>
        <w:t>Mengyu Liu</w:t>
      </w:r>
      <w:r>
        <w:rPr>
          <w:b/>
          <w:color w:val="000000" w:themeColor="text1"/>
          <w:szCs w:val="22"/>
          <w:vertAlign w:val="superscript"/>
        </w:rPr>
        <w:t>1</w:t>
      </w:r>
      <w:r>
        <w:rPr>
          <w:b/>
          <w:color w:val="000000" w:themeColor="text1"/>
          <w:szCs w:val="22"/>
        </w:rPr>
        <w:t>, Thomas Dexheimer</w:t>
      </w:r>
      <w:r>
        <w:rPr>
          <w:b/>
          <w:color w:val="000000" w:themeColor="text1"/>
          <w:szCs w:val="22"/>
          <w:vertAlign w:val="superscript"/>
        </w:rPr>
        <w:t>2</w:t>
      </w:r>
      <w:r>
        <w:rPr>
          <w:b/>
          <w:color w:val="000000" w:themeColor="text1"/>
          <w:szCs w:val="22"/>
        </w:rPr>
        <w:t>, Dexin Sui</w:t>
      </w:r>
      <w:r>
        <w:rPr>
          <w:b/>
          <w:color w:val="000000" w:themeColor="text1"/>
          <w:szCs w:val="22"/>
          <w:vertAlign w:val="superscript"/>
        </w:rPr>
        <w:t>1</w:t>
      </w:r>
      <w:r>
        <w:rPr>
          <w:b/>
          <w:color w:val="000000" w:themeColor="text1"/>
          <w:szCs w:val="22"/>
        </w:rPr>
        <w:t>, Stacy Hovde</w:t>
      </w:r>
      <w:r>
        <w:rPr>
          <w:b/>
          <w:color w:val="000000" w:themeColor="text1"/>
          <w:szCs w:val="22"/>
          <w:vertAlign w:val="superscript"/>
        </w:rPr>
        <w:t>1</w:t>
      </w:r>
      <w:r>
        <w:rPr>
          <w:b/>
          <w:color w:val="000000" w:themeColor="text1"/>
          <w:szCs w:val="22"/>
        </w:rPr>
        <w:t>, Xiexiong Deng</w:t>
      </w:r>
      <w:r>
        <w:rPr>
          <w:b/>
          <w:color w:val="000000" w:themeColor="text1"/>
          <w:szCs w:val="22"/>
          <w:vertAlign w:val="superscript"/>
        </w:rPr>
        <w:t>1#</w:t>
      </w:r>
      <w:r>
        <w:rPr>
          <w:b/>
          <w:color w:val="000000" w:themeColor="text1"/>
          <w:szCs w:val="22"/>
        </w:rPr>
        <w:t>,</w:t>
      </w:r>
      <w:r>
        <w:rPr>
          <w:b/>
          <w:color w:val="000000" w:themeColor="text1"/>
          <w:szCs w:val="22"/>
        </w:rPr>
        <w:t xml:space="preserve"> Roland Kwok</w:t>
      </w:r>
      <w:r>
        <w:rPr>
          <w:b/>
          <w:color w:val="000000" w:themeColor="text1"/>
          <w:szCs w:val="22"/>
          <w:vertAlign w:val="superscript"/>
        </w:rPr>
        <w:t>3,4</w:t>
      </w:r>
      <w:r>
        <w:rPr>
          <w:b/>
          <w:color w:val="000000" w:themeColor="text1"/>
          <w:szCs w:val="22"/>
        </w:rPr>
        <w:t>, Daniel A Bochar</w:t>
      </w:r>
      <w:r>
        <w:rPr>
          <w:b/>
          <w:color w:val="000000" w:themeColor="text1"/>
          <w:szCs w:val="22"/>
          <w:vertAlign w:val="superscript"/>
        </w:rPr>
        <w:t>5</w:t>
      </w:r>
      <w:r>
        <w:rPr>
          <w:b/>
          <w:color w:val="000000" w:themeColor="text1"/>
          <w:szCs w:val="22"/>
        </w:rPr>
        <w:t>, and Min-Hao Kuo</w:t>
      </w:r>
      <w:r>
        <w:rPr>
          <w:b/>
          <w:color w:val="000000" w:themeColor="text1"/>
          <w:szCs w:val="22"/>
          <w:vertAlign w:val="superscript"/>
        </w:rPr>
        <w:t>1</w:t>
      </w:r>
      <w:r>
        <w:rPr>
          <w:b/>
          <w:color w:val="000000" w:themeColor="text1"/>
          <w:szCs w:val="22"/>
        </w:rPr>
        <w:t>*</w:t>
      </w:r>
    </w:p>
    <w:p w14:paraId="2FBBA969" w14:textId="77777777" w:rsidR="001F7B7A" w:rsidRDefault="001F7B7A">
      <w:pPr>
        <w:spacing w:line="480" w:lineRule="auto"/>
        <w:rPr>
          <w:color w:val="000000" w:themeColor="text1"/>
          <w:szCs w:val="22"/>
        </w:rPr>
      </w:pPr>
    </w:p>
    <w:p w14:paraId="4D5EF450" w14:textId="77777777" w:rsidR="001F7B7A" w:rsidRDefault="001F7B7A">
      <w:pPr>
        <w:spacing w:line="480" w:lineRule="auto"/>
        <w:rPr>
          <w:color w:val="000000" w:themeColor="text1"/>
          <w:szCs w:val="22"/>
        </w:rPr>
      </w:pPr>
    </w:p>
    <w:p w14:paraId="4ECF92BA" w14:textId="0E125C4D" w:rsidR="001F7B7A" w:rsidRDefault="002873A6">
      <w:pPr>
        <w:spacing w:line="480" w:lineRule="auto"/>
        <w:rPr>
          <w:color w:val="000000" w:themeColor="text1"/>
          <w:szCs w:val="22"/>
        </w:rPr>
      </w:pPr>
      <w:bookmarkStart w:id="0" w:name="_GoBack"/>
      <w:r>
        <w:rPr>
          <w:color w:val="000000" w:themeColor="text1"/>
          <w:szCs w:val="22"/>
        </w:rPr>
        <w:t xml:space="preserve">From the </w:t>
      </w:r>
      <w:r>
        <w:rPr>
          <w:color w:val="000000" w:themeColor="text1"/>
          <w:szCs w:val="22"/>
          <w:vertAlign w:val="superscript"/>
        </w:rPr>
        <w:t>1</w:t>
      </w:r>
      <w:r>
        <w:rPr>
          <w:color w:val="000000" w:themeColor="text1"/>
          <w:szCs w:val="22"/>
        </w:rPr>
        <w:t xml:space="preserve">Department of Biochemistry and Molecular Biology, </w:t>
      </w:r>
      <w:r>
        <w:rPr>
          <w:color w:val="000000" w:themeColor="text1"/>
          <w:szCs w:val="22"/>
          <w:vertAlign w:val="superscript"/>
        </w:rPr>
        <w:t>2</w:t>
      </w:r>
      <w:r>
        <w:rPr>
          <w:color w:val="000000" w:themeColor="text1"/>
          <w:szCs w:val="22"/>
        </w:rPr>
        <w:t xml:space="preserve">Department of Pharmacology and Toxicology, Michigan State University, East Lansing, Michigan; </w:t>
      </w:r>
      <w:r>
        <w:rPr>
          <w:color w:val="000000" w:themeColor="text1"/>
          <w:szCs w:val="22"/>
          <w:vertAlign w:val="superscript"/>
        </w:rPr>
        <w:t>3</w:t>
      </w:r>
      <w:r>
        <w:rPr>
          <w:color w:val="000000" w:themeColor="text1"/>
          <w:szCs w:val="22"/>
        </w:rPr>
        <w:t xml:space="preserve">Department of Biological Chemistry, and </w:t>
      </w:r>
      <w:r>
        <w:rPr>
          <w:color w:val="000000" w:themeColor="text1"/>
          <w:szCs w:val="22"/>
          <w:vertAlign w:val="superscript"/>
        </w:rPr>
        <w:t>4</w:t>
      </w:r>
      <w:r>
        <w:rPr>
          <w:color w:val="000000" w:themeColor="text1"/>
          <w:szCs w:val="22"/>
        </w:rPr>
        <w:t xml:space="preserve">Department of Obstetrics and Gynecology, University of Michigan, Ann Arbor, Michigan; </w:t>
      </w:r>
      <w:r>
        <w:rPr>
          <w:color w:val="000000" w:themeColor="text1"/>
          <w:szCs w:val="22"/>
          <w:vertAlign w:val="superscript"/>
        </w:rPr>
        <w:t>5</w:t>
      </w:r>
      <w:r>
        <w:rPr>
          <w:color w:val="000000" w:themeColor="text1"/>
          <w:szCs w:val="22"/>
        </w:rPr>
        <w:t>Cayman Chemical, Ann Arbor, Michigan</w:t>
      </w:r>
    </w:p>
    <w:bookmarkEnd w:id="0"/>
    <w:p w14:paraId="0C3CD878" w14:textId="77777777" w:rsidR="001F7B7A" w:rsidRDefault="001F7B7A">
      <w:pPr>
        <w:spacing w:line="480" w:lineRule="auto"/>
        <w:rPr>
          <w:color w:val="000000" w:themeColor="text1"/>
          <w:szCs w:val="22"/>
        </w:rPr>
      </w:pPr>
    </w:p>
    <w:p w14:paraId="1549207B" w14:textId="77777777" w:rsidR="001F7B7A" w:rsidRDefault="002873A6">
      <w:pPr>
        <w:spacing w:line="480" w:lineRule="auto"/>
        <w:jc w:val="center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 xml:space="preserve">Running title: Alzheimer's disease drug and risk factor identification </w:t>
      </w:r>
    </w:p>
    <w:p w14:paraId="316FBA98" w14:textId="77777777" w:rsidR="001F7B7A" w:rsidRDefault="001F7B7A">
      <w:pPr>
        <w:spacing w:line="480" w:lineRule="auto"/>
        <w:jc w:val="center"/>
        <w:rPr>
          <w:color w:val="000000" w:themeColor="text1"/>
          <w:szCs w:val="22"/>
        </w:rPr>
      </w:pPr>
    </w:p>
    <w:p w14:paraId="26561DA1" w14:textId="77777777" w:rsidR="001F7B7A" w:rsidRDefault="002873A6">
      <w:pPr>
        <w:spacing w:line="480" w:lineRule="auto"/>
        <w:rPr>
          <w:color w:val="000000" w:themeColor="text1"/>
          <w:szCs w:val="22"/>
        </w:rPr>
      </w:pPr>
      <w:r>
        <w:rPr>
          <w:color w:val="000000" w:themeColor="text1"/>
          <w:szCs w:val="22"/>
          <w:vertAlign w:val="superscript"/>
        </w:rPr>
        <w:t>#</w:t>
      </w:r>
      <w:r>
        <w:rPr>
          <w:color w:val="000000" w:themeColor="text1"/>
          <w:szCs w:val="22"/>
        </w:rPr>
        <w:t>Present address: Molecular, Cellular, and Developmental B</w:t>
      </w:r>
      <w:r>
        <w:rPr>
          <w:color w:val="000000" w:themeColor="text1"/>
          <w:szCs w:val="22"/>
        </w:rPr>
        <w:t>iology, University of Michigan, Ann Arbor, MI 48109-1085</w:t>
      </w:r>
    </w:p>
    <w:p w14:paraId="50BB7D1C" w14:textId="77777777" w:rsidR="001F7B7A" w:rsidRDefault="001F7B7A">
      <w:pPr>
        <w:spacing w:line="480" w:lineRule="auto"/>
        <w:rPr>
          <w:color w:val="000000" w:themeColor="text1"/>
          <w:szCs w:val="22"/>
        </w:rPr>
      </w:pPr>
    </w:p>
    <w:p w14:paraId="43BB69EC" w14:textId="77777777" w:rsidR="001F7B7A" w:rsidRDefault="002873A6">
      <w:pPr>
        <w:spacing w:line="480" w:lineRule="auto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*To whom correspondence should be addressed: Min-Hao Kuo, 603 Wilson Road, Room 401, Biochemistry Building, Department of Biochemistry and Molecular Biology, Michigan State University, East Lansing,</w:t>
      </w:r>
      <w:r>
        <w:rPr>
          <w:color w:val="000000" w:themeColor="text1"/>
          <w:szCs w:val="22"/>
        </w:rPr>
        <w:t xml:space="preserve"> MI 48824. E-mail: kuom@msu.edu. Telephone: 517-3550163</w:t>
      </w:r>
    </w:p>
    <w:p w14:paraId="07DB58E8" w14:textId="77777777" w:rsidR="001F7B7A" w:rsidRDefault="001F7B7A">
      <w:pPr>
        <w:spacing w:line="480" w:lineRule="auto"/>
        <w:rPr>
          <w:rFonts w:eastAsia="SimSun"/>
          <w:b/>
          <w:lang w:eastAsia="zh-CN"/>
        </w:rPr>
      </w:pPr>
    </w:p>
    <w:p w14:paraId="04EE6B6A" w14:textId="77777777" w:rsidR="001F7B7A" w:rsidRDefault="001F7B7A">
      <w:pPr>
        <w:spacing w:line="480" w:lineRule="auto"/>
        <w:rPr>
          <w:rFonts w:eastAsia="SimSun"/>
          <w:b/>
          <w:lang w:eastAsia="zh-CN"/>
        </w:rPr>
      </w:pPr>
    </w:p>
    <w:p w14:paraId="499B7EA6" w14:textId="77777777" w:rsidR="001F7B7A" w:rsidRDefault="002873A6">
      <w:pPr>
        <w:spacing w:line="480" w:lineRule="auto"/>
        <w:rPr>
          <w:b/>
        </w:rPr>
      </w:pPr>
      <w:r>
        <w:rPr>
          <w:b/>
        </w:rPr>
        <w:lastRenderedPageBreak/>
        <w:t>Legends for supplemental table 1:</w:t>
      </w:r>
    </w:p>
    <w:p w14:paraId="6D568889" w14:textId="77777777" w:rsidR="001F7B7A" w:rsidRDefault="002873A6">
      <w:pPr>
        <w:spacing w:line="480" w:lineRule="auto"/>
        <w:rPr>
          <w:color w:val="000000" w:themeColor="text1"/>
          <w:szCs w:val="22"/>
        </w:rPr>
      </w:pPr>
      <w:r>
        <w:rPr>
          <w:b/>
          <w:color w:val="000000" w:themeColor="text1"/>
          <w:szCs w:val="22"/>
        </w:rPr>
        <w:t>Supplemental Table 1.</w:t>
      </w:r>
      <w:r>
        <w:rPr>
          <w:color w:val="000000" w:themeColor="text1"/>
          <w:szCs w:val="22"/>
        </w:rPr>
        <w:t xml:space="preserve"> Raw data of the 1280-compound screening for p-tau aggregation modulators. All compounds showing equal or greater than 2 SD from the mean chang</w:t>
      </w:r>
      <w:r>
        <w:rPr>
          <w:color w:val="000000" w:themeColor="text1"/>
          <w:szCs w:val="22"/>
        </w:rPr>
        <w:t>e of ThS signals were repeated in the aggregation assays before dose response curves were assessed. Selective ones showing an effect close to 2 SD from the mean ThS net change, were reported to have relevance to Alzheimer's disease, and were brain permeant</w:t>
      </w:r>
      <w:r>
        <w:rPr>
          <w:color w:val="000000" w:themeColor="text1"/>
          <w:szCs w:val="22"/>
        </w:rPr>
        <w:t xml:space="preserve"> were also tested. R</w:t>
      </w:r>
      <w:proofErr w:type="gramStart"/>
      <w:r>
        <w:rPr>
          <w:color w:val="000000" w:themeColor="text1"/>
          <w:szCs w:val="22"/>
        </w:rPr>
        <w:t>-(</w:t>
      </w:r>
      <w:proofErr w:type="gramEnd"/>
      <w:r>
        <w:rPr>
          <w:color w:val="000000" w:themeColor="text1"/>
          <w:szCs w:val="22"/>
        </w:rPr>
        <w:t xml:space="preserve">-)-apomorphine was within this group. </w:t>
      </w:r>
    </w:p>
    <w:p w14:paraId="2BC0CEA1" w14:textId="77777777" w:rsidR="001F7B7A" w:rsidRDefault="001F7B7A">
      <w:pPr>
        <w:spacing w:line="480" w:lineRule="auto"/>
        <w:rPr>
          <w:b/>
          <w:color w:val="000000" w:themeColor="text1"/>
          <w:szCs w:val="22"/>
        </w:rPr>
      </w:pPr>
    </w:p>
    <w:p w14:paraId="1EC3CED5" w14:textId="77777777" w:rsidR="001F7B7A" w:rsidRDefault="002873A6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58E27AC6" w14:textId="77777777" w:rsidR="001F7B7A" w:rsidRDefault="002873A6">
      <w:pPr>
        <w:spacing w:line="480" w:lineRule="auto"/>
        <w:rPr>
          <w:b/>
        </w:rPr>
      </w:pPr>
      <w:r>
        <w:rPr>
          <w:b/>
        </w:rPr>
        <w:lastRenderedPageBreak/>
        <w:t>Supplemental figures:</w:t>
      </w:r>
    </w:p>
    <w:p w14:paraId="038CDD05" w14:textId="77777777" w:rsidR="001F7B7A" w:rsidRDefault="001F7B7A">
      <w:pPr>
        <w:spacing w:line="480" w:lineRule="auto"/>
        <w:rPr>
          <w:b/>
          <w:color w:val="000000" w:themeColor="text1"/>
          <w:szCs w:val="22"/>
        </w:rPr>
      </w:pPr>
    </w:p>
    <w:p w14:paraId="4E07A92F" w14:textId="77777777" w:rsidR="001F7B7A" w:rsidRDefault="001F7B7A">
      <w:pPr>
        <w:spacing w:line="480" w:lineRule="auto"/>
        <w:rPr>
          <w:b/>
          <w:color w:val="000000" w:themeColor="text1"/>
          <w:szCs w:val="22"/>
        </w:rPr>
      </w:pPr>
    </w:p>
    <w:p w14:paraId="16F25BE6" w14:textId="77777777" w:rsidR="001F7B7A" w:rsidRDefault="001F7B7A">
      <w:pPr>
        <w:spacing w:line="480" w:lineRule="auto"/>
        <w:rPr>
          <w:b/>
          <w:color w:val="000000" w:themeColor="text1"/>
          <w:szCs w:val="22"/>
        </w:rPr>
      </w:pPr>
    </w:p>
    <w:p w14:paraId="6ABC48A4" w14:textId="77777777" w:rsidR="001F7B7A" w:rsidRDefault="002873A6">
      <w:pPr>
        <w:spacing w:line="480" w:lineRule="auto"/>
        <w:rPr>
          <w:b/>
          <w:color w:val="000000" w:themeColor="text1"/>
          <w:szCs w:val="22"/>
        </w:rPr>
      </w:pPr>
      <w:r>
        <w:rPr>
          <w:b/>
          <w:noProof/>
          <w:color w:val="000000" w:themeColor="text1"/>
          <w:szCs w:val="22"/>
          <w:lang w:eastAsia="zh-CN"/>
        </w:rPr>
        <w:drawing>
          <wp:inline distT="0" distB="0" distL="0" distR="0" wp14:anchorId="1466F950" wp14:editId="4D771B7F">
            <wp:extent cx="5943600" cy="46069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B9D5C" w14:textId="77777777" w:rsidR="001F7B7A" w:rsidRDefault="002873A6">
      <w:pPr>
        <w:spacing w:line="480" w:lineRule="auto"/>
        <w:rPr>
          <w:color w:val="000000" w:themeColor="text1"/>
          <w:szCs w:val="22"/>
        </w:rPr>
      </w:pPr>
      <w:r>
        <w:rPr>
          <w:b/>
          <w:color w:val="000000" w:themeColor="text1"/>
          <w:szCs w:val="22"/>
        </w:rPr>
        <w:t>Supplemental Figure 1.</w:t>
      </w:r>
      <w:r>
        <w:rPr>
          <w:color w:val="000000" w:themeColor="text1"/>
          <w:szCs w:val="22"/>
        </w:rPr>
        <w:t xml:space="preserve"> Structures of PTAIs and PTAEs identified in the library screen.</w:t>
      </w:r>
    </w:p>
    <w:p w14:paraId="0E10ADD6" w14:textId="77777777" w:rsidR="001F7B7A" w:rsidRDefault="001F7B7A">
      <w:pPr>
        <w:spacing w:line="480" w:lineRule="auto"/>
        <w:rPr>
          <w:color w:val="000000" w:themeColor="text1"/>
          <w:szCs w:val="22"/>
        </w:rPr>
      </w:pPr>
    </w:p>
    <w:p w14:paraId="30E9B54C" w14:textId="77777777" w:rsidR="001F7B7A" w:rsidRDefault="001F7B7A">
      <w:pPr>
        <w:spacing w:line="480" w:lineRule="auto"/>
        <w:rPr>
          <w:b/>
          <w:color w:val="000000" w:themeColor="text1"/>
          <w:szCs w:val="22"/>
        </w:rPr>
      </w:pPr>
    </w:p>
    <w:p w14:paraId="10DCF430" w14:textId="77777777" w:rsidR="001F7B7A" w:rsidRDefault="002873A6">
      <w:pPr>
        <w:spacing w:line="480" w:lineRule="auto"/>
        <w:rPr>
          <w:b/>
          <w:color w:val="000000" w:themeColor="text1"/>
          <w:szCs w:val="22"/>
        </w:rPr>
      </w:pPr>
      <w:r>
        <w:rPr>
          <w:b/>
          <w:noProof/>
          <w:color w:val="000000" w:themeColor="text1"/>
          <w:szCs w:val="22"/>
          <w:lang w:eastAsia="zh-CN"/>
        </w:rPr>
        <w:lastRenderedPageBreak/>
        <w:drawing>
          <wp:inline distT="0" distB="0" distL="0" distR="0" wp14:anchorId="6D66C222" wp14:editId="1A327AE1">
            <wp:extent cx="4748530" cy="42119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784" cy="421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0852C" w14:textId="77777777" w:rsidR="001F7B7A" w:rsidRDefault="002873A6">
      <w:pPr>
        <w:spacing w:line="480" w:lineRule="auto"/>
        <w:rPr>
          <w:color w:val="000000" w:themeColor="text1"/>
          <w:szCs w:val="22"/>
        </w:rPr>
      </w:pPr>
      <w:r>
        <w:rPr>
          <w:b/>
          <w:color w:val="000000" w:themeColor="text1"/>
          <w:szCs w:val="22"/>
        </w:rPr>
        <w:t>Supplemental Figure 2.</w:t>
      </w:r>
      <w:r>
        <w:rPr>
          <w:color w:val="000000" w:themeColor="text1"/>
          <w:szCs w:val="22"/>
        </w:rPr>
        <w:t xml:space="preserve"> Additional p-tau aggregation modulators control p-tau cytotoxicity. (a) </w:t>
      </w:r>
      <w:proofErr w:type="spellStart"/>
      <w:r>
        <w:rPr>
          <w:color w:val="000000" w:themeColor="text1"/>
          <w:szCs w:val="22"/>
        </w:rPr>
        <w:t>Idebenone</w:t>
      </w:r>
      <w:proofErr w:type="spellEnd"/>
      <w:r>
        <w:rPr>
          <w:color w:val="000000" w:themeColor="text1"/>
          <w:szCs w:val="22"/>
        </w:rPr>
        <w:t xml:space="preserve"> exhibits moderate cytoprotective activity against p-tau cytotoxicity. SH-SY5Y cells were treated with the indicated concentrations p-tau and compounds (in µM) for 20 hours b</w:t>
      </w:r>
      <w:r>
        <w:rPr>
          <w:color w:val="000000" w:themeColor="text1"/>
          <w:szCs w:val="22"/>
        </w:rPr>
        <w:t xml:space="preserve">efore FDA/PI differential staining and microscopic quantification. (b) Prednicarbate and, to a lesser degree, carmofur exacerbated the p-tau cytotoxicity. 0.2 or 0.4 µM of p-tau and 30 µM of each compound were pre-incubated in aggregation reactions for 24 </w:t>
      </w:r>
      <w:r>
        <w:rPr>
          <w:color w:val="000000" w:themeColor="text1"/>
          <w:szCs w:val="22"/>
        </w:rPr>
        <w:t xml:space="preserve">hours before the 20-hr cell treatment and cytotoxicity quantification. FDA and PI dual staining was performed to measure cellular viability. SH-SY5Y cells Compounds in panel (a) were added to cells along with p-tau without pre-incubation. </w:t>
      </w:r>
    </w:p>
    <w:p w14:paraId="4E519125" w14:textId="77777777" w:rsidR="001F7B7A" w:rsidRDefault="001F7B7A">
      <w:pPr>
        <w:spacing w:line="480" w:lineRule="auto"/>
        <w:rPr>
          <w:b/>
          <w:color w:val="000000" w:themeColor="text1"/>
          <w:szCs w:val="22"/>
        </w:rPr>
      </w:pPr>
    </w:p>
    <w:p w14:paraId="2A3A2012" w14:textId="77777777" w:rsidR="001F7B7A" w:rsidRDefault="002873A6">
      <w:pPr>
        <w:spacing w:line="480" w:lineRule="auto"/>
        <w:rPr>
          <w:color w:val="000000" w:themeColor="text1"/>
          <w:szCs w:val="22"/>
        </w:rPr>
      </w:pPr>
      <w:r>
        <w:rPr>
          <w:b/>
          <w:noProof/>
          <w:color w:val="000000" w:themeColor="text1"/>
          <w:szCs w:val="22"/>
          <w:lang w:eastAsia="zh-CN"/>
        </w:rPr>
        <w:lastRenderedPageBreak/>
        <w:drawing>
          <wp:inline distT="0" distB="0" distL="0" distR="0" wp14:anchorId="1DA0CC34" wp14:editId="3CC69ECA">
            <wp:extent cx="5943600" cy="452247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Cs w:val="22"/>
        </w:rPr>
        <w:t>Supplemental F</w:t>
      </w:r>
      <w:r>
        <w:rPr>
          <w:b/>
          <w:color w:val="000000" w:themeColor="text1"/>
          <w:szCs w:val="22"/>
        </w:rPr>
        <w:t>igure 3.</w:t>
      </w:r>
      <w:r>
        <w:rPr>
          <w:color w:val="000000" w:themeColor="text1"/>
          <w:szCs w:val="22"/>
        </w:rPr>
        <w:t xml:space="preserve"> R</w:t>
      </w:r>
      <w:proofErr w:type="gramStart"/>
      <w:r>
        <w:rPr>
          <w:color w:val="000000" w:themeColor="text1"/>
          <w:szCs w:val="22"/>
        </w:rPr>
        <w:t>-(</w:t>
      </w:r>
      <w:proofErr w:type="gramEnd"/>
      <w:r>
        <w:rPr>
          <w:color w:val="000000" w:themeColor="text1"/>
          <w:szCs w:val="22"/>
        </w:rPr>
        <w:t>-)-apomorphine and raloxifene control p-tau aggregation and cytotoxicity independently of the two cysteine residues of tau. (a) Net ThS fluorescence change of 12-hr p-tau (bearing C291A C322A mutations) aggregation reactions with p-tau alone (6</w:t>
      </w:r>
      <w:r>
        <w:rPr>
          <w:color w:val="000000" w:themeColor="text1"/>
          <w:szCs w:val="22"/>
        </w:rPr>
        <w:t xml:space="preserve"> µM, dark blue column), or increasing concentrations of R</w:t>
      </w:r>
      <w:proofErr w:type="gramStart"/>
      <w:r>
        <w:rPr>
          <w:color w:val="000000" w:themeColor="text1"/>
          <w:szCs w:val="22"/>
        </w:rPr>
        <w:t>-(</w:t>
      </w:r>
      <w:proofErr w:type="gramEnd"/>
      <w:r>
        <w:rPr>
          <w:color w:val="000000" w:themeColor="text1"/>
          <w:szCs w:val="22"/>
        </w:rPr>
        <w:t>-)-apomorphine (light blue columns) or raloxifene (pink columns). Error bars are standard deviations; n = 3. (b) Both C/A and C/S mutant p-tau are antagonized by R</w:t>
      </w:r>
      <w:proofErr w:type="gramStart"/>
      <w:r>
        <w:rPr>
          <w:color w:val="000000" w:themeColor="text1"/>
          <w:szCs w:val="22"/>
        </w:rPr>
        <w:t>-(</w:t>
      </w:r>
      <w:proofErr w:type="gramEnd"/>
      <w:r>
        <w:rPr>
          <w:color w:val="000000" w:themeColor="text1"/>
          <w:szCs w:val="22"/>
        </w:rPr>
        <w:t>-)-apomorphine and raloxifene. S</w:t>
      </w:r>
      <w:r>
        <w:rPr>
          <w:color w:val="000000" w:themeColor="text1"/>
          <w:szCs w:val="22"/>
        </w:rPr>
        <w:t>H-SY5Y cells were treated with 0, 0.5, 0.75, or 1 µM of either mutant p-tau. The cytoprotective activity of R-(-)-apomorphine (Apo) and raloxifene (</w:t>
      </w:r>
      <w:proofErr w:type="spellStart"/>
      <w:r>
        <w:rPr>
          <w:color w:val="000000" w:themeColor="text1"/>
          <w:szCs w:val="22"/>
        </w:rPr>
        <w:t>Ral</w:t>
      </w:r>
      <w:proofErr w:type="spellEnd"/>
      <w:r>
        <w:rPr>
          <w:color w:val="000000" w:themeColor="text1"/>
          <w:szCs w:val="22"/>
        </w:rPr>
        <w:t xml:space="preserve">) was tested by including 10 µM of each compound in p-tau C/A or C/S treatment. Viability was quantified </w:t>
      </w:r>
      <w:r>
        <w:rPr>
          <w:color w:val="000000" w:themeColor="text1"/>
          <w:szCs w:val="22"/>
        </w:rPr>
        <w:t>by fluorescence microscopy after FDA and PI differential staining. Error bars are standard deviation from one-tailed Student's t tests; n = 3.</w:t>
      </w:r>
    </w:p>
    <w:p w14:paraId="12ED0E09" w14:textId="77777777" w:rsidR="001F7B7A" w:rsidRDefault="001F7B7A">
      <w:pPr>
        <w:spacing w:line="480" w:lineRule="auto"/>
        <w:rPr>
          <w:b/>
          <w:color w:val="000000" w:themeColor="text1"/>
          <w:szCs w:val="22"/>
        </w:rPr>
      </w:pPr>
    </w:p>
    <w:p w14:paraId="2B402B4A" w14:textId="77777777" w:rsidR="001F7B7A" w:rsidRDefault="002873A6">
      <w:pPr>
        <w:spacing w:line="480" w:lineRule="auto"/>
        <w:rPr>
          <w:color w:val="000000" w:themeColor="text1"/>
          <w:szCs w:val="22"/>
        </w:rPr>
      </w:pPr>
      <w:r>
        <w:rPr>
          <w:b/>
          <w:noProof/>
          <w:color w:val="000000" w:themeColor="text1"/>
          <w:szCs w:val="22"/>
          <w:lang w:eastAsia="zh-CN"/>
        </w:rPr>
        <w:lastRenderedPageBreak/>
        <w:drawing>
          <wp:inline distT="0" distB="0" distL="0" distR="0" wp14:anchorId="2AC67231" wp14:editId="1A178E3B">
            <wp:extent cx="5943600" cy="34766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Cs w:val="22"/>
        </w:rPr>
        <w:t>Supplemental Figure 4.</w:t>
      </w:r>
      <w:r>
        <w:rPr>
          <w:color w:val="000000" w:themeColor="text1"/>
          <w:szCs w:val="22"/>
        </w:rPr>
        <w:t xml:space="preserve"> Tau aggregation inhibitors have a negligible or minor effect on p-tau aggregation. Two </w:t>
      </w:r>
      <w:proofErr w:type="spellStart"/>
      <w:r>
        <w:rPr>
          <w:color w:val="000000" w:themeColor="text1"/>
          <w:szCs w:val="22"/>
        </w:rPr>
        <w:t>a</w:t>
      </w:r>
      <w:r>
        <w:rPr>
          <w:color w:val="000000" w:themeColor="text1"/>
          <w:szCs w:val="22"/>
        </w:rPr>
        <w:t>minodienopyridazine</w:t>
      </w:r>
      <w:proofErr w:type="spellEnd"/>
      <w:r>
        <w:rPr>
          <w:color w:val="000000" w:themeColor="text1"/>
          <w:szCs w:val="22"/>
        </w:rPr>
        <w:t xml:space="preserve"> compounds previously designated as potent tau aggregation inhibitors </w:t>
      </w:r>
      <w:r>
        <w:rPr>
          <w:color w:val="000000" w:themeColor="text1"/>
          <w:szCs w:val="22"/>
        </w:rPr>
        <w:fldChar w:fldCharType="begin">
          <w:fldData xml:space="preserve">PEVuZE5vdGU+PENpdGU+PEF1dGhvcj5Dcm93ZTwvQXV0aG9yPjxZZWFyPjIwMDk8L1llYXI+PFJl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</w:fldData>
        </w:fldChar>
      </w:r>
      <w:r>
        <w:rPr>
          <w:color w:val="000000" w:themeColor="text1"/>
          <w:szCs w:val="22"/>
        </w:rPr>
        <w:instrText xml:space="preserve"> ADDIN EN.CITE </w:instrText>
      </w:r>
      <w:r>
        <w:rPr>
          <w:color w:val="000000" w:themeColor="text1"/>
          <w:szCs w:val="22"/>
        </w:rPr>
        <w:fldChar w:fldCharType="begin">
          <w:fldData xml:space="preserve">PEVuZE5vdGU+PENpdGU+PEF1dGhvcj5Dcm93ZTwvQXV0aG9yPjxZZWFyPjIwMDk8L1llYXI+PFJl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</w:fldData>
        </w:fldChar>
      </w:r>
      <w:r>
        <w:rPr>
          <w:color w:val="000000" w:themeColor="text1"/>
          <w:szCs w:val="22"/>
        </w:rPr>
        <w:instrText xml:space="preserve"> ADDIN EN.CITE.DATA </w:instrText>
      </w:r>
      <w:r>
        <w:rPr>
          <w:color w:val="000000" w:themeColor="text1"/>
          <w:szCs w:val="22"/>
        </w:rPr>
      </w:r>
      <w:r>
        <w:rPr>
          <w:color w:val="000000" w:themeColor="text1"/>
          <w:szCs w:val="22"/>
        </w:rPr>
        <w:fldChar w:fldCharType="end"/>
      </w:r>
      <w:r>
        <w:rPr>
          <w:color w:val="000000" w:themeColor="text1"/>
          <w:szCs w:val="22"/>
        </w:rPr>
      </w:r>
      <w:r>
        <w:rPr>
          <w:color w:val="000000" w:themeColor="text1"/>
          <w:szCs w:val="22"/>
        </w:rPr>
        <w:fldChar w:fldCharType="separate"/>
      </w:r>
      <w:r>
        <w:rPr>
          <w:color w:val="000000" w:themeColor="text1"/>
          <w:szCs w:val="22"/>
        </w:rPr>
        <w:t>(84)</w:t>
      </w:r>
      <w:r>
        <w:rPr>
          <w:color w:val="000000" w:themeColor="text1"/>
          <w:szCs w:val="22"/>
        </w:rPr>
        <w:fldChar w:fldCharType="end"/>
      </w:r>
      <w:r>
        <w:rPr>
          <w:color w:val="000000" w:themeColor="text1"/>
          <w:szCs w:val="22"/>
        </w:rPr>
        <w:t xml:space="preserve"> were tested against p-tau aggregation, using the standard p-tau aggregation assay conditions established in this work. These two compounds were provided by </w:t>
      </w:r>
      <w:proofErr w:type="spellStart"/>
      <w:r>
        <w:rPr>
          <w:color w:val="000000" w:themeColor="text1"/>
          <w:szCs w:val="22"/>
        </w:rPr>
        <w:t>Ajit</w:t>
      </w:r>
      <w:proofErr w:type="spellEnd"/>
      <w:r>
        <w:rPr>
          <w:color w:val="000000" w:themeColor="text1"/>
          <w:szCs w:val="22"/>
        </w:rPr>
        <w:t xml:space="preserve"> Jadhav, National Center for Advancing Tr</w:t>
      </w:r>
      <w:r>
        <w:rPr>
          <w:color w:val="000000" w:themeColor="text1"/>
          <w:szCs w:val="22"/>
        </w:rPr>
        <w:t>anslational Sciences. Cpd1 = NCGC00031883-02; Cpd2 = NCGC00183199-01). The AC</w:t>
      </w:r>
      <w:r>
        <w:rPr>
          <w:color w:val="000000" w:themeColor="text1"/>
          <w:szCs w:val="22"/>
          <w:vertAlign w:val="subscript"/>
        </w:rPr>
        <w:t>50</w:t>
      </w:r>
      <w:r>
        <w:rPr>
          <w:color w:val="000000" w:themeColor="text1"/>
          <w:szCs w:val="22"/>
        </w:rPr>
        <w:t xml:space="preserve"> values for tau aggregation inhibition were reported to be 3.3 ± 0.2 µM and 6.8 ± 0.4 µM, respectively, when tested against 15 µM of K18 P301L aggregation induced by 40 µM of heparin (Probe Report ML103, National Center for Biotechnology Information, 2010)</w:t>
      </w:r>
      <w:r>
        <w:rPr>
          <w:color w:val="000000" w:themeColor="text1"/>
          <w:szCs w:val="22"/>
        </w:rPr>
        <w:t xml:space="preserve">. In each panel, the full-course kinetics of p-tau aggregation is shown on the left, and the net change of ThS fluorescence units is on the right. Note that these experiments were done with a different multi-plate reader, which consistently generated much </w:t>
      </w:r>
      <w:r>
        <w:rPr>
          <w:color w:val="000000" w:themeColor="text1"/>
          <w:szCs w:val="22"/>
        </w:rPr>
        <w:t>higher fluorescence units than other models. Only the absolute fluorescence unit values differed; the trend and fold-of-change were essentially identical regardless of the fluorometers used.</w:t>
      </w:r>
    </w:p>
    <w:p w14:paraId="57C97C50" w14:textId="77777777" w:rsidR="001F7B7A" w:rsidRDefault="001F7B7A">
      <w:pPr>
        <w:spacing w:line="480" w:lineRule="auto"/>
        <w:rPr>
          <w:color w:val="000000" w:themeColor="text1"/>
          <w:szCs w:val="22"/>
        </w:rPr>
      </w:pPr>
    </w:p>
    <w:p w14:paraId="67B2FF5F" w14:textId="77777777" w:rsidR="001F7B7A" w:rsidRDefault="002873A6">
      <w:pPr>
        <w:spacing w:line="480" w:lineRule="auto"/>
        <w:rPr>
          <w:b/>
          <w:color w:val="000000" w:themeColor="text1"/>
          <w:szCs w:val="22"/>
        </w:rPr>
      </w:pPr>
      <w:r>
        <w:rPr>
          <w:b/>
          <w:noProof/>
          <w:color w:val="000000" w:themeColor="text1"/>
          <w:szCs w:val="22"/>
          <w:lang w:eastAsia="zh-CN"/>
        </w:rPr>
        <w:lastRenderedPageBreak/>
        <w:drawing>
          <wp:inline distT="0" distB="0" distL="0" distR="0" wp14:anchorId="14B82B67" wp14:editId="7865CA35">
            <wp:extent cx="5943600" cy="36963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BD872" w14:textId="77777777" w:rsidR="001F7B7A" w:rsidRDefault="002873A6">
      <w:pPr>
        <w:spacing w:line="480" w:lineRule="auto"/>
        <w:rPr>
          <w:color w:val="000000" w:themeColor="text1"/>
          <w:szCs w:val="22"/>
        </w:rPr>
      </w:pPr>
      <w:r>
        <w:rPr>
          <w:b/>
          <w:color w:val="000000" w:themeColor="text1"/>
          <w:szCs w:val="22"/>
        </w:rPr>
        <w:t>Supplemental Figure 5.</w:t>
      </w:r>
      <w:r>
        <w:rPr>
          <w:color w:val="000000" w:themeColor="text1"/>
          <w:szCs w:val="22"/>
        </w:rPr>
        <w:t xml:space="preserve"> Structures of benzodiazepines used in t</w:t>
      </w:r>
      <w:r>
        <w:rPr>
          <w:color w:val="000000" w:themeColor="text1"/>
          <w:szCs w:val="22"/>
        </w:rPr>
        <w:t xml:space="preserve">his study. </w:t>
      </w:r>
    </w:p>
    <w:p w14:paraId="50AB6DB2" w14:textId="77777777" w:rsidR="001F7B7A" w:rsidRDefault="001F7B7A">
      <w:pPr>
        <w:spacing w:line="480" w:lineRule="auto"/>
        <w:rPr>
          <w:b/>
          <w:color w:val="000000" w:themeColor="text1"/>
          <w:szCs w:val="22"/>
        </w:rPr>
      </w:pPr>
    </w:p>
    <w:p w14:paraId="5B9C2F29" w14:textId="77777777" w:rsidR="001F7B7A" w:rsidRDefault="001F7B7A">
      <w:pPr>
        <w:spacing w:line="480" w:lineRule="auto"/>
        <w:rPr>
          <w:b/>
          <w:color w:val="000000" w:themeColor="text1"/>
          <w:szCs w:val="22"/>
        </w:rPr>
      </w:pPr>
    </w:p>
    <w:p w14:paraId="11CA2E82" w14:textId="77777777" w:rsidR="001F7B7A" w:rsidRDefault="001F7B7A"/>
    <w:sectPr w:rsidR="001F7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5FE3"/>
    <w:rsid w:val="001F7B7A"/>
    <w:rsid w:val="002873A6"/>
    <w:rsid w:val="002A2FCF"/>
    <w:rsid w:val="00316003"/>
    <w:rsid w:val="003A07E2"/>
    <w:rsid w:val="00520D0D"/>
    <w:rsid w:val="00800A33"/>
    <w:rsid w:val="00945C0A"/>
    <w:rsid w:val="00965FE3"/>
    <w:rsid w:val="00B00531"/>
    <w:rsid w:val="00D468EC"/>
    <w:rsid w:val="00DC6E2D"/>
    <w:rsid w:val="00E94F4D"/>
    <w:rsid w:val="2DC8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42C49C"/>
  <w15:docId w15:val="{3361B51D-2EAF-0042-A7A4-D7C7288C6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imSun" w:eastAsia="SimSun" w:hAnsi="Times New Roman" w:cs="Times New Roman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705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Mengyu Liu</dc:creator>
  <cp:lastModifiedBy>Kuo, Min</cp:lastModifiedBy>
  <cp:revision>12</cp:revision>
  <dcterms:created xsi:type="dcterms:W3CDTF">2020-05-07T15:27:00Z</dcterms:created>
  <dcterms:modified xsi:type="dcterms:W3CDTF">2020-08-24T17:32:00Z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